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highlight w:val="none"/>
        </w:rPr>
      </w:pPr>
    </w:p>
    <w:p>
      <w:pPr>
        <w:spacing w:line="400" w:lineRule="exact"/>
        <w:rPr>
          <w:highlight w:val="none"/>
        </w:rPr>
      </w:pPr>
    </w:p>
    <w:p>
      <w:pPr>
        <w:spacing w:line="480" w:lineRule="auto"/>
        <w:rPr>
          <w:sz w:val="32"/>
          <w:highlight w:val="none"/>
        </w:rPr>
      </w:pPr>
    </w:p>
    <w:p>
      <w:pPr>
        <w:widowControl w:val="0"/>
        <w:snapToGrid/>
        <w:spacing w:line="480" w:lineRule="auto"/>
        <w:ind w:right="0" w:rightChars="0"/>
        <w:jc w:val="center"/>
        <w:rPr>
          <w:rFonts w:ascii="黑体" w:hAnsi="Times New Roman" w:eastAsia="黑体" w:cs="Times New Roman"/>
          <w:b w:val="0"/>
          <w:bCs w:val="0"/>
          <w:sz w:val="44"/>
          <w:szCs w:val="28"/>
          <w:highlight w:val="none"/>
          <w:u w:val="single"/>
        </w:rPr>
      </w:pPr>
      <w:r>
        <w:rPr>
          <w:rFonts w:hint="eastAsia" w:ascii="黑体" w:hAnsi="Times New Roman" w:eastAsia="黑体" w:cs="Times New Roman"/>
          <w:b w:val="0"/>
          <w:bCs w:val="0"/>
          <w:sz w:val="44"/>
          <w:szCs w:val="28"/>
          <w:highlight w:val="none"/>
          <w:u w:val="single"/>
        </w:rPr>
        <w:t>番禺电力科技园三期C、D、E、H栋</w:t>
      </w:r>
    </w:p>
    <w:p>
      <w:pPr>
        <w:spacing w:line="480" w:lineRule="auto"/>
        <w:jc w:val="center"/>
        <w:rPr>
          <w:rFonts w:ascii="黑体" w:eastAsia="黑体"/>
          <w:sz w:val="44"/>
          <w:szCs w:val="28"/>
          <w:highlight w:val="none"/>
        </w:rPr>
      </w:pPr>
      <w:r>
        <w:rPr>
          <w:rFonts w:hint="eastAsia" w:ascii="黑体" w:eastAsia="黑体"/>
          <w:sz w:val="44"/>
          <w:szCs w:val="28"/>
          <w:highlight w:val="none"/>
          <w:u w:val="single"/>
        </w:rPr>
        <w:t>设计施工总承包</w:t>
      </w:r>
    </w:p>
    <w:p>
      <w:pPr>
        <w:rPr>
          <w:highlight w:val="none"/>
        </w:rPr>
      </w:pPr>
    </w:p>
    <w:p>
      <w:pPr>
        <w:rPr>
          <w:sz w:val="28"/>
          <w:szCs w:val="28"/>
          <w:highlight w:val="none"/>
        </w:rPr>
      </w:pPr>
    </w:p>
    <w:p>
      <w:pPr>
        <w:ind w:firstLine="560"/>
        <w:rPr>
          <w:sz w:val="28"/>
          <w:szCs w:val="28"/>
          <w:highlight w:val="none"/>
        </w:rPr>
      </w:pPr>
    </w:p>
    <w:p>
      <w:pPr>
        <w:rPr>
          <w:highlight w:val="none"/>
        </w:rPr>
      </w:pPr>
    </w:p>
    <w:p>
      <w:pPr>
        <w:rPr>
          <w:sz w:val="28"/>
          <w:szCs w:val="28"/>
          <w:highlight w:val="none"/>
        </w:rPr>
      </w:pPr>
    </w:p>
    <w:p>
      <w:pPr>
        <w:spacing w:line="360" w:lineRule="auto"/>
        <w:jc w:val="center"/>
        <w:rPr>
          <w:rFonts w:ascii="宋体" w:hAnsi="宋体" w:cs="宋体"/>
          <w:b/>
          <w:bCs/>
          <w:sz w:val="72"/>
          <w:szCs w:val="72"/>
          <w:highlight w:val="none"/>
        </w:rPr>
      </w:pPr>
      <w:r>
        <w:rPr>
          <w:rFonts w:hint="eastAsia" w:ascii="宋体" w:hAnsi="宋体" w:cs="宋体"/>
          <w:b/>
          <w:bCs/>
          <w:sz w:val="72"/>
          <w:szCs w:val="72"/>
          <w:highlight w:val="none"/>
        </w:rPr>
        <w:t>招 标 文 件</w:t>
      </w:r>
    </w:p>
    <w:p>
      <w:pPr>
        <w:spacing w:line="400" w:lineRule="exact"/>
        <w:rPr>
          <w:highlight w:val="none"/>
        </w:rPr>
      </w:pPr>
    </w:p>
    <w:p>
      <w:pPr>
        <w:spacing w:line="400" w:lineRule="exact"/>
        <w:rPr>
          <w:highlight w:val="none"/>
        </w:rPr>
      </w:pPr>
    </w:p>
    <w:p>
      <w:pPr>
        <w:spacing w:line="400" w:lineRule="exact"/>
        <w:rPr>
          <w:highlight w:val="none"/>
        </w:rPr>
      </w:pPr>
    </w:p>
    <w:p>
      <w:pPr>
        <w:spacing w:line="400" w:lineRule="exact"/>
        <w:rPr>
          <w:highlight w:val="none"/>
        </w:rPr>
      </w:pPr>
    </w:p>
    <w:p>
      <w:pPr>
        <w:spacing w:line="400" w:lineRule="exact"/>
        <w:rPr>
          <w:highlight w:val="none"/>
        </w:rPr>
      </w:pPr>
    </w:p>
    <w:p>
      <w:pPr>
        <w:spacing w:line="400" w:lineRule="exact"/>
        <w:rPr>
          <w:highlight w:val="none"/>
        </w:rPr>
      </w:pPr>
    </w:p>
    <w:p>
      <w:pPr>
        <w:jc w:val="left"/>
        <w:rPr>
          <w:rFonts w:ascii="黑体" w:eastAsia="黑体"/>
          <w:bCs/>
          <w:color w:val="auto"/>
          <w:kern w:val="2"/>
          <w:sz w:val="28"/>
          <w:szCs w:val="28"/>
          <w:highlight w:val="none"/>
          <w:u w:val="single"/>
        </w:rPr>
      </w:pPr>
      <w:bookmarkStart w:id="0" w:name="_Toc10723"/>
    </w:p>
    <w:p>
      <w:pPr>
        <w:spacing w:line="360" w:lineRule="auto"/>
        <w:jc w:val="center"/>
        <w:rPr>
          <w:rFonts w:eastAsia="黑体"/>
          <w:highlight w:val="none"/>
        </w:rPr>
      </w:pPr>
      <w:r>
        <w:rPr>
          <w:rFonts w:hint="eastAsia" w:ascii="黑体" w:hAnsi="黑体" w:eastAsia="黑体" w:cs="宋体"/>
          <w:b/>
          <w:bCs/>
          <w:sz w:val="28"/>
          <w:szCs w:val="28"/>
          <w:highlight w:val="none"/>
        </w:rPr>
        <w:t>招标人：</w:t>
      </w:r>
      <w:bookmarkStart w:id="1" w:name="_Hlk129942386"/>
      <w:bookmarkStart w:id="2" w:name="_Hlk129942672"/>
      <w:r>
        <w:rPr>
          <w:rFonts w:hint="eastAsia" w:ascii="黑体" w:hAnsi="黑体" w:eastAsia="黑体" w:cs="宋体"/>
          <w:b/>
          <w:bCs/>
          <w:sz w:val="28"/>
          <w:szCs w:val="28"/>
          <w:highlight w:val="none"/>
        </w:rPr>
        <w:t>南方鼎元资产运营有限责任公司</w:t>
      </w:r>
      <w:bookmarkEnd w:id="1"/>
    </w:p>
    <w:p>
      <w:pPr>
        <w:spacing w:line="360" w:lineRule="auto"/>
        <w:jc w:val="center"/>
        <w:rPr>
          <w:rFonts w:ascii="黑体" w:hAnsi="黑体" w:eastAsia="黑体" w:cs="宋体"/>
          <w:b/>
          <w:sz w:val="28"/>
          <w:szCs w:val="28"/>
          <w:highlight w:val="none"/>
        </w:rPr>
      </w:pPr>
      <w:r>
        <w:rPr>
          <w:rFonts w:hint="eastAsia" w:ascii="黑体" w:hAnsi="黑体" w:eastAsia="黑体" w:cs="宋体"/>
          <w:b/>
          <w:bCs/>
          <w:sz w:val="28"/>
          <w:szCs w:val="28"/>
          <w:highlight w:val="none"/>
        </w:rPr>
        <w:t>招标代理机构：</w:t>
      </w:r>
      <w:bookmarkStart w:id="3" w:name="_Hlk129942519"/>
      <w:r>
        <w:rPr>
          <w:rFonts w:hint="eastAsia" w:ascii="黑体" w:hAnsi="黑体" w:eastAsia="黑体" w:cs="宋体"/>
          <w:b/>
          <w:bCs/>
          <w:sz w:val="28"/>
          <w:szCs w:val="28"/>
          <w:highlight w:val="none"/>
        </w:rPr>
        <w:t>南方电网供应链集团有限公司</w:t>
      </w:r>
      <w:bookmarkEnd w:id="2"/>
      <w:bookmarkEnd w:id="3"/>
    </w:p>
    <w:bookmarkEnd w:id="0"/>
    <w:p>
      <w:pPr>
        <w:spacing w:line="400" w:lineRule="exact"/>
        <w:rPr>
          <w:highlight w:val="none"/>
        </w:rPr>
      </w:pPr>
      <w:bookmarkStart w:id="4" w:name="_Toc144974478"/>
      <w:bookmarkStart w:id="5" w:name="_Toc152042286"/>
    </w:p>
    <w:p>
      <w:pPr>
        <w:ind w:firstLine="2940" w:firstLineChars="1050"/>
        <w:jc w:val="both"/>
        <w:rPr>
          <w:rFonts w:hint="eastAsia" w:asciiTheme="minorEastAsia" w:hAnsiTheme="minorEastAsia" w:eastAsiaTheme="minorEastAsia" w:cstheme="minorEastAsia"/>
          <w:highlight w:val="none"/>
        </w:rPr>
        <w:sectPr>
          <w:footerReference r:id="rId3" w:type="default"/>
          <w:pgSz w:w="11906" w:h="16838"/>
          <w:pgMar w:top="1440" w:right="1800" w:bottom="1440" w:left="1800" w:header="851" w:footer="992" w:gutter="0"/>
          <w:pgNumType w:fmt="decimal" w:start="0"/>
          <w:cols w:space="720" w:num="1"/>
          <w:docGrid w:type="lines" w:linePitch="312" w:charSpace="0"/>
        </w:sectPr>
      </w:pPr>
      <w:r>
        <w:rPr>
          <w:rFonts w:hint="eastAsia" w:asciiTheme="minorEastAsia" w:hAnsiTheme="minorEastAsia" w:eastAsiaTheme="minorEastAsia" w:cstheme="minorEastAsia"/>
          <w:sz w:val="28"/>
          <w:szCs w:val="28"/>
          <w:highlight w:val="none"/>
          <w:u w:val="single"/>
        </w:rPr>
        <w:t>2023</w:t>
      </w:r>
      <w:r>
        <w:rPr>
          <w:rFonts w:hint="eastAsia" w:asciiTheme="minorEastAsia" w:hAnsiTheme="minorEastAsia" w:eastAsiaTheme="minorEastAsia" w:cstheme="minorEastAsia"/>
          <w:sz w:val="28"/>
          <w:szCs w:val="28"/>
          <w:highlight w:val="none"/>
        </w:rPr>
        <w:t>年</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u w:val="single"/>
          <w:lang w:val="en-US" w:eastAsia="zh-CN"/>
        </w:rPr>
        <w:t>11</w:t>
      </w:r>
      <w:r>
        <w:rPr>
          <w:rFonts w:hint="eastAsia" w:asciiTheme="minorEastAsia" w:hAnsiTheme="minorEastAsia" w:eastAsiaTheme="minorEastAsia" w:cstheme="minorEastAsia"/>
          <w:sz w:val="28"/>
          <w:szCs w:val="28"/>
          <w:highlight w:val="none"/>
        </w:rPr>
        <w:t>月</w:t>
      </w:r>
    </w:p>
    <w:p>
      <w:pPr>
        <w:jc w:val="center"/>
        <w:rPr>
          <w:b/>
          <w:bCs/>
          <w:sz w:val="28"/>
          <w:szCs w:val="28"/>
          <w:highlight w:val="none"/>
        </w:rPr>
      </w:pPr>
      <w:bookmarkStart w:id="6" w:name="_Toc51288178"/>
      <w:bookmarkStart w:id="7" w:name="_Toc25269"/>
      <w:bookmarkStart w:id="8" w:name="_Toc300834926"/>
      <w:bookmarkStart w:id="9" w:name="_Toc26428"/>
      <w:bookmarkStart w:id="10" w:name="_Toc25565"/>
      <w:bookmarkStart w:id="11" w:name="_Toc26539"/>
      <w:bookmarkStart w:id="12" w:name="_Toc51285337"/>
      <w:bookmarkStart w:id="13" w:name="_Toc29517"/>
      <w:bookmarkStart w:id="14" w:name="_Toc10937"/>
      <w:bookmarkStart w:id="15" w:name="_Toc247527532"/>
      <w:bookmarkStart w:id="16" w:name="_Toc23345"/>
      <w:bookmarkStart w:id="17" w:name="_Toc5423"/>
      <w:bookmarkStart w:id="18" w:name="_Toc51285446"/>
      <w:bookmarkStart w:id="19" w:name="_Toc7750"/>
      <w:bookmarkStart w:id="20" w:name="_Toc14838"/>
      <w:r>
        <w:rPr>
          <w:rFonts w:hint="eastAsia"/>
          <w:b/>
          <w:bCs/>
          <w:sz w:val="28"/>
          <w:szCs w:val="28"/>
          <w:highlight w:val="none"/>
        </w:rPr>
        <w:t>目     录</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pPr>
        <w:tabs>
          <w:tab w:val="right" w:leader="dot" w:pos="9638"/>
        </w:tabs>
        <w:rPr>
          <w:highlight w:val="none"/>
        </w:rPr>
      </w:pPr>
      <w:bookmarkStart w:id="21" w:name="_Toc247527533"/>
      <w:bookmarkStart w:id="22" w:name="_Toc247513932"/>
      <w:bookmarkStart w:id="23" w:name="_Toc144974479"/>
      <w:bookmarkStart w:id="24" w:name="_Toc152042287"/>
      <w:bookmarkStart w:id="25" w:name="_Toc152045511"/>
      <w:r>
        <w:rPr>
          <w:highlight w:val="none"/>
        </w:rPr>
        <w:fldChar w:fldCharType="begin"/>
      </w:r>
      <w:r>
        <w:rPr>
          <w:highlight w:val="none"/>
        </w:rPr>
        <w:instrText xml:space="preserve"> TOC \o "1-3" \h \z \u </w:instrText>
      </w:r>
      <w:r>
        <w:rPr>
          <w:highlight w:val="none"/>
        </w:rPr>
        <w:fldChar w:fldCharType="separate"/>
      </w:r>
    </w:p>
    <w:p>
      <w:pPr>
        <w:tabs>
          <w:tab w:val="right" w:leader="dot" w:pos="9638"/>
        </w:tabs>
        <w:rPr>
          <w:sz w:val="28"/>
          <w:szCs w:val="28"/>
          <w:highlight w:val="none"/>
        </w:rPr>
      </w:pPr>
      <w:r>
        <w:rPr>
          <w:sz w:val="28"/>
          <w:szCs w:val="28"/>
          <w:highlight w:val="none"/>
        </w:rPr>
        <w:fldChar w:fldCharType="begin"/>
      </w:r>
      <w:r>
        <w:rPr>
          <w:sz w:val="28"/>
          <w:szCs w:val="28"/>
          <w:highlight w:val="none"/>
        </w:rPr>
        <w:instrText xml:space="preserve"> HYPERLINK \l "_Toc10899" </w:instrText>
      </w:r>
      <w:r>
        <w:rPr>
          <w:sz w:val="28"/>
          <w:szCs w:val="28"/>
          <w:highlight w:val="none"/>
        </w:rPr>
        <w:fldChar w:fldCharType="separate"/>
      </w:r>
      <w:r>
        <w:rPr>
          <w:rFonts w:hint="eastAsia"/>
          <w:sz w:val="28"/>
          <w:szCs w:val="28"/>
          <w:highlight w:val="none"/>
        </w:rPr>
        <w:t>第一章 招标公告</w:t>
      </w:r>
      <w:r>
        <w:rPr>
          <w:sz w:val="28"/>
          <w:szCs w:val="28"/>
          <w:highlight w:val="none"/>
        </w:rPr>
        <w:tab/>
      </w:r>
      <w:r>
        <w:rPr>
          <w:rFonts w:hint="eastAsia"/>
          <w:sz w:val="28"/>
          <w:szCs w:val="28"/>
          <w:highlight w:val="none"/>
          <w:lang w:val="en-US" w:eastAsia="zh-CN"/>
        </w:rPr>
        <w:t>2</w:t>
      </w:r>
      <w:r>
        <w:rPr>
          <w:sz w:val="28"/>
          <w:szCs w:val="28"/>
          <w:highlight w:val="none"/>
        </w:rPr>
        <w:fldChar w:fldCharType="end"/>
      </w:r>
    </w:p>
    <w:p>
      <w:pPr>
        <w:tabs>
          <w:tab w:val="right" w:leader="dot" w:pos="9638"/>
        </w:tabs>
        <w:rPr>
          <w:sz w:val="28"/>
          <w:szCs w:val="28"/>
          <w:highlight w:val="none"/>
        </w:rPr>
      </w:pPr>
      <w:r>
        <w:rPr>
          <w:sz w:val="28"/>
          <w:szCs w:val="28"/>
          <w:highlight w:val="none"/>
        </w:rPr>
        <w:fldChar w:fldCharType="begin"/>
      </w:r>
      <w:r>
        <w:rPr>
          <w:sz w:val="28"/>
          <w:szCs w:val="28"/>
          <w:highlight w:val="none"/>
        </w:rPr>
        <w:instrText xml:space="preserve"> HYPERLINK \l "_Toc7980" </w:instrText>
      </w:r>
      <w:r>
        <w:rPr>
          <w:sz w:val="28"/>
          <w:szCs w:val="28"/>
          <w:highlight w:val="none"/>
        </w:rPr>
        <w:fldChar w:fldCharType="separate"/>
      </w:r>
      <w:r>
        <w:rPr>
          <w:rFonts w:hint="eastAsia"/>
          <w:sz w:val="28"/>
          <w:szCs w:val="28"/>
          <w:highlight w:val="none"/>
        </w:rPr>
        <w:t>第二章 投标人须知</w:t>
      </w:r>
      <w:r>
        <w:rPr>
          <w:sz w:val="28"/>
          <w:szCs w:val="28"/>
          <w:highlight w:val="none"/>
        </w:rPr>
        <w:tab/>
      </w:r>
      <w:r>
        <w:rPr>
          <w:rFonts w:hint="eastAsia"/>
          <w:sz w:val="28"/>
          <w:szCs w:val="28"/>
          <w:highlight w:val="none"/>
          <w:lang w:val="en-US" w:eastAsia="zh-CN"/>
        </w:rPr>
        <w:t>3</w:t>
      </w:r>
      <w:r>
        <w:rPr>
          <w:sz w:val="28"/>
          <w:szCs w:val="28"/>
          <w:highlight w:val="none"/>
        </w:rPr>
        <w:fldChar w:fldCharType="end"/>
      </w:r>
    </w:p>
    <w:p>
      <w:pPr>
        <w:tabs>
          <w:tab w:val="right" w:leader="dot" w:pos="9638"/>
        </w:tabs>
        <w:rPr>
          <w:rFonts w:hint="eastAsia" w:eastAsia="宋体"/>
          <w:sz w:val="28"/>
          <w:szCs w:val="28"/>
          <w:highlight w:val="none"/>
          <w:lang w:val="en-US" w:eastAsia="zh-CN"/>
        </w:rPr>
      </w:pPr>
      <w:r>
        <w:rPr>
          <w:sz w:val="28"/>
          <w:szCs w:val="28"/>
          <w:highlight w:val="none"/>
        </w:rPr>
        <w:fldChar w:fldCharType="begin"/>
      </w:r>
      <w:r>
        <w:rPr>
          <w:sz w:val="28"/>
          <w:szCs w:val="28"/>
          <w:highlight w:val="none"/>
        </w:rPr>
        <w:instrText xml:space="preserve"> HYPERLINK \l "_Toc10994" </w:instrText>
      </w:r>
      <w:r>
        <w:rPr>
          <w:sz w:val="28"/>
          <w:szCs w:val="28"/>
          <w:highlight w:val="none"/>
        </w:rPr>
        <w:fldChar w:fldCharType="separate"/>
      </w:r>
      <w:r>
        <w:rPr>
          <w:rFonts w:hint="eastAsia"/>
          <w:sz w:val="28"/>
          <w:szCs w:val="28"/>
          <w:highlight w:val="none"/>
        </w:rPr>
        <w:t>第三章 评标办法（综合评估法）</w:t>
      </w:r>
      <w:r>
        <w:rPr>
          <w:sz w:val="28"/>
          <w:szCs w:val="28"/>
          <w:highlight w:val="none"/>
        </w:rPr>
        <w:tab/>
      </w:r>
      <w:r>
        <w:rPr>
          <w:rFonts w:hint="eastAsia"/>
          <w:sz w:val="28"/>
          <w:szCs w:val="28"/>
          <w:highlight w:val="none"/>
          <w:lang w:val="en-US" w:eastAsia="zh-CN"/>
        </w:rPr>
        <w:t>2</w:t>
      </w:r>
      <w:r>
        <w:rPr>
          <w:sz w:val="28"/>
          <w:szCs w:val="28"/>
          <w:highlight w:val="none"/>
        </w:rPr>
        <w:fldChar w:fldCharType="end"/>
      </w:r>
      <w:r>
        <w:rPr>
          <w:rFonts w:hint="eastAsia"/>
          <w:sz w:val="28"/>
          <w:szCs w:val="28"/>
          <w:highlight w:val="none"/>
          <w:lang w:val="en-US" w:eastAsia="zh-CN"/>
        </w:rPr>
        <w:t>3</w:t>
      </w:r>
    </w:p>
    <w:p>
      <w:pPr>
        <w:tabs>
          <w:tab w:val="right" w:leader="dot" w:pos="9638"/>
        </w:tabs>
        <w:rPr>
          <w:rFonts w:hint="eastAsia" w:eastAsia="宋体"/>
          <w:sz w:val="28"/>
          <w:szCs w:val="28"/>
          <w:highlight w:val="none"/>
          <w:lang w:val="en-US" w:eastAsia="zh-CN"/>
        </w:rPr>
      </w:pPr>
      <w:r>
        <w:rPr>
          <w:sz w:val="28"/>
          <w:szCs w:val="28"/>
          <w:highlight w:val="none"/>
        </w:rPr>
        <w:fldChar w:fldCharType="begin"/>
      </w:r>
      <w:r>
        <w:rPr>
          <w:sz w:val="28"/>
          <w:szCs w:val="28"/>
          <w:highlight w:val="none"/>
        </w:rPr>
        <w:instrText xml:space="preserve"> HYPERLINK \l "_Toc15641" </w:instrText>
      </w:r>
      <w:r>
        <w:rPr>
          <w:sz w:val="28"/>
          <w:szCs w:val="28"/>
          <w:highlight w:val="none"/>
        </w:rPr>
        <w:fldChar w:fldCharType="separate"/>
      </w:r>
      <w:r>
        <w:rPr>
          <w:rFonts w:hint="eastAsia"/>
          <w:sz w:val="28"/>
          <w:szCs w:val="28"/>
          <w:highlight w:val="none"/>
        </w:rPr>
        <w:t>第四章  投标文件格式</w:t>
      </w:r>
      <w:r>
        <w:rPr>
          <w:sz w:val="28"/>
          <w:szCs w:val="28"/>
          <w:highlight w:val="none"/>
        </w:rPr>
        <w:tab/>
      </w:r>
      <w:r>
        <w:rPr>
          <w:rFonts w:hint="eastAsia"/>
          <w:sz w:val="28"/>
          <w:szCs w:val="28"/>
          <w:highlight w:val="none"/>
          <w:lang w:val="en-US" w:eastAsia="zh-CN"/>
        </w:rPr>
        <w:t>3</w:t>
      </w:r>
      <w:r>
        <w:rPr>
          <w:sz w:val="28"/>
          <w:szCs w:val="28"/>
          <w:highlight w:val="none"/>
        </w:rPr>
        <w:fldChar w:fldCharType="end"/>
      </w:r>
      <w:r>
        <w:rPr>
          <w:rFonts w:hint="eastAsia"/>
          <w:sz w:val="28"/>
          <w:szCs w:val="28"/>
          <w:highlight w:val="none"/>
          <w:lang w:val="en-US" w:eastAsia="zh-CN"/>
        </w:rPr>
        <w:t>9</w:t>
      </w:r>
    </w:p>
    <w:p>
      <w:pPr>
        <w:tabs>
          <w:tab w:val="right" w:leader="dot" w:pos="9638"/>
        </w:tabs>
        <w:rPr>
          <w:rFonts w:hint="eastAsia" w:eastAsia="宋体"/>
          <w:sz w:val="28"/>
          <w:szCs w:val="28"/>
          <w:highlight w:val="none"/>
          <w:lang w:val="en-US" w:eastAsia="zh-CN"/>
        </w:rPr>
      </w:pPr>
      <w:r>
        <w:rPr>
          <w:sz w:val="28"/>
          <w:szCs w:val="28"/>
          <w:highlight w:val="none"/>
        </w:rPr>
        <w:fldChar w:fldCharType="begin"/>
      </w:r>
      <w:r>
        <w:rPr>
          <w:sz w:val="28"/>
          <w:szCs w:val="28"/>
          <w:highlight w:val="none"/>
        </w:rPr>
        <w:instrText xml:space="preserve"> HYPERLINK \l "_Toc11060" </w:instrText>
      </w:r>
      <w:r>
        <w:rPr>
          <w:sz w:val="28"/>
          <w:szCs w:val="28"/>
          <w:highlight w:val="none"/>
        </w:rPr>
        <w:fldChar w:fldCharType="separate"/>
      </w:r>
      <w:r>
        <w:rPr>
          <w:rFonts w:hint="eastAsia" w:ascii="宋体" w:hAnsi="宋体"/>
          <w:sz w:val="28"/>
          <w:szCs w:val="28"/>
          <w:highlight w:val="none"/>
          <w:lang w:eastAsia="zh-CN"/>
        </w:rPr>
        <w:t>第五章</w:t>
      </w:r>
      <w:r>
        <w:rPr>
          <w:rFonts w:hint="eastAsia" w:ascii="宋体" w:hAnsi="宋体"/>
          <w:sz w:val="28"/>
          <w:szCs w:val="28"/>
          <w:highlight w:val="none"/>
          <w:lang w:val="en-US" w:eastAsia="zh-CN"/>
        </w:rPr>
        <w:t xml:space="preserve"> 发包人要求</w:t>
      </w:r>
      <w:r>
        <w:rPr>
          <w:sz w:val="28"/>
          <w:szCs w:val="28"/>
          <w:highlight w:val="none"/>
        </w:rPr>
        <w:tab/>
      </w:r>
      <w:r>
        <w:rPr>
          <w:rFonts w:hint="eastAsia"/>
          <w:sz w:val="28"/>
          <w:szCs w:val="28"/>
          <w:highlight w:val="none"/>
          <w:lang w:val="en-US" w:eastAsia="zh-CN"/>
        </w:rPr>
        <w:t>7</w:t>
      </w:r>
      <w:r>
        <w:rPr>
          <w:sz w:val="28"/>
          <w:szCs w:val="28"/>
          <w:highlight w:val="none"/>
        </w:rPr>
        <w:fldChar w:fldCharType="end"/>
      </w:r>
      <w:r>
        <w:rPr>
          <w:rFonts w:hint="eastAsia"/>
          <w:sz w:val="28"/>
          <w:szCs w:val="28"/>
          <w:highlight w:val="none"/>
          <w:lang w:val="en-US" w:eastAsia="zh-CN"/>
        </w:rPr>
        <w:t>7</w:t>
      </w:r>
    </w:p>
    <w:p>
      <w:pPr>
        <w:tabs>
          <w:tab w:val="right" w:leader="dot" w:pos="9638"/>
        </w:tabs>
        <w:rPr>
          <w:rFonts w:hint="eastAsia" w:eastAsia="宋体"/>
          <w:sz w:val="28"/>
          <w:szCs w:val="28"/>
          <w:highlight w:val="none"/>
          <w:lang w:val="en-US" w:eastAsia="zh-CN"/>
        </w:rPr>
      </w:pPr>
      <w:r>
        <w:rPr>
          <w:sz w:val="28"/>
          <w:szCs w:val="28"/>
          <w:highlight w:val="none"/>
        </w:rPr>
        <w:fldChar w:fldCharType="begin"/>
      </w:r>
      <w:r>
        <w:rPr>
          <w:sz w:val="28"/>
          <w:szCs w:val="28"/>
          <w:highlight w:val="none"/>
        </w:rPr>
        <w:instrText xml:space="preserve"> HYPERLINK \l "_Toc24062" </w:instrText>
      </w:r>
      <w:r>
        <w:rPr>
          <w:sz w:val="28"/>
          <w:szCs w:val="28"/>
          <w:highlight w:val="none"/>
        </w:rPr>
        <w:fldChar w:fldCharType="separate"/>
      </w:r>
      <w:r>
        <w:rPr>
          <w:rFonts w:hint="eastAsia" w:ascii="宋体" w:hAnsi="宋体"/>
          <w:sz w:val="28"/>
          <w:szCs w:val="28"/>
          <w:highlight w:val="none"/>
          <w:lang w:eastAsia="zh-CN"/>
        </w:rPr>
        <w:t>第六章</w:t>
      </w:r>
      <w:r>
        <w:rPr>
          <w:rFonts w:hint="eastAsia" w:ascii="宋体" w:hAnsi="宋体"/>
          <w:sz w:val="28"/>
          <w:szCs w:val="28"/>
          <w:highlight w:val="none"/>
          <w:lang w:val="en-US" w:eastAsia="zh-CN"/>
        </w:rPr>
        <w:t xml:space="preserve"> </w:t>
      </w:r>
      <w:r>
        <w:rPr>
          <w:rFonts w:hint="eastAsia" w:ascii="宋体" w:hAnsi="宋体"/>
          <w:sz w:val="28"/>
          <w:szCs w:val="28"/>
          <w:highlight w:val="none"/>
          <w:lang w:eastAsia="zh-CN"/>
        </w:rPr>
        <w:t>合同条款</w:t>
      </w:r>
      <w:r>
        <w:rPr>
          <w:sz w:val="28"/>
          <w:szCs w:val="28"/>
          <w:highlight w:val="none"/>
        </w:rPr>
        <w:tab/>
      </w:r>
      <w:r>
        <w:rPr>
          <w:rFonts w:hint="eastAsia"/>
          <w:sz w:val="28"/>
          <w:szCs w:val="28"/>
          <w:highlight w:val="none"/>
          <w:lang w:val="en-US" w:eastAsia="zh-CN"/>
        </w:rPr>
        <w:t>7</w:t>
      </w:r>
      <w:r>
        <w:rPr>
          <w:sz w:val="28"/>
          <w:szCs w:val="28"/>
          <w:highlight w:val="none"/>
        </w:rPr>
        <w:fldChar w:fldCharType="end"/>
      </w:r>
      <w:r>
        <w:rPr>
          <w:rFonts w:hint="eastAsia"/>
          <w:sz w:val="28"/>
          <w:szCs w:val="28"/>
          <w:highlight w:val="none"/>
          <w:lang w:val="en-US" w:eastAsia="zh-CN"/>
        </w:rPr>
        <w:t>8</w:t>
      </w:r>
    </w:p>
    <w:p>
      <w:pPr>
        <w:tabs>
          <w:tab w:val="right" w:leader="dot" w:pos="9638"/>
        </w:tabs>
        <w:rPr>
          <w:highlight w:val="none"/>
        </w:rPr>
      </w:pPr>
    </w:p>
    <w:p>
      <w:pPr>
        <w:tabs>
          <w:tab w:val="right" w:leader="dot" w:pos="9628"/>
        </w:tabs>
        <w:rPr>
          <w:rFonts w:ascii="等线" w:hAnsi="等线"/>
          <w:highlight w:val="none"/>
        </w:rPr>
      </w:pPr>
      <w:r>
        <w:rPr>
          <w:highlight w:val="none"/>
        </w:rPr>
        <w:fldChar w:fldCharType="end"/>
      </w:r>
    </w:p>
    <w:p>
      <w:pPr>
        <w:jc w:val="center"/>
        <w:rPr>
          <w:highlight w:val="none"/>
        </w:rPr>
      </w:pPr>
    </w:p>
    <w:p>
      <w:pPr>
        <w:pStyle w:val="8"/>
        <w:sectPr>
          <w:footerReference r:id="rId4" w:type="default"/>
          <w:pgSz w:w="11906" w:h="16838"/>
          <w:pgMar w:top="1418" w:right="1134" w:bottom="1418" w:left="1134" w:header="851" w:footer="992" w:gutter="0"/>
          <w:pgNumType w:fmt="decimal" w:start="1"/>
          <w:cols w:space="720" w:num="1"/>
          <w:docGrid w:type="lines" w:linePitch="312" w:charSpace="0"/>
        </w:sectPr>
      </w:pPr>
    </w:p>
    <w:bookmarkEnd w:id="21"/>
    <w:bookmarkEnd w:id="22"/>
    <w:p>
      <w:pPr>
        <w:jc w:val="center"/>
        <w:rPr>
          <w:b/>
          <w:bCs/>
          <w:sz w:val="30"/>
          <w:szCs w:val="30"/>
          <w:highlight w:val="none"/>
        </w:rPr>
      </w:pPr>
      <w:bookmarkStart w:id="26" w:name="_Toc28726"/>
      <w:bookmarkStart w:id="27" w:name="_Toc12261"/>
      <w:bookmarkStart w:id="28" w:name="_Toc19758"/>
      <w:bookmarkStart w:id="29" w:name="_Toc3795"/>
      <w:bookmarkStart w:id="30" w:name="_Toc3086"/>
      <w:bookmarkStart w:id="31" w:name="_Toc7736"/>
      <w:bookmarkStart w:id="32" w:name="_Toc247513933"/>
      <w:bookmarkStart w:id="33" w:name="_Toc247527534"/>
      <w:bookmarkStart w:id="34" w:name="_Toc19223"/>
      <w:bookmarkStart w:id="35" w:name="_Toc32192"/>
      <w:bookmarkStart w:id="36" w:name="_Toc29134"/>
      <w:bookmarkStart w:id="37" w:name="_Toc10899"/>
      <w:bookmarkStart w:id="38" w:name="_Toc51288180"/>
      <w:r>
        <w:rPr>
          <w:rFonts w:hint="eastAsia"/>
          <w:b/>
          <w:bCs/>
          <w:sz w:val="30"/>
          <w:szCs w:val="30"/>
          <w:highlight w:val="none"/>
        </w:rPr>
        <w:t xml:space="preserve">第一章 </w:t>
      </w:r>
      <w:r>
        <w:rPr>
          <w:rFonts w:hint="eastAsia"/>
          <w:b/>
          <w:bCs/>
          <w:sz w:val="30"/>
          <w:szCs w:val="30"/>
          <w:highlight w:val="none"/>
          <w:lang w:val="en-US" w:eastAsia="zh-CN"/>
        </w:rPr>
        <w:t xml:space="preserve">  </w:t>
      </w:r>
      <w:r>
        <w:rPr>
          <w:rFonts w:hint="eastAsia"/>
          <w:b/>
          <w:bCs/>
          <w:sz w:val="30"/>
          <w:szCs w:val="30"/>
          <w:highlight w:val="none"/>
        </w:rPr>
        <w:t>招标公告</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pPr>
        <w:spacing w:line="440" w:lineRule="exact"/>
        <w:jc w:val="left"/>
        <w:rPr>
          <w:rFonts w:ascii="宋体" w:hAnsi="宋体" w:cs="宋体"/>
          <w:szCs w:val="21"/>
          <w:highlight w:val="none"/>
        </w:rPr>
      </w:pPr>
      <w:r>
        <w:rPr>
          <w:rFonts w:hint="eastAsia" w:ascii="宋体" w:hAnsi="宋体" w:cs="宋体"/>
          <w:szCs w:val="21"/>
          <w:highlight w:val="none"/>
        </w:rPr>
        <w:t>详见招标公告（另册）。</w:t>
      </w:r>
    </w:p>
    <w:p>
      <w:pPr>
        <w:spacing w:line="400" w:lineRule="exact"/>
        <w:ind w:firstLine="2940" w:firstLineChars="1400"/>
        <w:jc w:val="left"/>
        <w:rPr>
          <w:sz w:val="28"/>
          <w:szCs w:val="28"/>
          <w:highlight w:val="none"/>
        </w:rPr>
      </w:pPr>
      <w:r>
        <w:rPr>
          <w:highlight w:val="none"/>
        </w:rPr>
        <w:br w:type="page"/>
      </w:r>
    </w:p>
    <w:p>
      <w:pPr>
        <w:jc w:val="center"/>
        <w:rPr>
          <w:b/>
          <w:bCs/>
          <w:sz w:val="32"/>
          <w:szCs w:val="32"/>
          <w:highlight w:val="none"/>
        </w:rPr>
      </w:pPr>
      <w:bookmarkStart w:id="39" w:name="_Toc1393"/>
      <w:bookmarkStart w:id="40" w:name="_Toc51288188"/>
      <w:bookmarkStart w:id="41" w:name="_Toc1273"/>
      <w:bookmarkStart w:id="42" w:name="_Toc152045527"/>
      <w:bookmarkStart w:id="43" w:name="_Toc5855"/>
      <w:bookmarkStart w:id="44" w:name="_Toc6392"/>
      <w:bookmarkStart w:id="45" w:name="_Toc7980"/>
      <w:bookmarkStart w:id="46" w:name="_Toc152042303"/>
      <w:bookmarkStart w:id="47" w:name="_Toc15997"/>
      <w:bookmarkStart w:id="48" w:name="_Toc8739"/>
      <w:bookmarkStart w:id="49" w:name="_Toc6052"/>
      <w:bookmarkStart w:id="50" w:name="_Toc144974495"/>
      <w:bookmarkStart w:id="51" w:name="_Toc247527551"/>
      <w:bookmarkStart w:id="52" w:name="_Toc15821"/>
      <w:bookmarkStart w:id="53" w:name="_Toc10975"/>
      <w:bookmarkStart w:id="54" w:name="_Toc247513950"/>
      <w:r>
        <w:rPr>
          <w:rFonts w:hint="eastAsia"/>
          <w:b/>
          <w:bCs/>
          <w:sz w:val="32"/>
          <w:szCs w:val="32"/>
          <w:highlight w:val="none"/>
        </w:rPr>
        <w:t>第二章 投标人须知</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jc w:val="center"/>
        <w:rPr>
          <w:highlight w:val="none"/>
        </w:rPr>
      </w:pPr>
      <w:bookmarkStart w:id="55" w:name="_Toc144974496"/>
      <w:bookmarkStart w:id="56" w:name="_Toc4120"/>
      <w:bookmarkStart w:id="57" w:name="_Toc22584"/>
      <w:bookmarkStart w:id="58" w:name="_Toc247513951"/>
      <w:bookmarkStart w:id="59" w:name="_Toc3492"/>
      <w:bookmarkStart w:id="60" w:name="_Toc13123"/>
      <w:bookmarkStart w:id="61" w:name="_Toc2301"/>
      <w:bookmarkStart w:id="62" w:name="_Toc152042304"/>
      <w:bookmarkStart w:id="63" w:name="_Toc51288189"/>
      <w:bookmarkStart w:id="64" w:name="_Toc31879"/>
      <w:bookmarkStart w:id="65" w:name="_Toc247527552"/>
      <w:bookmarkStart w:id="66" w:name="_Toc2818"/>
      <w:bookmarkStart w:id="67" w:name="_Toc8667"/>
      <w:bookmarkStart w:id="68" w:name="_Toc23236"/>
      <w:bookmarkStart w:id="69" w:name="_Toc152045528"/>
      <w:bookmarkStart w:id="70" w:name="_Toc3966"/>
      <w:r>
        <w:rPr>
          <w:rFonts w:hint="eastAsia"/>
          <w:highlight w:val="none"/>
        </w:rPr>
        <w:t>投标人须知前附表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tbl>
      <w:tblPr>
        <w:tblStyle w:val="16"/>
        <w:tblW w:w="9854" w:type="dxa"/>
        <w:jc w:val="center"/>
        <w:tblInd w:w="0" w:type="dxa"/>
        <w:tblLayout w:type="fixed"/>
        <w:tblCellMar>
          <w:top w:w="0" w:type="dxa"/>
          <w:left w:w="10" w:type="dxa"/>
          <w:bottom w:w="0" w:type="dxa"/>
          <w:right w:w="10" w:type="dxa"/>
        </w:tblCellMar>
      </w:tblPr>
      <w:tblGrid>
        <w:gridCol w:w="1165"/>
        <w:gridCol w:w="1729"/>
        <w:gridCol w:w="6960"/>
      </w:tblGrid>
      <w:tr>
        <w:tblPrEx>
          <w:tblLayout w:type="fixed"/>
          <w:tblCellMar>
            <w:top w:w="0" w:type="dxa"/>
            <w:left w:w="10" w:type="dxa"/>
            <w:bottom w:w="0" w:type="dxa"/>
            <w:right w:w="10" w:type="dxa"/>
          </w:tblCellMar>
        </w:tblPrEx>
        <w:trPr>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szCs w:val="21"/>
                <w:highlight w:val="none"/>
              </w:rPr>
            </w:pPr>
            <w:r>
              <w:rPr>
                <w:rFonts w:hint="eastAsia" w:ascii="宋体" w:hAnsi="宋体" w:cs="宋体"/>
                <w:b/>
                <w:szCs w:val="21"/>
                <w:highlight w:val="none"/>
              </w:rPr>
              <w:t>条款号</w:t>
            </w:r>
          </w:p>
        </w:tc>
        <w:tc>
          <w:tcPr>
            <w:tcW w:w="17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szCs w:val="21"/>
                <w:highlight w:val="none"/>
              </w:rPr>
            </w:pPr>
            <w:r>
              <w:rPr>
                <w:rFonts w:hint="eastAsia" w:ascii="宋体" w:hAnsi="宋体" w:cs="宋体"/>
                <w:b/>
                <w:szCs w:val="21"/>
                <w:highlight w:val="none"/>
              </w:rPr>
              <w:t>条  款  名  称</w:t>
            </w:r>
          </w:p>
        </w:tc>
        <w:tc>
          <w:tcPr>
            <w:tcW w:w="69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szCs w:val="21"/>
                <w:highlight w:val="none"/>
              </w:rPr>
            </w:pPr>
            <w:r>
              <w:rPr>
                <w:rFonts w:hint="eastAsia" w:ascii="宋体" w:hAnsi="宋体" w:cs="宋体"/>
                <w:b/>
                <w:szCs w:val="21"/>
                <w:highlight w:val="none"/>
              </w:rPr>
              <w:t>编  列  内  容</w:t>
            </w:r>
          </w:p>
        </w:tc>
      </w:tr>
      <w:tr>
        <w:tblPrEx>
          <w:tblLayout w:type="fixed"/>
          <w:tblCellMar>
            <w:top w:w="0" w:type="dxa"/>
            <w:left w:w="10" w:type="dxa"/>
            <w:bottom w:w="0" w:type="dxa"/>
            <w:right w:w="10" w:type="dxa"/>
          </w:tblCellMar>
        </w:tblPrEx>
        <w:trPr>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1.1.2</w:t>
            </w:r>
          </w:p>
        </w:tc>
        <w:tc>
          <w:tcPr>
            <w:tcW w:w="17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招标人</w:t>
            </w:r>
          </w:p>
        </w:tc>
        <w:tc>
          <w:tcPr>
            <w:tcW w:w="6960" w:type="dxa"/>
            <w:tcBorders>
              <w:top w:val="single" w:color="auto" w:sz="4" w:space="0"/>
              <w:left w:val="single" w:color="auto" w:sz="4" w:space="0"/>
              <w:bottom w:val="single" w:color="auto" w:sz="4" w:space="0"/>
              <w:right w:val="single" w:color="auto" w:sz="4" w:space="0"/>
            </w:tcBorders>
            <w:vAlign w:val="center"/>
          </w:tcPr>
          <w:p>
            <w:pPr>
              <w:spacing w:line="440" w:lineRule="exact"/>
              <w:rPr>
                <w:highlight w:val="none"/>
              </w:rPr>
            </w:pPr>
            <w:r>
              <w:rPr>
                <w:rFonts w:hint="eastAsia" w:ascii="宋体" w:hAnsi="宋体" w:cs="宋体"/>
                <w:szCs w:val="21"/>
                <w:highlight w:val="none"/>
              </w:rPr>
              <w:t>名称：</w:t>
            </w:r>
            <w:r>
              <w:rPr>
                <w:rFonts w:hint="eastAsia" w:ascii="宋体" w:hAnsi="宋体" w:cs="宋体"/>
                <w:szCs w:val="21"/>
                <w:highlight w:val="none"/>
                <w:u w:val="single"/>
              </w:rPr>
              <w:t>南方鼎元资产运营有限责任公司</w:t>
            </w:r>
          </w:p>
          <w:p>
            <w:pPr>
              <w:spacing w:line="440" w:lineRule="exact"/>
              <w:rPr>
                <w:rFonts w:hint="eastAsia" w:ascii="宋体" w:hAnsi="宋体" w:cs="宋体"/>
                <w:szCs w:val="21"/>
                <w:highlight w:val="none"/>
                <w:u w:val="single"/>
                <w:lang w:val="en-US" w:eastAsia="zh-CN"/>
              </w:rPr>
            </w:pPr>
            <w:r>
              <w:rPr>
                <w:rFonts w:hint="eastAsia" w:ascii="宋体" w:hAnsi="宋体" w:cs="宋体"/>
                <w:szCs w:val="21"/>
                <w:highlight w:val="none"/>
              </w:rPr>
              <w:t>地址：</w:t>
            </w:r>
            <w:r>
              <w:rPr>
                <w:rFonts w:hint="eastAsia" w:ascii="宋体" w:hAnsi="宋体" w:cs="宋体"/>
                <w:szCs w:val="21"/>
                <w:highlight w:val="none"/>
                <w:u w:val="single"/>
              </w:rPr>
              <w:t>广州市天河区</w:t>
            </w:r>
            <w:r>
              <w:rPr>
                <w:rFonts w:hint="eastAsia" w:ascii="宋体" w:hAnsi="宋体" w:cs="宋体"/>
                <w:szCs w:val="21"/>
                <w:highlight w:val="none"/>
                <w:u w:val="single"/>
                <w:lang w:eastAsia="zh-CN"/>
              </w:rPr>
              <w:t>华穗路</w:t>
            </w:r>
            <w:r>
              <w:rPr>
                <w:rFonts w:hint="eastAsia" w:ascii="宋体" w:hAnsi="宋体" w:cs="宋体"/>
                <w:szCs w:val="21"/>
                <w:highlight w:val="none"/>
                <w:u w:val="single"/>
                <w:lang w:val="en-US" w:eastAsia="zh-CN"/>
              </w:rPr>
              <w:t>6号</w:t>
            </w:r>
          </w:p>
          <w:p>
            <w:pPr>
              <w:spacing w:line="440" w:lineRule="exact"/>
              <w:rPr>
                <w:rFonts w:ascii="宋体" w:hAnsi="宋体" w:cs="宋体"/>
                <w:szCs w:val="21"/>
                <w:highlight w:val="none"/>
                <w:u w:val="single"/>
              </w:rPr>
            </w:pPr>
            <w:r>
              <w:rPr>
                <w:rFonts w:hint="eastAsia" w:ascii="宋体" w:hAnsi="宋体" w:cs="宋体"/>
                <w:szCs w:val="21"/>
                <w:highlight w:val="none"/>
              </w:rPr>
              <w:t>联系人：</w:t>
            </w:r>
            <w:r>
              <w:rPr>
                <w:rFonts w:hint="eastAsia" w:ascii="宋体" w:hAnsi="宋体" w:cs="宋体"/>
                <w:szCs w:val="21"/>
                <w:highlight w:val="none"/>
                <w:u w:val="single"/>
                <w:lang w:val="en-US" w:eastAsia="zh-CN"/>
              </w:rPr>
              <w:t>周工</w:t>
            </w:r>
          </w:p>
          <w:p>
            <w:pPr>
              <w:spacing w:line="440" w:lineRule="exact"/>
              <w:rPr>
                <w:rFonts w:hint="eastAsia" w:ascii="宋体" w:hAnsi="宋体" w:eastAsia="宋体" w:cs="宋体"/>
                <w:szCs w:val="21"/>
                <w:highlight w:val="none"/>
                <w:u w:val="single"/>
                <w:lang w:eastAsia="zh-CN"/>
              </w:rPr>
            </w:pPr>
            <w:r>
              <w:rPr>
                <w:rFonts w:hint="eastAsia" w:ascii="宋体" w:hAnsi="宋体" w:cs="宋体"/>
                <w:szCs w:val="21"/>
                <w:highlight w:val="none"/>
              </w:rPr>
              <w:t>电话：</w:t>
            </w:r>
            <w:r>
              <w:rPr>
                <w:rFonts w:hint="eastAsia" w:ascii="宋体" w:hAnsi="宋体" w:cs="宋体"/>
                <w:szCs w:val="21"/>
                <w:highlight w:val="none"/>
                <w:u w:val="single"/>
              </w:rPr>
              <w:t>020-3812193</w:t>
            </w:r>
            <w:r>
              <w:rPr>
                <w:rFonts w:hint="eastAsia" w:ascii="宋体" w:hAnsi="宋体" w:cs="宋体"/>
                <w:szCs w:val="21"/>
                <w:highlight w:val="none"/>
                <w:u w:val="single"/>
                <w:lang w:eastAsia="zh-CN"/>
              </w:rPr>
              <w:t>4</w:t>
            </w:r>
          </w:p>
        </w:tc>
      </w:tr>
      <w:tr>
        <w:tblPrEx>
          <w:tblLayout w:type="fixed"/>
          <w:tblCellMar>
            <w:top w:w="0" w:type="dxa"/>
            <w:left w:w="10" w:type="dxa"/>
            <w:bottom w:w="0" w:type="dxa"/>
            <w:right w:w="10" w:type="dxa"/>
          </w:tblCellMar>
        </w:tblPrEx>
        <w:trPr>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1.1.3</w:t>
            </w:r>
          </w:p>
        </w:tc>
        <w:tc>
          <w:tcPr>
            <w:tcW w:w="17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招标代理机构</w:t>
            </w:r>
          </w:p>
        </w:tc>
        <w:tc>
          <w:tcPr>
            <w:tcW w:w="696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highlight w:val="none"/>
                <w:u w:val="single"/>
              </w:rPr>
            </w:pPr>
            <w:r>
              <w:rPr>
                <w:rFonts w:hint="eastAsia" w:ascii="宋体" w:hAnsi="宋体" w:cs="宋体"/>
                <w:szCs w:val="21"/>
                <w:highlight w:val="none"/>
              </w:rPr>
              <w:t>名称：</w:t>
            </w:r>
            <w:r>
              <w:rPr>
                <w:rFonts w:hint="eastAsia" w:ascii="宋体" w:hAnsi="宋体" w:cs="宋体"/>
                <w:szCs w:val="21"/>
                <w:highlight w:val="none"/>
                <w:u w:val="single"/>
              </w:rPr>
              <w:t>南方电网供应链集团有限公司</w:t>
            </w:r>
          </w:p>
          <w:p>
            <w:pPr>
              <w:spacing w:line="440" w:lineRule="exact"/>
              <w:rPr>
                <w:rFonts w:ascii="宋体" w:hAnsi="宋体" w:cs="宋体"/>
                <w:szCs w:val="21"/>
                <w:highlight w:val="none"/>
                <w:u w:val="single"/>
              </w:rPr>
            </w:pPr>
            <w:r>
              <w:rPr>
                <w:rFonts w:hint="eastAsia" w:ascii="宋体" w:hAnsi="宋体" w:cs="宋体"/>
                <w:szCs w:val="21"/>
                <w:highlight w:val="none"/>
              </w:rPr>
              <w:t>地址：</w:t>
            </w:r>
            <w:r>
              <w:rPr>
                <w:rFonts w:hint="eastAsia" w:ascii="宋体" w:hAnsi="宋体" w:cs="宋体"/>
                <w:szCs w:val="21"/>
                <w:highlight w:val="none"/>
                <w:u w:val="single"/>
              </w:rPr>
              <w:t>广州市天河区天河路178号</w:t>
            </w:r>
          </w:p>
          <w:p>
            <w:pPr>
              <w:spacing w:line="440" w:lineRule="exact"/>
              <w:rPr>
                <w:rFonts w:ascii="宋体" w:hAnsi="宋体" w:cs="宋体"/>
                <w:szCs w:val="21"/>
                <w:highlight w:val="none"/>
                <w:u w:val="single"/>
              </w:rPr>
            </w:pPr>
            <w:r>
              <w:rPr>
                <w:rFonts w:hint="eastAsia" w:ascii="宋体" w:hAnsi="宋体" w:cs="宋体"/>
                <w:szCs w:val="21"/>
                <w:highlight w:val="none"/>
              </w:rPr>
              <w:t>联系人：</w:t>
            </w:r>
            <w:r>
              <w:rPr>
                <w:rFonts w:hint="eastAsia" w:ascii="宋体" w:hAnsi="宋体" w:cs="宋体"/>
                <w:szCs w:val="21"/>
                <w:highlight w:val="none"/>
                <w:u w:val="single"/>
              </w:rPr>
              <w:t>张工</w:t>
            </w:r>
          </w:p>
          <w:p>
            <w:pPr>
              <w:spacing w:line="440" w:lineRule="exact"/>
              <w:rPr>
                <w:rFonts w:ascii="宋体" w:hAnsi="宋体" w:cs="宋体"/>
                <w:szCs w:val="21"/>
                <w:highlight w:val="none"/>
                <w:u w:val="single"/>
              </w:rPr>
            </w:pPr>
            <w:r>
              <w:rPr>
                <w:rFonts w:hint="eastAsia" w:ascii="宋体" w:hAnsi="宋体" w:cs="宋体"/>
                <w:szCs w:val="21"/>
                <w:highlight w:val="none"/>
              </w:rPr>
              <w:t>电话：</w:t>
            </w:r>
            <w:r>
              <w:rPr>
                <w:rFonts w:hint="eastAsia" w:ascii="宋体" w:hAnsi="宋体" w:cs="宋体"/>
                <w:szCs w:val="21"/>
                <w:highlight w:val="none"/>
                <w:u w:val="single"/>
              </w:rPr>
              <w:t>020-38122371</w:t>
            </w:r>
          </w:p>
        </w:tc>
      </w:tr>
      <w:tr>
        <w:tblPrEx>
          <w:tblLayout w:type="fixed"/>
          <w:tblCellMar>
            <w:top w:w="0" w:type="dxa"/>
            <w:left w:w="10" w:type="dxa"/>
            <w:bottom w:w="0" w:type="dxa"/>
            <w:right w:w="10" w:type="dxa"/>
          </w:tblCellMar>
        </w:tblPrEx>
        <w:trPr>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1.1.4</w:t>
            </w:r>
          </w:p>
        </w:tc>
        <w:tc>
          <w:tcPr>
            <w:tcW w:w="17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项目名称</w:t>
            </w:r>
          </w:p>
        </w:tc>
        <w:tc>
          <w:tcPr>
            <w:tcW w:w="696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highlight w:val="none"/>
              </w:rPr>
            </w:pPr>
            <w:r>
              <w:rPr>
                <w:rFonts w:hint="eastAsia" w:ascii="宋体" w:hAnsi="宋体" w:cs="宋体"/>
                <w:sz w:val="21"/>
                <w:szCs w:val="21"/>
                <w:highlight w:val="none"/>
                <w:u w:val="none"/>
              </w:rPr>
              <w:t>番禺电力科技园三期C、D、E、H栋设计施工总承包</w:t>
            </w:r>
          </w:p>
        </w:tc>
      </w:tr>
      <w:tr>
        <w:tblPrEx>
          <w:tblLayout w:type="fixed"/>
          <w:tblCellMar>
            <w:top w:w="0" w:type="dxa"/>
            <w:left w:w="10" w:type="dxa"/>
            <w:bottom w:w="0" w:type="dxa"/>
            <w:right w:w="10" w:type="dxa"/>
          </w:tblCellMar>
        </w:tblPrEx>
        <w:trPr>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1.1.5</w:t>
            </w:r>
          </w:p>
        </w:tc>
        <w:tc>
          <w:tcPr>
            <w:tcW w:w="17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建设地点</w:t>
            </w:r>
          </w:p>
        </w:tc>
        <w:tc>
          <w:tcPr>
            <w:tcW w:w="696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highlight w:val="none"/>
              </w:rPr>
            </w:pPr>
            <w:r>
              <w:rPr>
                <w:rFonts w:hint="eastAsia" w:ascii="宋体" w:hAnsi="宋体" w:cs="宋体"/>
                <w:szCs w:val="21"/>
                <w:highlight w:val="none"/>
              </w:rPr>
              <w:t>广州市番禺区中部东环街，东侧为信业悦都荟，南侧为东沙工业区，西侧为东星路，北侧为莲花大道</w:t>
            </w:r>
            <w:r>
              <w:rPr>
                <w:rFonts w:hint="eastAsia" w:ascii="宋体" w:hAnsi="宋体" w:cs="宋体"/>
                <w:szCs w:val="21"/>
                <w:highlight w:val="none"/>
                <w:lang w:val="en-US" w:eastAsia="zh-CN"/>
              </w:rPr>
              <w:t>，东北角紧邻佛莞城际轨道</w:t>
            </w:r>
          </w:p>
        </w:tc>
      </w:tr>
      <w:tr>
        <w:tblPrEx>
          <w:tblLayout w:type="fixed"/>
          <w:tblCellMar>
            <w:top w:w="0" w:type="dxa"/>
            <w:left w:w="10" w:type="dxa"/>
            <w:bottom w:w="0" w:type="dxa"/>
            <w:right w:w="10" w:type="dxa"/>
          </w:tblCellMar>
        </w:tblPrEx>
        <w:trPr>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1.2.1</w:t>
            </w:r>
          </w:p>
        </w:tc>
        <w:tc>
          <w:tcPr>
            <w:tcW w:w="17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资金来源及比例</w:t>
            </w:r>
          </w:p>
        </w:tc>
        <w:tc>
          <w:tcPr>
            <w:tcW w:w="696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highlight w:val="none"/>
                <w:u w:val="single"/>
              </w:rPr>
            </w:pPr>
            <w:r>
              <w:rPr>
                <w:rFonts w:hint="eastAsia" w:ascii="宋体" w:hAnsi="宋体" w:cs="宋体"/>
                <w:szCs w:val="21"/>
                <w:highlight w:val="none"/>
                <w:u w:val="single"/>
              </w:rPr>
              <w:t>自筹资金，100%</w:t>
            </w:r>
          </w:p>
        </w:tc>
      </w:tr>
      <w:tr>
        <w:tblPrEx>
          <w:tblLayout w:type="fixed"/>
          <w:tblCellMar>
            <w:top w:w="0" w:type="dxa"/>
            <w:left w:w="10" w:type="dxa"/>
            <w:bottom w:w="0" w:type="dxa"/>
            <w:right w:w="10" w:type="dxa"/>
          </w:tblCellMar>
        </w:tblPrEx>
        <w:trPr>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1.2.2</w:t>
            </w:r>
          </w:p>
        </w:tc>
        <w:tc>
          <w:tcPr>
            <w:tcW w:w="17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资金落实情况</w:t>
            </w:r>
          </w:p>
        </w:tc>
        <w:tc>
          <w:tcPr>
            <w:tcW w:w="696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highlight w:val="none"/>
              </w:rPr>
            </w:pPr>
            <w:r>
              <w:rPr>
                <w:rFonts w:hint="eastAsia" w:ascii="宋体" w:hAnsi="宋体" w:cs="宋体"/>
                <w:szCs w:val="21"/>
                <w:highlight w:val="none"/>
                <w:lang w:val="zh-CN"/>
              </w:rPr>
              <w:t>已落实</w:t>
            </w:r>
          </w:p>
        </w:tc>
      </w:tr>
      <w:tr>
        <w:tblPrEx>
          <w:tblLayout w:type="fixed"/>
          <w:tblCellMar>
            <w:top w:w="0" w:type="dxa"/>
            <w:left w:w="10" w:type="dxa"/>
            <w:bottom w:w="0" w:type="dxa"/>
            <w:right w:w="10" w:type="dxa"/>
          </w:tblCellMar>
        </w:tblPrEx>
        <w:trPr>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1.3.1</w:t>
            </w:r>
          </w:p>
        </w:tc>
        <w:tc>
          <w:tcPr>
            <w:tcW w:w="17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招标范围</w:t>
            </w:r>
          </w:p>
        </w:tc>
        <w:tc>
          <w:tcPr>
            <w:tcW w:w="6960"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ascii="宋体" w:hAnsi="宋体" w:cs="宋体"/>
                <w:szCs w:val="21"/>
                <w:highlight w:val="none"/>
                <w:u w:val="single"/>
              </w:rPr>
            </w:pPr>
            <w:r>
              <w:rPr>
                <w:rFonts w:hint="eastAsia" w:ascii="宋体" w:hAnsi="宋体" w:cs="宋体"/>
                <w:szCs w:val="21"/>
                <w:highlight w:val="none"/>
                <w:u w:val="single"/>
              </w:rPr>
              <w:t>1、设计：建筑方案优化调整及报建报批、初步设计、施工图设计、竣工图、概预算文件的编制；设计范围包括但不限于场平及基坑支护、建筑、结构（含钢结构）、给排水、电气、暖通、人防、消防、室内装修、BIM</w:t>
            </w:r>
            <w:r>
              <w:rPr>
                <w:rFonts w:hint="eastAsia" w:ascii="宋体" w:hAnsi="宋体" w:cs="宋体"/>
                <w:szCs w:val="21"/>
                <w:highlight w:val="none"/>
                <w:u w:val="single"/>
                <w:lang w:eastAsia="zh-CN"/>
              </w:rPr>
              <w:t>设计</w:t>
            </w:r>
            <w:r>
              <w:rPr>
                <w:rFonts w:hint="eastAsia" w:ascii="宋体" w:hAnsi="宋体" w:cs="宋体"/>
                <w:szCs w:val="21"/>
                <w:highlight w:val="none"/>
                <w:u w:val="single"/>
              </w:rPr>
              <w:t>、智能化系统、</w:t>
            </w:r>
            <w:r>
              <w:rPr>
                <w:rFonts w:hint="eastAsia" w:ascii="宋体" w:hAnsi="宋体" w:cs="宋体"/>
                <w:szCs w:val="21"/>
                <w:highlight w:val="none"/>
                <w:u w:val="single"/>
                <w:lang w:val="en-US" w:eastAsia="zh-CN"/>
              </w:rPr>
              <w:t>智慧园区综合管理系统、</w:t>
            </w:r>
            <w:r>
              <w:rPr>
                <w:rFonts w:hint="eastAsia" w:ascii="宋体" w:hAnsi="宋体" w:cs="宋体"/>
                <w:szCs w:val="21"/>
                <w:highlight w:val="none"/>
                <w:u w:val="single"/>
              </w:rPr>
              <w:t>室外工程（含接驳）、园林景观工程、绿建节能</w:t>
            </w:r>
            <w:r>
              <w:rPr>
                <w:rFonts w:hint="eastAsia" w:ascii="宋体" w:hAnsi="宋体" w:cs="宋体"/>
                <w:szCs w:val="21"/>
                <w:highlight w:val="none"/>
                <w:u w:val="single"/>
                <w:lang w:val="en-US" w:eastAsia="zh-CN"/>
              </w:rPr>
              <w:t>（含近零碳建筑设计）</w:t>
            </w:r>
            <w:r>
              <w:rPr>
                <w:rFonts w:hint="eastAsia" w:ascii="宋体" w:hAnsi="宋体" w:cs="宋体"/>
                <w:szCs w:val="21"/>
                <w:highlight w:val="none"/>
                <w:u w:val="single"/>
              </w:rPr>
              <w:t>、泛光照明、厨房工程、供电供水供气、通信</w:t>
            </w:r>
            <w:r>
              <w:rPr>
                <w:rFonts w:hint="eastAsia" w:ascii="宋体" w:hAnsi="宋体" w:cs="宋体"/>
                <w:szCs w:val="21"/>
                <w:highlight w:val="none"/>
                <w:u w:val="single"/>
                <w:lang w:val="en-US" w:eastAsia="zh-CN"/>
              </w:rPr>
              <w:t>，以及邻近轨道侧建筑减震、降噪措施设计</w:t>
            </w:r>
            <w:r>
              <w:rPr>
                <w:rFonts w:hint="eastAsia" w:ascii="宋体" w:hAnsi="宋体" w:cs="宋体"/>
                <w:szCs w:val="21"/>
                <w:highlight w:val="none"/>
                <w:u w:val="single"/>
              </w:rPr>
              <w:t>等；提供施工全过程设计工代驻场服务；完成设计报建报批；提交设计总结报告等</w:t>
            </w:r>
            <w:r>
              <w:rPr>
                <w:rFonts w:hint="eastAsia" w:ascii="宋体" w:hAnsi="宋体" w:cs="宋体"/>
                <w:szCs w:val="21"/>
                <w:highlight w:val="none"/>
                <w:u w:val="single"/>
                <w:lang w:eastAsia="zh-CN"/>
              </w:rPr>
              <w:t>，具体</w:t>
            </w:r>
            <w:r>
              <w:rPr>
                <w:rFonts w:hint="eastAsia" w:ascii="宋体" w:hAnsi="宋体" w:cs="宋体"/>
                <w:szCs w:val="21"/>
                <w:highlight w:val="none"/>
                <w:u w:val="single"/>
                <w:lang w:val="en-US" w:eastAsia="zh-CN"/>
              </w:rPr>
              <w:t>设计</w:t>
            </w:r>
            <w:r>
              <w:rPr>
                <w:rFonts w:hint="eastAsia" w:ascii="宋体" w:hAnsi="宋体" w:cs="宋体"/>
                <w:szCs w:val="21"/>
                <w:highlight w:val="none"/>
                <w:u w:val="single"/>
                <w:lang w:eastAsia="zh-CN"/>
              </w:rPr>
              <w:t>范围以发包人需求书或可研报告为准</w:t>
            </w:r>
            <w:r>
              <w:rPr>
                <w:rFonts w:hint="eastAsia" w:ascii="宋体" w:hAnsi="宋体" w:cs="宋体"/>
                <w:strike w:val="0"/>
                <w:szCs w:val="21"/>
                <w:highlight w:val="none"/>
                <w:u w:val="single"/>
              </w:rPr>
              <w:t>。</w:t>
            </w:r>
          </w:p>
          <w:p>
            <w:pPr>
              <w:spacing w:line="440" w:lineRule="exact"/>
              <w:ind w:firstLine="0" w:firstLineChars="0"/>
              <w:rPr>
                <w:rFonts w:ascii="宋体" w:hAnsi="宋体" w:cs="宋体"/>
                <w:szCs w:val="21"/>
                <w:highlight w:val="none"/>
                <w:u w:val="single"/>
              </w:rPr>
            </w:pPr>
            <w:r>
              <w:rPr>
                <w:rFonts w:hint="eastAsia" w:ascii="宋体" w:hAnsi="宋体" w:cs="宋体"/>
                <w:szCs w:val="21"/>
                <w:highlight w:val="none"/>
                <w:u w:val="single"/>
              </w:rPr>
              <w:t>2、施工：完成上述设计内容</w:t>
            </w:r>
            <w:r>
              <w:rPr>
                <w:rFonts w:hint="eastAsia" w:ascii="宋体" w:hAnsi="宋体" w:cs="宋体"/>
                <w:szCs w:val="21"/>
                <w:highlight w:val="none"/>
                <w:u w:val="single"/>
                <w:lang w:val="en-US" w:eastAsia="zh-CN"/>
              </w:rPr>
              <w:t>（除电梯外）</w:t>
            </w:r>
            <w:r>
              <w:rPr>
                <w:rFonts w:hint="eastAsia" w:ascii="宋体" w:hAnsi="宋体" w:cs="宋体"/>
                <w:szCs w:val="21"/>
                <w:highlight w:val="none"/>
                <w:u w:val="single"/>
              </w:rPr>
              <w:t>的施工、调试、验收，以及质保期服务，</w:t>
            </w:r>
            <w:r>
              <w:rPr>
                <w:rFonts w:hint="eastAsia" w:ascii="宋体" w:hAnsi="宋体" w:cs="宋体"/>
                <w:szCs w:val="21"/>
                <w:highlight w:val="none"/>
                <w:u w:val="single"/>
                <w:lang w:val="zh-CN" w:eastAsia="zh-CN"/>
              </w:rPr>
              <w:t>具体施工范围以施工图设计文件</w:t>
            </w:r>
            <w:r>
              <w:rPr>
                <w:rFonts w:hint="eastAsia" w:ascii="宋体" w:hAnsi="宋体" w:cs="宋体"/>
                <w:szCs w:val="21"/>
                <w:highlight w:val="none"/>
                <w:u w:val="single"/>
                <w:lang w:val="en-US" w:eastAsia="zh-CN"/>
              </w:rPr>
              <w:t>和合同约定</w:t>
            </w:r>
            <w:r>
              <w:rPr>
                <w:rFonts w:hint="eastAsia" w:ascii="宋体" w:hAnsi="宋体" w:cs="宋体"/>
                <w:szCs w:val="21"/>
                <w:highlight w:val="none"/>
                <w:u w:val="single"/>
                <w:lang w:val="zh-CN" w:eastAsia="zh-CN"/>
              </w:rPr>
              <w:t>为准</w:t>
            </w:r>
            <w:r>
              <w:rPr>
                <w:rFonts w:hint="eastAsia" w:ascii="宋体" w:hAnsi="宋体" w:cs="宋体"/>
                <w:szCs w:val="21"/>
                <w:highlight w:val="none"/>
                <w:u w:val="single"/>
              </w:rPr>
              <w:t>。</w:t>
            </w:r>
          </w:p>
          <w:p>
            <w:pPr>
              <w:spacing w:line="440" w:lineRule="exact"/>
              <w:ind w:firstLine="0" w:firstLineChars="0"/>
              <w:rPr>
                <w:rFonts w:hint="eastAsia" w:ascii="宋体" w:hAnsi="宋体" w:eastAsia="宋体" w:cs="宋体"/>
                <w:szCs w:val="21"/>
                <w:highlight w:val="none"/>
                <w:u w:val="single"/>
                <w:lang w:eastAsia="zh-CN"/>
              </w:rPr>
            </w:pPr>
            <w:r>
              <w:rPr>
                <w:rFonts w:hint="eastAsia" w:ascii="宋体" w:hAnsi="宋体" w:cs="宋体"/>
                <w:szCs w:val="21"/>
                <w:highlight w:val="none"/>
                <w:u w:val="single"/>
              </w:rPr>
              <w:t>3、按照设计内容完成工程设备（除电梯外）、材料的采购、保管、安装、调试和验收，以及质保期服务</w:t>
            </w:r>
            <w:r>
              <w:rPr>
                <w:rFonts w:hint="eastAsia" w:ascii="宋体" w:hAnsi="宋体" w:cs="宋体"/>
                <w:szCs w:val="21"/>
                <w:highlight w:val="none"/>
                <w:u w:val="single"/>
                <w:lang w:eastAsia="zh-CN"/>
              </w:rPr>
              <w:t>。</w:t>
            </w:r>
          </w:p>
          <w:p>
            <w:pPr>
              <w:spacing w:line="440" w:lineRule="exact"/>
              <w:ind w:firstLine="0" w:firstLineChars="0"/>
              <w:rPr>
                <w:rFonts w:ascii="宋体" w:hAnsi="宋体" w:cs="宋体"/>
                <w:szCs w:val="21"/>
                <w:highlight w:val="none"/>
                <w:u w:val="single"/>
              </w:rPr>
            </w:pPr>
            <w:r>
              <w:rPr>
                <w:rFonts w:hint="eastAsia" w:ascii="宋体" w:hAnsi="宋体" w:cs="宋体"/>
                <w:color w:val="auto"/>
                <w:szCs w:val="21"/>
                <w:highlight w:val="none"/>
                <w:u w:val="single"/>
              </w:rPr>
              <w:t>4、其他：工程保险</w:t>
            </w:r>
            <w:r>
              <w:rPr>
                <w:rFonts w:hint="eastAsia" w:ascii="宋体" w:hAnsi="宋体" w:cs="宋体"/>
                <w:color w:val="auto"/>
                <w:szCs w:val="21"/>
                <w:highlight w:val="none"/>
                <w:u w:val="single"/>
                <w:lang w:eastAsia="zh-CN"/>
              </w:rPr>
              <w:t>、佛莞城际隧道安全评估等</w:t>
            </w:r>
            <w:r>
              <w:rPr>
                <w:rFonts w:hint="eastAsia" w:ascii="宋体" w:hAnsi="宋体" w:cs="宋体"/>
                <w:color w:val="auto"/>
                <w:szCs w:val="21"/>
                <w:highlight w:val="none"/>
                <w:u w:val="single"/>
              </w:rPr>
              <w:t>，招标范围具体以合同为准。</w:t>
            </w:r>
          </w:p>
        </w:tc>
      </w:tr>
      <w:tr>
        <w:tblPrEx>
          <w:tblLayout w:type="fixed"/>
          <w:tblCellMar>
            <w:top w:w="0" w:type="dxa"/>
            <w:left w:w="10" w:type="dxa"/>
            <w:bottom w:w="0" w:type="dxa"/>
            <w:right w:w="10" w:type="dxa"/>
          </w:tblCellMar>
        </w:tblPrEx>
        <w:trPr>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1.3.2</w:t>
            </w:r>
          </w:p>
        </w:tc>
        <w:tc>
          <w:tcPr>
            <w:tcW w:w="17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计划工期</w:t>
            </w:r>
          </w:p>
        </w:tc>
        <w:tc>
          <w:tcPr>
            <w:tcW w:w="6960" w:type="dxa"/>
            <w:tcBorders>
              <w:top w:val="single" w:color="auto" w:sz="4" w:space="0"/>
              <w:left w:val="single" w:color="auto" w:sz="4" w:space="0"/>
              <w:bottom w:val="single" w:color="auto" w:sz="4" w:space="0"/>
              <w:right w:val="single" w:color="auto" w:sz="4" w:space="0"/>
            </w:tcBorders>
            <w:vAlign w:val="center"/>
          </w:tcPr>
          <w:p>
            <w:pPr>
              <w:spacing w:line="440" w:lineRule="exact"/>
              <w:rPr>
                <w:highlight w:val="none"/>
              </w:rPr>
            </w:pPr>
            <w:r>
              <w:rPr>
                <w:rFonts w:hint="eastAsia" w:ascii="宋体" w:hAnsi="宋体" w:cs="宋体"/>
                <w:color w:val="auto"/>
                <w:sz w:val="21"/>
                <w:szCs w:val="21"/>
                <w:highlight w:val="none"/>
                <w:u w:val="single"/>
              </w:rPr>
              <w:t>计划工期</w:t>
            </w:r>
            <w:r>
              <w:rPr>
                <w:rFonts w:hint="eastAsia" w:ascii="宋体" w:hAnsi="宋体" w:cs="宋体"/>
                <w:color w:val="auto"/>
                <w:sz w:val="21"/>
                <w:szCs w:val="21"/>
                <w:highlight w:val="none"/>
                <w:u w:val="single"/>
                <w:lang w:val="en-US" w:eastAsia="zh-CN"/>
              </w:rPr>
              <w:t>总日历天</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915</w:t>
            </w:r>
            <w:r>
              <w:rPr>
                <w:rFonts w:hint="eastAsia" w:ascii="宋体" w:hAnsi="宋体" w:cs="宋体"/>
                <w:color w:val="auto"/>
                <w:sz w:val="21"/>
                <w:szCs w:val="21"/>
                <w:highlight w:val="none"/>
                <w:u w:val="single"/>
              </w:rPr>
              <w:t>日历天</w:t>
            </w:r>
            <w:r>
              <w:rPr>
                <w:rFonts w:hint="eastAsia" w:ascii="宋体" w:hAnsi="宋体" w:cs="宋体"/>
                <w:color w:val="auto"/>
                <w:sz w:val="21"/>
                <w:szCs w:val="21"/>
                <w:highlight w:val="none"/>
                <w:u w:val="single"/>
                <w:lang w:eastAsia="zh-CN"/>
              </w:rPr>
              <w:t>。</w:t>
            </w:r>
            <w:r>
              <w:rPr>
                <w:rFonts w:hint="eastAsia" w:ascii="宋体" w:hAnsi="宋体" w:eastAsia="宋体" w:cs="宋体"/>
                <w:sz w:val="21"/>
                <w:szCs w:val="21"/>
                <w:highlight w:val="none"/>
                <w:u w:val="single"/>
              </w:rPr>
              <w:t>开工时间以取得施工许可证后的开工令签发时间为准，以工期总日历天数为基准进行工期考核。</w:t>
            </w:r>
          </w:p>
        </w:tc>
      </w:tr>
      <w:tr>
        <w:tblPrEx>
          <w:tblLayout w:type="fixed"/>
          <w:tblCellMar>
            <w:top w:w="0" w:type="dxa"/>
            <w:left w:w="10" w:type="dxa"/>
            <w:bottom w:w="0" w:type="dxa"/>
            <w:right w:w="10" w:type="dxa"/>
          </w:tblCellMar>
        </w:tblPrEx>
        <w:trPr>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1.3.3</w:t>
            </w:r>
          </w:p>
        </w:tc>
        <w:tc>
          <w:tcPr>
            <w:tcW w:w="17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质量标准</w:t>
            </w:r>
          </w:p>
        </w:tc>
        <w:tc>
          <w:tcPr>
            <w:tcW w:w="696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rPr>
                <w:highlight w:val="none"/>
              </w:rPr>
            </w:pPr>
            <w:r>
              <w:rPr>
                <w:rFonts w:hint="eastAsia"/>
                <w:highlight w:val="none"/>
                <w:lang w:eastAsia="zh-CN"/>
              </w:rPr>
              <w:t>满足</w:t>
            </w:r>
            <w:r>
              <w:rPr>
                <w:rFonts w:hint="eastAsia"/>
                <w:highlight w:val="none"/>
                <w:lang w:val="en-US" w:eastAsia="zh-CN"/>
              </w:rPr>
              <w:t>国家施工验收</w:t>
            </w:r>
            <w:r>
              <w:rPr>
                <w:rFonts w:hint="eastAsia"/>
                <w:highlight w:val="none"/>
                <w:lang w:eastAsia="zh-CN"/>
              </w:rPr>
              <w:t>规范要求，符合设计要求，</w:t>
            </w:r>
            <w:r>
              <w:rPr>
                <w:rFonts w:hint="eastAsia"/>
                <w:highlight w:val="none"/>
                <w:lang w:val="en-US" w:eastAsia="zh-CN"/>
              </w:rPr>
              <w:t>工程</w:t>
            </w:r>
            <w:r>
              <w:rPr>
                <w:rFonts w:hint="eastAsia"/>
                <w:highlight w:val="none"/>
                <w:lang w:eastAsia="zh-CN"/>
              </w:rPr>
              <w:t>质量合格，不发生工程质量事故事件，质量记录准确、齐全并归档及时，</w:t>
            </w:r>
            <w:r>
              <w:rPr>
                <w:rFonts w:hint="eastAsia"/>
                <w:highlight w:val="none"/>
                <w:lang w:val="en-US" w:eastAsia="zh-CN"/>
              </w:rPr>
              <w:t>满足合同约定的质量目标和标准</w:t>
            </w:r>
            <w:r>
              <w:rPr>
                <w:rFonts w:hint="eastAsia"/>
                <w:highlight w:val="none"/>
                <w:lang w:eastAsia="zh-CN"/>
              </w:rPr>
              <w:t>。</w:t>
            </w:r>
          </w:p>
        </w:tc>
      </w:tr>
      <w:tr>
        <w:tblPrEx>
          <w:tblLayout w:type="fixed"/>
          <w:tblCellMar>
            <w:top w:w="0" w:type="dxa"/>
            <w:left w:w="10" w:type="dxa"/>
            <w:bottom w:w="0" w:type="dxa"/>
            <w:right w:w="10" w:type="dxa"/>
          </w:tblCellMar>
        </w:tblPrEx>
        <w:trPr>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1.4.1</w:t>
            </w:r>
          </w:p>
        </w:tc>
        <w:tc>
          <w:tcPr>
            <w:tcW w:w="17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投标人资质条件、能力和信誉</w:t>
            </w:r>
          </w:p>
        </w:tc>
        <w:tc>
          <w:tcPr>
            <w:tcW w:w="696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highlight w:val="none"/>
              </w:rPr>
            </w:pPr>
            <w:r>
              <w:rPr>
                <w:rFonts w:hint="eastAsia" w:ascii="宋体" w:hAnsi="宋体" w:cs="宋体"/>
                <w:szCs w:val="21"/>
                <w:highlight w:val="none"/>
              </w:rPr>
              <w:t>见本项目招标公告。</w:t>
            </w:r>
          </w:p>
        </w:tc>
      </w:tr>
      <w:tr>
        <w:tblPrEx>
          <w:tblLayout w:type="fixed"/>
          <w:tblCellMar>
            <w:top w:w="0" w:type="dxa"/>
            <w:left w:w="10" w:type="dxa"/>
            <w:bottom w:w="0" w:type="dxa"/>
            <w:right w:w="10" w:type="dxa"/>
          </w:tblCellMar>
        </w:tblPrEx>
        <w:trPr>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1.4.2</w:t>
            </w:r>
          </w:p>
        </w:tc>
        <w:tc>
          <w:tcPr>
            <w:tcW w:w="17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是否接受联合体投标</w:t>
            </w:r>
          </w:p>
        </w:tc>
        <w:tc>
          <w:tcPr>
            <w:tcW w:w="6960" w:type="dxa"/>
            <w:tcBorders>
              <w:top w:val="single" w:color="auto" w:sz="4" w:space="0"/>
              <w:left w:val="single" w:color="auto" w:sz="4" w:space="0"/>
              <w:bottom w:val="single" w:color="auto" w:sz="4" w:space="0"/>
              <w:right w:val="single" w:color="auto" w:sz="4" w:space="0"/>
            </w:tcBorders>
            <w:vAlign w:val="center"/>
          </w:tcPr>
          <w:p>
            <w:pPr>
              <w:spacing w:line="440" w:lineRule="exact"/>
              <w:ind w:firstLine="640" w:firstLineChars="200"/>
              <w:rPr>
                <w:rFonts w:ascii="宋体" w:hAnsi="宋体" w:cs="宋体"/>
                <w:szCs w:val="21"/>
                <w:highlight w:val="none"/>
              </w:rPr>
            </w:pPr>
            <w:r>
              <w:rPr>
                <w:rFonts w:hint="eastAsia" w:ascii="宋体" w:hAnsi="宋体" w:cs="宋体"/>
                <w:sz w:val="32"/>
                <w:szCs w:val="32"/>
                <w:highlight w:val="none"/>
              </w:rPr>
              <w:t>□</w:t>
            </w:r>
            <w:r>
              <w:rPr>
                <w:rFonts w:hint="eastAsia" w:ascii="宋体" w:hAnsi="宋体" w:cs="宋体"/>
                <w:szCs w:val="21"/>
                <w:highlight w:val="none"/>
              </w:rPr>
              <w:t>不接受</w:t>
            </w:r>
          </w:p>
          <w:p>
            <w:pPr>
              <w:spacing w:line="440" w:lineRule="exact"/>
              <w:ind w:firstLine="640" w:firstLineChars="200"/>
              <w:rPr>
                <w:rFonts w:ascii="宋体" w:hAnsi="宋体" w:cs="宋体"/>
                <w:szCs w:val="21"/>
                <w:highlight w:val="none"/>
              </w:rPr>
            </w:pPr>
            <w:r>
              <w:rPr>
                <w:rFonts w:hint="eastAsia" w:ascii="宋体" w:hAnsi="宋体" w:cs="宋体"/>
                <w:sz w:val="32"/>
                <w:szCs w:val="32"/>
                <w:highlight w:val="none"/>
              </w:rPr>
              <w:t>■</w:t>
            </w:r>
            <w:r>
              <w:rPr>
                <w:rFonts w:hint="eastAsia" w:ascii="宋体" w:hAnsi="宋体" w:cs="宋体"/>
                <w:szCs w:val="21"/>
                <w:highlight w:val="none"/>
              </w:rPr>
              <w:t>接受，应满足下列要求：</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1、联合体成员由1家设计单位、1家施工单位组成，且应以施工单位为牵头方，并签订联合体协议书。联合体协议书应明确约定各方拟承担的工作和责任。</w:t>
            </w:r>
          </w:p>
          <w:p>
            <w:pPr>
              <w:spacing w:line="440" w:lineRule="exact"/>
              <w:ind w:firstLine="420" w:firstLineChars="200"/>
              <w:rPr>
                <w:rFonts w:hAnsi="宋体"/>
                <w:szCs w:val="21"/>
                <w:highlight w:val="none"/>
              </w:rPr>
            </w:pPr>
            <w:r>
              <w:rPr>
                <w:rFonts w:hint="eastAsia" w:hAnsi="宋体"/>
                <w:szCs w:val="21"/>
                <w:highlight w:val="none"/>
              </w:rPr>
              <w:t>2、参加联合体的各成员不得再以自己的名义单独投标，也不得同时参加两个或两个以上的联合体投标。出现上述情况者，其投标和与此有关的联合体的投标将被拒绝。</w:t>
            </w:r>
          </w:p>
          <w:p>
            <w:pPr>
              <w:spacing w:line="440" w:lineRule="exact"/>
              <w:ind w:firstLine="420" w:firstLineChars="200"/>
              <w:rPr>
                <w:rFonts w:hint="eastAsia" w:hAnsi="宋体"/>
                <w:szCs w:val="21"/>
                <w:highlight w:val="none"/>
              </w:rPr>
            </w:pPr>
            <w:r>
              <w:rPr>
                <w:rFonts w:hint="eastAsia" w:ascii="宋体" w:hAnsi="宋体" w:cs="宋体"/>
                <w:szCs w:val="21"/>
                <w:highlight w:val="none"/>
              </w:rPr>
              <w:t>3、投标人拟任本工程</w:t>
            </w:r>
            <w:r>
              <w:rPr>
                <w:rFonts w:hint="eastAsia" w:hAnsi="宋体"/>
                <w:szCs w:val="21"/>
                <w:highlight w:val="none"/>
              </w:rPr>
              <w:t>项目负责人、设计负责人、施工负责人及专职安全人员人必须是联合体中对应分工成员的正式员工。</w:t>
            </w:r>
          </w:p>
          <w:p>
            <w:pPr>
              <w:spacing w:line="440" w:lineRule="exact"/>
              <w:ind w:firstLine="420" w:firstLineChars="200"/>
              <w:rPr>
                <w:rFonts w:ascii="宋体" w:hAnsi="宋体" w:cs="宋体"/>
                <w:strike/>
                <w:szCs w:val="21"/>
                <w:highlight w:val="none"/>
              </w:rPr>
            </w:pPr>
            <w:r>
              <w:rPr>
                <w:rFonts w:hint="eastAsia" w:hAnsi="宋体"/>
                <w:szCs w:val="21"/>
                <w:highlight w:val="none"/>
              </w:rPr>
              <w:t>4、联合体的资格条件按联合体任务分工进行评审，其中施工资质、安全生产许可证、项目负责人</w:t>
            </w:r>
            <w:r>
              <w:rPr>
                <w:rFonts w:hint="eastAsia" w:ascii="宋体" w:hAnsi="宋体" w:cs="宋体"/>
                <w:szCs w:val="21"/>
                <w:highlight w:val="none"/>
              </w:rPr>
              <w:t>、专职安全员、施工负责人、</w:t>
            </w:r>
            <w:r>
              <w:rPr>
                <w:rFonts w:hint="eastAsia" w:ascii="宋体" w:hAnsi="宋体" w:cs="宋体"/>
                <w:szCs w:val="21"/>
                <w:highlight w:val="none"/>
                <w:lang w:val="en-US" w:eastAsia="zh-CN"/>
              </w:rPr>
              <w:t>施工</w:t>
            </w:r>
            <w:r>
              <w:rPr>
                <w:rFonts w:hint="eastAsia" w:ascii="宋体" w:hAnsi="宋体" w:cs="宋体"/>
                <w:szCs w:val="21"/>
                <w:highlight w:val="none"/>
              </w:rPr>
              <w:t>技术负责人以承接施工任务的成员为准；工程设计资质及设计负责人以承担设计任务的成员为准。</w:t>
            </w:r>
          </w:p>
          <w:p>
            <w:pPr>
              <w:spacing w:line="440" w:lineRule="exact"/>
              <w:ind w:firstLine="420" w:firstLineChars="200"/>
              <w:rPr>
                <w:rFonts w:ascii="宋体" w:hAnsi="宋体"/>
                <w:szCs w:val="21"/>
                <w:highlight w:val="none"/>
              </w:rPr>
            </w:pPr>
            <w:r>
              <w:rPr>
                <w:rFonts w:hint="eastAsia" w:ascii="Times New Roman" w:hAnsi="宋体" w:cs="Times New Roman"/>
                <w:szCs w:val="21"/>
                <w:highlight w:val="none"/>
              </w:rPr>
              <w:t>5、</w:t>
            </w:r>
            <w:r>
              <w:rPr>
                <w:rFonts w:hint="eastAsia" w:ascii="宋体" w:hAnsi="宋体" w:cs="宋体"/>
                <w:szCs w:val="21"/>
                <w:highlight w:val="none"/>
              </w:rPr>
              <w:t>联合体牵头方作为本工程的总负责方，</w:t>
            </w:r>
            <w:r>
              <w:rPr>
                <w:rFonts w:hint="eastAsia" w:ascii="宋体" w:hAnsi="宋体" w:cs="宋体"/>
                <w:szCs w:val="21"/>
                <w:highlight w:val="none"/>
                <w:lang w:val="en-US" w:eastAsia="zh-CN"/>
              </w:rPr>
              <w:t>投标阶段</w:t>
            </w:r>
            <w:r>
              <w:rPr>
                <w:rFonts w:hint="eastAsia" w:ascii="宋体" w:hAnsi="宋体" w:cs="宋体"/>
                <w:szCs w:val="21"/>
                <w:highlight w:val="none"/>
              </w:rPr>
              <w:t>联合体申请人与招标人之间的往来所有事宜（包括信函、担保等）均将通过牵头方传递。</w:t>
            </w:r>
          </w:p>
        </w:tc>
      </w:tr>
      <w:tr>
        <w:tblPrEx>
          <w:tblLayout w:type="fixed"/>
          <w:tblCellMar>
            <w:top w:w="0" w:type="dxa"/>
            <w:left w:w="10" w:type="dxa"/>
            <w:bottom w:w="0" w:type="dxa"/>
            <w:right w:w="10" w:type="dxa"/>
          </w:tblCellMar>
        </w:tblPrEx>
        <w:trPr>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1.5</w:t>
            </w:r>
          </w:p>
        </w:tc>
        <w:tc>
          <w:tcPr>
            <w:tcW w:w="17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费用承担和设计成果补偿</w:t>
            </w:r>
          </w:p>
        </w:tc>
        <w:tc>
          <w:tcPr>
            <w:tcW w:w="696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highlight w:val="none"/>
              </w:rPr>
            </w:pPr>
            <w:r>
              <w:rPr>
                <w:rFonts w:hint="eastAsia" w:ascii="宋体" w:hAnsi="宋体" w:cs="宋体"/>
                <w:sz w:val="32"/>
                <w:szCs w:val="32"/>
                <w:highlight w:val="none"/>
              </w:rPr>
              <w:t>■</w:t>
            </w:r>
            <w:r>
              <w:rPr>
                <w:rFonts w:hint="eastAsia" w:ascii="宋体" w:hAnsi="宋体" w:cs="宋体"/>
                <w:szCs w:val="21"/>
                <w:highlight w:val="none"/>
              </w:rPr>
              <w:t>不补偿</w:t>
            </w:r>
          </w:p>
          <w:p>
            <w:pPr>
              <w:spacing w:line="440" w:lineRule="exact"/>
              <w:rPr>
                <w:rFonts w:ascii="宋体" w:hAnsi="宋体" w:cs="宋体"/>
                <w:sz w:val="32"/>
                <w:szCs w:val="32"/>
                <w:highlight w:val="none"/>
              </w:rPr>
            </w:pPr>
            <w:r>
              <w:rPr>
                <w:rFonts w:hint="eastAsia" w:ascii="宋体" w:hAnsi="宋体" w:cs="宋体"/>
                <w:sz w:val="32"/>
                <w:szCs w:val="32"/>
                <w:highlight w:val="none"/>
              </w:rPr>
              <w:t>□</w:t>
            </w:r>
            <w:r>
              <w:rPr>
                <w:rFonts w:hint="eastAsia" w:ascii="宋体" w:hAnsi="宋体" w:cs="宋体"/>
                <w:szCs w:val="21"/>
                <w:highlight w:val="none"/>
              </w:rPr>
              <w:t>补偿，补偿标准：</w:t>
            </w:r>
          </w:p>
        </w:tc>
      </w:tr>
      <w:tr>
        <w:tblPrEx>
          <w:tblLayout w:type="fixed"/>
          <w:tblCellMar>
            <w:top w:w="0" w:type="dxa"/>
            <w:left w:w="10" w:type="dxa"/>
            <w:bottom w:w="0" w:type="dxa"/>
            <w:right w:w="10" w:type="dxa"/>
          </w:tblCellMar>
        </w:tblPrEx>
        <w:trPr>
          <w:trHeight w:val="747"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1.9.1</w:t>
            </w:r>
          </w:p>
        </w:tc>
        <w:tc>
          <w:tcPr>
            <w:tcW w:w="17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踏勘</w:t>
            </w:r>
          </w:p>
        </w:tc>
        <w:tc>
          <w:tcPr>
            <w:tcW w:w="696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highlight w:val="none"/>
              </w:rPr>
            </w:pPr>
            <w:r>
              <w:rPr>
                <w:rFonts w:hint="eastAsia" w:ascii="宋体" w:hAnsi="宋体" w:cs="宋体"/>
                <w:sz w:val="32"/>
                <w:szCs w:val="32"/>
                <w:highlight w:val="none"/>
              </w:rPr>
              <w:t>■</w:t>
            </w:r>
            <w:r>
              <w:rPr>
                <w:rFonts w:hint="eastAsia" w:ascii="宋体" w:hAnsi="宋体" w:cs="宋体"/>
                <w:szCs w:val="21"/>
                <w:highlight w:val="none"/>
              </w:rPr>
              <w:t>不组织：</w:t>
            </w:r>
          </w:p>
          <w:p>
            <w:pPr>
              <w:spacing w:line="440" w:lineRule="exact"/>
              <w:rPr>
                <w:rFonts w:ascii="宋体" w:hAnsi="宋体" w:cs="宋体"/>
                <w:szCs w:val="21"/>
                <w:highlight w:val="none"/>
              </w:rPr>
            </w:pPr>
            <w:r>
              <w:rPr>
                <w:rFonts w:hint="eastAsia" w:ascii="宋体" w:hAnsi="宋体" w:cs="宋体"/>
                <w:sz w:val="32"/>
                <w:szCs w:val="32"/>
                <w:highlight w:val="none"/>
              </w:rPr>
              <w:t>□</w:t>
            </w:r>
            <w:r>
              <w:rPr>
                <w:rFonts w:hint="eastAsia" w:ascii="宋体" w:hAnsi="宋体" w:cs="宋体"/>
                <w:szCs w:val="21"/>
                <w:highlight w:val="none"/>
              </w:rPr>
              <w:t>组织，踏勘时间：</w:t>
            </w:r>
          </w:p>
          <w:p>
            <w:pPr>
              <w:spacing w:line="440" w:lineRule="exact"/>
              <w:ind w:firstLine="840" w:firstLineChars="400"/>
              <w:rPr>
                <w:rFonts w:ascii="宋体" w:hAnsi="宋体" w:cs="宋体"/>
                <w:szCs w:val="21"/>
                <w:highlight w:val="none"/>
              </w:rPr>
            </w:pPr>
            <w:r>
              <w:rPr>
                <w:rFonts w:hint="eastAsia" w:ascii="宋体" w:hAnsi="宋体" w:cs="宋体"/>
                <w:szCs w:val="21"/>
                <w:highlight w:val="none"/>
              </w:rPr>
              <w:t>踏勘集中地点：</w:t>
            </w:r>
          </w:p>
        </w:tc>
      </w:tr>
      <w:tr>
        <w:tblPrEx>
          <w:tblLayout w:type="fixed"/>
          <w:tblCellMar>
            <w:top w:w="0" w:type="dxa"/>
            <w:left w:w="10" w:type="dxa"/>
            <w:bottom w:w="0" w:type="dxa"/>
            <w:right w:w="10" w:type="dxa"/>
          </w:tblCellMar>
        </w:tblPrEx>
        <w:trPr>
          <w:trHeight w:val="9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1.10.1</w:t>
            </w:r>
          </w:p>
        </w:tc>
        <w:tc>
          <w:tcPr>
            <w:tcW w:w="17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投标预备会</w:t>
            </w:r>
          </w:p>
        </w:tc>
        <w:tc>
          <w:tcPr>
            <w:tcW w:w="69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hAnsi="宋体" w:cs="宋体"/>
                <w:szCs w:val="21"/>
                <w:highlight w:val="none"/>
              </w:rPr>
            </w:pPr>
            <w:r>
              <w:rPr>
                <w:rFonts w:hint="eastAsia" w:hAnsi="宋体" w:cs="宋体"/>
                <w:sz w:val="32"/>
                <w:szCs w:val="32"/>
                <w:highlight w:val="none"/>
              </w:rPr>
              <w:t>■</w:t>
            </w:r>
            <w:r>
              <w:rPr>
                <w:rFonts w:hint="eastAsia" w:hAnsi="宋体" w:cs="宋体"/>
                <w:szCs w:val="21"/>
                <w:highlight w:val="none"/>
              </w:rPr>
              <w:t>不召开</w:t>
            </w:r>
          </w:p>
          <w:p>
            <w:pPr>
              <w:spacing w:line="440" w:lineRule="exact"/>
              <w:rPr>
                <w:rFonts w:ascii="宋体" w:hAnsi="宋体" w:cs="宋体"/>
                <w:szCs w:val="21"/>
                <w:highlight w:val="none"/>
              </w:rPr>
            </w:pPr>
            <w:r>
              <w:rPr>
                <w:rFonts w:hint="eastAsia" w:ascii="宋体" w:hAnsi="宋体" w:cs="宋体"/>
                <w:sz w:val="32"/>
                <w:szCs w:val="32"/>
                <w:highlight w:val="none"/>
              </w:rPr>
              <w:t>□</w:t>
            </w:r>
            <w:r>
              <w:rPr>
                <w:rFonts w:hint="eastAsia" w:ascii="宋体" w:hAnsi="宋体" w:cs="宋体"/>
                <w:szCs w:val="21"/>
                <w:highlight w:val="none"/>
              </w:rPr>
              <w:t>召开，召开时间：</w:t>
            </w:r>
          </w:p>
          <w:p>
            <w:pPr>
              <w:spacing w:line="440" w:lineRule="exact"/>
              <w:ind w:firstLine="840" w:firstLineChars="400"/>
              <w:rPr>
                <w:rFonts w:ascii="宋体" w:hAnsi="宋体" w:cs="宋体"/>
                <w:szCs w:val="21"/>
                <w:highlight w:val="none"/>
              </w:rPr>
            </w:pPr>
            <w:r>
              <w:rPr>
                <w:rFonts w:hint="eastAsia" w:ascii="宋体" w:hAnsi="宋体" w:cs="宋体"/>
                <w:szCs w:val="21"/>
                <w:highlight w:val="none"/>
              </w:rPr>
              <w:t>召开地点：</w:t>
            </w:r>
          </w:p>
        </w:tc>
      </w:tr>
      <w:tr>
        <w:tblPrEx>
          <w:tblLayout w:type="fixed"/>
          <w:tblCellMar>
            <w:top w:w="0" w:type="dxa"/>
            <w:left w:w="10" w:type="dxa"/>
            <w:bottom w:w="0" w:type="dxa"/>
            <w:right w:w="10" w:type="dxa"/>
          </w:tblCellMar>
        </w:tblPrEx>
        <w:trPr>
          <w:trHeight w:val="483"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1.10.2</w:t>
            </w:r>
          </w:p>
        </w:tc>
        <w:tc>
          <w:tcPr>
            <w:tcW w:w="17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投标人提出问题的截止时间</w:t>
            </w:r>
          </w:p>
        </w:tc>
        <w:tc>
          <w:tcPr>
            <w:tcW w:w="696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highlight w:val="none"/>
              </w:rPr>
            </w:pPr>
            <w:r>
              <w:rPr>
                <w:rFonts w:hint="eastAsia" w:ascii="宋体" w:hAnsi="宋体" w:cs="宋体"/>
                <w:szCs w:val="21"/>
                <w:highlight w:val="none"/>
              </w:rPr>
              <w:t>按照《招标投标法实施条例》相关规定执行：第二十二条对招标文件有异议的，应当在投标截止时间</w:t>
            </w:r>
            <w:r>
              <w:rPr>
                <w:rFonts w:ascii="宋体" w:hAnsi="宋体" w:cs="宋体"/>
                <w:szCs w:val="21"/>
                <w:highlight w:val="none"/>
              </w:rPr>
              <w:t>18</w:t>
            </w:r>
            <w:r>
              <w:rPr>
                <w:rFonts w:hint="eastAsia" w:ascii="宋体" w:hAnsi="宋体" w:cs="宋体"/>
                <w:szCs w:val="21"/>
                <w:highlight w:val="none"/>
              </w:rPr>
              <w:t>日前提出。</w:t>
            </w:r>
          </w:p>
        </w:tc>
      </w:tr>
      <w:tr>
        <w:tblPrEx>
          <w:tblLayout w:type="fixed"/>
          <w:tblCellMar>
            <w:top w:w="0" w:type="dxa"/>
            <w:left w:w="10" w:type="dxa"/>
            <w:bottom w:w="0" w:type="dxa"/>
            <w:right w:w="10" w:type="dxa"/>
          </w:tblCellMar>
        </w:tblPrEx>
        <w:trPr>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1.10.3</w:t>
            </w:r>
          </w:p>
        </w:tc>
        <w:tc>
          <w:tcPr>
            <w:tcW w:w="17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招标人书面澄清的时间</w:t>
            </w:r>
          </w:p>
        </w:tc>
        <w:tc>
          <w:tcPr>
            <w:tcW w:w="696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highlight w:val="none"/>
              </w:rPr>
            </w:pPr>
            <w:r>
              <w:rPr>
                <w:rFonts w:hint="eastAsia" w:ascii="宋体" w:hAnsi="宋体" w:cs="宋体"/>
                <w:szCs w:val="21"/>
                <w:highlight w:val="none"/>
              </w:rPr>
              <w:t>投标截止时间15天前。</w:t>
            </w:r>
          </w:p>
        </w:tc>
      </w:tr>
      <w:tr>
        <w:tblPrEx>
          <w:tblLayout w:type="fixed"/>
          <w:tblCellMar>
            <w:top w:w="0" w:type="dxa"/>
            <w:left w:w="10" w:type="dxa"/>
            <w:bottom w:w="0" w:type="dxa"/>
            <w:right w:w="10" w:type="dxa"/>
          </w:tblCellMar>
        </w:tblPrEx>
        <w:trPr>
          <w:trHeight w:val="9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1.11.1</w:t>
            </w:r>
          </w:p>
        </w:tc>
        <w:tc>
          <w:tcPr>
            <w:tcW w:w="17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招标人规定由分包人承担的工作</w:t>
            </w:r>
          </w:p>
        </w:tc>
        <w:tc>
          <w:tcPr>
            <w:tcW w:w="696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highlight w:val="none"/>
              </w:rPr>
            </w:pPr>
            <w:r>
              <w:rPr>
                <w:rFonts w:hint="eastAsia" w:ascii="宋体" w:hAnsi="宋体" w:cs="宋体"/>
                <w:szCs w:val="21"/>
                <w:highlight w:val="none"/>
                <w:lang w:val="zh-CN"/>
              </w:rPr>
              <w:t>/</w:t>
            </w:r>
          </w:p>
        </w:tc>
      </w:tr>
      <w:tr>
        <w:tblPrEx>
          <w:tblLayout w:type="fixed"/>
          <w:tblCellMar>
            <w:top w:w="0" w:type="dxa"/>
            <w:left w:w="10" w:type="dxa"/>
            <w:bottom w:w="0" w:type="dxa"/>
            <w:right w:w="10" w:type="dxa"/>
          </w:tblCellMar>
        </w:tblPrEx>
        <w:trPr>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1.11.2</w:t>
            </w:r>
          </w:p>
        </w:tc>
        <w:tc>
          <w:tcPr>
            <w:tcW w:w="17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投标人拟分包的工作</w:t>
            </w:r>
          </w:p>
        </w:tc>
        <w:tc>
          <w:tcPr>
            <w:tcW w:w="69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hAnsi="宋体" w:cs="宋体"/>
                <w:szCs w:val="21"/>
                <w:highlight w:val="none"/>
              </w:rPr>
            </w:pPr>
            <w:r>
              <w:rPr>
                <w:rFonts w:hint="eastAsia" w:hAnsi="宋体" w:cs="宋体"/>
                <w:sz w:val="32"/>
                <w:szCs w:val="32"/>
                <w:highlight w:val="none"/>
              </w:rPr>
              <w:t>□</w:t>
            </w:r>
            <w:r>
              <w:rPr>
                <w:rFonts w:hint="eastAsia" w:hAnsi="宋体" w:cs="宋体"/>
                <w:szCs w:val="21"/>
                <w:highlight w:val="none"/>
              </w:rPr>
              <w:t>不允许</w:t>
            </w:r>
          </w:p>
          <w:p>
            <w:pPr>
              <w:spacing w:line="440" w:lineRule="exact"/>
              <w:rPr>
                <w:rFonts w:ascii="宋体" w:hAnsi="宋体" w:cs="宋体"/>
                <w:szCs w:val="21"/>
                <w:highlight w:val="none"/>
                <w:lang w:val="zh-CN"/>
              </w:rPr>
            </w:pPr>
            <w:r>
              <w:rPr>
                <w:rFonts w:hint="eastAsia" w:ascii="宋体" w:hAnsi="宋体" w:cs="宋体"/>
                <w:sz w:val="32"/>
                <w:szCs w:val="32"/>
                <w:highlight w:val="none"/>
              </w:rPr>
              <w:t>■</w:t>
            </w:r>
            <w:r>
              <w:rPr>
                <w:rFonts w:hint="eastAsia" w:ascii="宋体" w:hAnsi="宋体" w:cs="宋体"/>
                <w:szCs w:val="21"/>
                <w:highlight w:val="none"/>
                <w:lang w:val="zh-CN"/>
              </w:rPr>
              <w:t>允许，分包内容要求：</w:t>
            </w:r>
            <w:r>
              <w:rPr>
                <w:rFonts w:hint="eastAsia" w:ascii="宋体" w:hAnsi="宋体" w:cs="宋体"/>
                <w:szCs w:val="21"/>
                <w:highlight w:val="none"/>
                <w:u w:val="single"/>
                <w:lang w:val="zh-CN"/>
              </w:rPr>
              <w:t>非主体工作，经招标人及项目监理单位书面同意后可依法分包</w:t>
            </w:r>
            <w:r>
              <w:rPr>
                <w:rFonts w:hint="eastAsia" w:ascii="宋体" w:hAnsi="宋体" w:cs="宋体"/>
                <w:szCs w:val="21"/>
                <w:highlight w:val="none"/>
                <w:lang w:val="zh-CN"/>
              </w:rPr>
              <w:t>；</w:t>
            </w:r>
          </w:p>
          <w:p>
            <w:pPr>
              <w:spacing w:line="440" w:lineRule="exact"/>
              <w:rPr>
                <w:rFonts w:ascii="宋体" w:hAnsi="宋体" w:cs="宋体"/>
                <w:szCs w:val="21"/>
                <w:highlight w:val="none"/>
                <w:lang w:val="zh-CN"/>
              </w:rPr>
            </w:pPr>
            <w:r>
              <w:rPr>
                <w:rFonts w:hint="eastAsia" w:ascii="宋体" w:hAnsi="宋体" w:cs="宋体"/>
                <w:szCs w:val="21"/>
                <w:highlight w:val="none"/>
                <w:lang w:val="zh-CN"/>
              </w:rPr>
              <w:t>分包金额要求：</w:t>
            </w:r>
            <w:r>
              <w:rPr>
                <w:rFonts w:hint="eastAsia" w:ascii="宋体" w:hAnsi="宋体" w:cs="宋体"/>
                <w:szCs w:val="21"/>
                <w:highlight w:val="none"/>
                <w:u w:val="single"/>
                <w:lang w:val="zh-CN"/>
              </w:rPr>
              <w:t>无</w:t>
            </w:r>
            <w:r>
              <w:rPr>
                <w:rFonts w:hint="eastAsia" w:ascii="宋体" w:hAnsi="宋体" w:cs="宋体"/>
                <w:szCs w:val="21"/>
                <w:highlight w:val="none"/>
                <w:lang w:val="zh-CN"/>
              </w:rPr>
              <w:t>；</w:t>
            </w:r>
          </w:p>
          <w:p>
            <w:pPr>
              <w:spacing w:line="440" w:lineRule="exact"/>
              <w:rPr>
                <w:rFonts w:ascii="宋体" w:hAnsi="宋体" w:cs="宋体"/>
                <w:szCs w:val="21"/>
                <w:highlight w:val="none"/>
              </w:rPr>
            </w:pPr>
            <w:r>
              <w:rPr>
                <w:rFonts w:hint="eastAsia" w:ascii="宋体" w:hAnsi="宋体" w:cs="宋体"/>
                <w:szCs w:val="21"/>
                <w:highlight w:val="none"/>
                <w:lang w:val="zh-CN"/>
              </w:rPr>
              <w:t>对分包人的资质要求：</w:t>
            </w:r>
            <w:r>
              <w:rPr>
                <w:rFonts w:hint="eastAsia" w:ascii="宋体" w:hAnsi="宋体" w:cs="宋体"/>
                <w:szCs w:val="21"/>
                <w:highlight w:val="none"/>
                <w:u w:val="single"/>
                <w:lang w:val="zh-CN"/>
              </w:rPr>
              <w:t>符合有关法律法规和文件规定，并不得再次分包</w:t>
            </w:r>
            <w:r>
              <w:rPr>
                <w:rFonts w:hint="eastAsia" w:ascii="宋体" w:hAnsi="宋体" w:cs="宋体"/>
                <w:szCs w:val="21"/>
                <w:highlight w:val="none"/>
                <w:lang w:val="zh-CN"/>
              </w:rPr>
              <w:t>。</w:t>
            </w:r>
          </w:p>
        </w:tc>
      </w:tr>
      <w:tr>
        <w:tblPrEx>
          <w:tblLayout w:type="fixed"/>
          <w:tblCellMar>
            <w:top w:w="0" w:type="dxa"/>
            <w:left w:w="10" w:type="dxa"/>
            <w:bottom w:w="0" w:type="dxa"/>
            <w:right w:w="10" w:type="dxa"/>
          </w:tblCellMar>
        </w:tblPrEx>
        <w:trPr>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1.12</w:t>
            </w:r>
          </w:p>
        </w:tc>
        <w:tc>
          <w:tcPr>
            <w:tcW w:w="17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偏离</w:t>
            </w:r>
          </w:p>
        </w:tc>
        <w:tc>
          <w:tcPr>
            <w:tcW w:w="69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hAnsi="宋体" w:cs="宋体"/>
                <w:szCs w:val="21"/>
                <w:highlight w:val="none"/>
              </w:rPr>
            </w:pPr>
            <w:r>
              <w:rPr>
                <w:rFonts w:hint="eastAsia" w:hAnsi="宋体" w:cs="宋体"/>
                <w:sz w:val="32"/>
                <w:szCs w:val="32"/>
                <w:highlight w:val="none"/>
              </w:rPr>
              <w:t>■</w:t>
            </w:r>
            <w:r>
              <w:rPr>
                <w:rFonts w:hint="eastAsia" w:hAnsi="宋体" w:cs="宋体"/>
                <w:szCs w:val="21"/>
                <w:highlight w:val="none"/>
              </w:rPr>
              <w:t>不允许</w:t>
            </w:r>
          </w:p>
          <w:p>
            <w:pPr>
              <w:topLinePunct/>
              <w:spacing w:line="440" w:lineRule="exact"/>
              <w:rPr>
                <w:rFonts w:hAnsi="宋体" w:cs="宋体"/>
                <w:szCs w:val="21"/>
                <w:highlight w:val="none"/>
              </w:rPr>
            </w:pPr>
            <w:r>
              <w:rPr>
                <w:rFonts w:hint="eastAsia" w:hAnsi="宋体" w:cs="宋体"/>
                <w:sz w:val="32"/>
                <w:szCs w:val="32"/>
                <w:highlight w:val="none"/>
              </w:rPr>
              <w:t>□</w:t>
            </w:r>
            <w:r>
              <w:rPr>
                <w:rFonts w:hint="eastAsia" w:hAnsi="宋体" w:cs="宋体"/>
                <w:szCs w:val="21"/>
                <w:highlight w:val="none"/>
              </w:rPr>
              <w:t>允许，允许偏离的内容、偏离范围和幅度</w:t>
            </w:r>
          </w:p>
        </w:tc>
      </w:tr>
      <w:tr>
        <w:tblPrEx>
          <w:tblLayout w:type="fixed"/>
          <w:tblCellMar>
            <w:top w:w="0" w:type="dxa"/>
            <w:left w:w="10" w:type="dxa"/>
            <w:bottom w:w="0" w:type="dxa"/>
            <w:right w:w="10" w:type="dxa"/>
          </w:tblCellMar>
        </w:tblPrEx>
        <w:trPr>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2.1</w:t>
            </w:r>
          </w:p>
        </w:tc>
        <w:tc>
          <w:tcPr>
            <w:tcW w:w="17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构成招标文件的其他资料</w:t>
            </w:r>
          </w:p>
        </w:tc>
        <w:tc>
          <w:tcPr>
            <w:tcW w:w="696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highlight w:val="none"/>
              </w:rPr>
            </w:pPr>
            <w:r>
              <w:rPr>
                <w:rFonts w:hint="eastAsia" w:ascii="宋体" w:hAnsi="宋体" w:cs="宋体"/>
                <w:szCs w:val="21"/>
                <w:highlight w:val="none"/>
              </w:rPr>
              <w:t>招标人发布的招标文件修改文件及澄清文件</w:t>
            </w:r>
          </w:p>
        </w:tc>
      </w:tr>
      <w:tr>
        <w:tblPrEx>
          <w:tblLayout w:type="fixed"/>
          <w:tblCellMar>
            <w:top w:w="0" w:type="dxa"/>
            <w:left w:w="10" w:type="dxa"/>
            <w:bottom w:w="0" w:type="dxa"/>
            <w:right w:w="10" w:type="dxa"/>
          </w:tblCellMar>
        </w:tblPrEx>
        <w:trPr>
          <w:trHeight w:val="9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2.2.1</w:t>
            </w:r>
          </w:p>
        </w:tc>
        <w:tc>
          <w:tcPr>
            <w:tcW w:w="17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投标人要求澄清招标文件的截止时间</w:t>
            </w:r>
          </w:p>
        </w:tc>
        <w:tc>
          <w:tcPr>
            <w:tcW w:w="69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color w:val="auto"/>
                <w:highlight w:val="none"/>
              </w:rPr>
            </w:pPr>
            <w:r>
              <w:rPr>
                <w:rFonts w:hint="eastAsia" w:ascii="宋体" w:cs="宋体"/>
                <w:szCs w:val="21"/>
                <w:highlight w:val="none"/>
              </w:rPr>
              <w:t>1.方式：网上答疑。</w:t>
            </w:r>
            <w:r>
              <w:rPr>
                <w:rFonts w:hint="eastAsia" w:ascii="宋体"/>
                <w:szCs w:val="21"/>
                <w:highlight w:val="none"/>
              </w:rPr>
              <w:t>网上答疑的相关事项详见招标文件第二章投标人须知第2.2款。</w:t>
            </w:r>
          </w:p>
          <w:p>
            <w:pPr>
              <w:spacing w:line="440" w:lineRule="exact"/>
              <w:rPr>
                <w:rFonts w:ascii="宋体" w:hAnsi="宋体" w:cs="宋体"/>
                <w:szCs w:val="21"/>
                <w:highlight w:val="none"/>
              </w:rPr>
            </w:pPr>
            <w:r>
              <w:rPr>
                <w:rFonts w:hint="eastAsia" w:ascii="宋体" w:cs="宋体"/>
                <w:szCs w:val="21"/>
                <w:highlight w:val="none"/>
              </w:rPr>
              <w:t>2.投标人质疑期限：在递交投标文件截止日期前18日。</w:t>
            </w:r>
          </w:p>
        </w:tc>
      </w:tr>
      <w:tr>
        <w:tblPrEx>
          <w:tblLayout w:type="fixed"/>
          <w:tblCellMar>
            <w:top w:w="0" w:type="dxa"/>
            <w:left w:w="10" w:type="dxa"/>
            <w:bottom w:w="0" w:type="dxa"/>
            <w:right w:w="10" w:type="dxa"/>
          </w:tblCellMar>
        </w:tblPrEx>
        <w:trPr>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2.2.2</w:t>
            </w:r>
          </w:p>
        </w:tc>
        <w:tc>
          <w:tcPr>
            <w:tcW w:w="17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投标截止时间</w:t>
            </w:r>
          </w:p>
        </w:tc>
        <w:tc>
          <w:tcPr>
            <w:tcW w:w="696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highlight w:val="none"/>
              </w:rPr>
            </w:pPr>
            <w:r>
              <w:rPr>
                <w:rFonts w:hint="eastAsia" w:ascii="宋体" w:hAnsi="宋体" w:cs="宋体"/>
                <w:szCs w:val="21"/>
                <w:highlight w:val="none"/>
              </w:rPr>
              <w:t>同开标时间</w:t>
            </w:r>
          </w:p>
        </w:tc>
      </w:tr>
      <w:tr>
        <w:tblPrEx>
          <w:tblLayout w:type="fixed"/>
          <w:tblCellMar>
            <w:top w:w="0" w:type="dxa"/>
            <w:left w:w="10" w:type="dxa"/>
            <w:bottom w:w="0" w:type="dxa"/>
            <w:right w:w="10" w:type="dxa"/>
          </w:tblCellMar>
        </w:tblPrEx>
        <w:trPr>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2.2.3</w:t>
            </w:r>
          </w:p>
        </w:tc>
        <w:tc>
          <w:tcPr>
            <w:tcW w:w="17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投标人确认收到招标文件澄清的时间</w:t>
            </w:r>
          </w:p>
        </w:tc>
        <w:tc>
          <w:tcPr>
            <w:tcW w:w="69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szCs w:val="21"/>
                <w:highlight w:val="none"/>
              </w:rPr>
            </w:pPr>
            <w:r>
              <w:rPr>
                <w:rFonts w:hint="eastAsia" w:ascii="宋体"/>
                <w:szCs w:val="21"/>
                <w:highlight w:val="none"/>
              </w:rPr>
              <w:t>在</w:t>
            </w:r>
            <w:r>
              <w:rPr>
                <w:rFonts w:hint="eastAsia" w:ascii="宋体" w:hAnsi="Times New Roman" w:cs="Times New Roman"/>
                <w:sz w:val="21"/>
                <w:szCs w:val="21"/>
                <w:highlight w:val="none"/>
              </w:rPr>
              <w:t>广州交易集团有限公司（广州公共资源交易中心）</w:t>
            </w:r>
            <w:r>
              <w:rPr>
                <w:rFonts w:hint="eastAsia" w:ascii="宋体" w:cs="Times New Roman"/>
                <w:sz w:val="21"/>
                <w:szCs w:val="21"/>
                <w:highlight w:val="none"/>
                <w:lang w:bidi="ar"/>
              </w:rPr>
              <w:t>交易平台</w:t>
            </w:r>
            <w:r>
              <w:rPr>
                <w:rFonts w:hint="eastAsia" w:ascii="宋体"/>
                <w:szCs w:val="21"/>
                <w:highlight w:val="none"/>
              </w:rPr>
              <w:t>网上答疑专区发布时视为投标人收到。</w:t>
            </w:r>
          </w:p>
        </w:tc>
      </w:tr>
      <w:tr>
        <w:tblPrEx>
          <w:tblLayout w:type="fixed"/>
          <w:tblCellMar>
            <w:top w:w="0" w:type="dxa"/>
            <w:left w:w="10" w:type="dxa"/>
            <w:bottom w:w="0" w:type="dxa"/>
            <w:right w:w="10" w:type="dxa"/>
          </w:tblCellMar>
        </w:tblPrEx>
        <w:trPr>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2.3.1</w:t>
            </w:r>
          </w:p>
        </w:tc>
        <w:tc>
          <w:tcPr>
            <w:tcW w:w="17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投标人确认收到招标文件修改的时间</w:t>
            </w:r>
          </w:p>
        </w:tc>
        <w:tc>
          <w:tcPr>
            <w:tcW w:w="69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szCs w:val="21"/>
                <w:highlight w:val="none"/>
              </w:rPr>
            </w:pPr>
            <w:r>
              <w:rPr>
                <w:rFonts w:hint="eastAsia" w:ascii="宋体"/>
                <w:szCs w:val="21"/>
                <w:highlight w:val="none"/>
              </w:rPr>
              <w:t>在</w:t>
            </w:r>
            <w:r>
              <w:rPr>
                <w:rFonts w:hint="eastAsia" w:ascii="宋体" w:hAnsi="Times New Roman" w:cs="Times New Roman"/>
                <w:sz w:val="21"/>
                <w:szCs w:val="21"/>
                <w:highlight w:val="none"/>
              </w:rPr>
              <w:t>广州交易集团有限公司（广州公共资源交易中心）</w:t>
            </w:r>
            <w:r>
              <w:rPr>
                <w:rFonts w:hint="eastAsia" w:ascii="宋体" w:cs="Times New Roman"/>
                <w:sz w:val="21"/>
                <w:szCs w:val="21"/>
                <w:highlight w:val="none"/>
                <w:lang w:bidi="ar"/>
              </w:rPr>
              <w:t>交易平台</w:t>
            </w:r>
            <w:r>
              <w:rPr>
                <w:rFonts w:hint="eastAsia" w:ascii="宋体"/>
                <w:szCs w:val="21"/>
                <w:highlight w:val="none"/>
              </w:rPr>
              <w:t>网上答疑专区发布时视为投标人收到。</w:t>
            </w:r>
          </w:p>
        </w:tc>
      </w:tr>
      <w:tr>
        <w:tblPrEx>
          <w:tblLayout w:type="fixed"/>
          <w:tblCellMar>
            <w:top w:w="0" w:type="dxa"/>
            <w:left w:w="10" w:type="dxa"/>
            <w:bottom w:w="0" w:type="dxa"/>
            <w:right w:w="10" w:type="dxa"/>
          </w:tblCellMar>
        </w:tblPrEx>
        <w:trPr>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3.1.1</w:t>
            </w:r>
          </w:p>
        </w:tc>
        <w:tc>
          <w:tcPr>
            <w:tcW w:w="17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构成投标文件的其他资料</w:t>
            </w:r>
          </w:p>
        </w:tc>
        <w:tc>
          <w:tcPr>
            <w:tcW w:w="696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highlight w:val="none"/>
              </w:rPr>
            </w:pPr>
            <w:r>
              <w:rPr>
                <w:rFonts w:hint="eastAsia" w:ascii="宋体" w:hAnsi="宋体" w:cs="宋体"/>
                <w:szCs w:val="21"/>
                <w:highlight w:val="none"/>
                <w:lang w:val="zh-CN"/>
              </w:rPr>
              <w:t>招标文件要求资料</w:t>
            </w:r>
          </w:p>
        </w:tc>
      </w:tr>
      <w:tr>
        <w:tblPrEx>
          <w:tblLayout w:type="fixed"/>
          <w:tblCellMar>
            <w:top w:w="0" w:type="dxa"/>
            <w:left w:w="10" w:type="dxa"/>
            <w:bottom w:w="0" w:type="dxa"/>
            <w:right w:w="10" w:type="dxa"/>
          </w:tblCellMar>
        </w:tblPrEx>
        <w:trPr>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highlight w:val="none"/>
              </w:rPr>
              <w:t>3.2.4</w:t>
            </w:r>
          </w:p>
        </w:tc>
        <w:tc>
          <w:tcPr>
            <w:tcW w:w="17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最高投标限价或其计算方法</w:t>
            </w:r>
          </w:p>
        </w:tc>
        <w:tc>
          <w:tcPr>
            <w:tcW w:w="696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highlight w:val="none"/>
              </w:rPr>
            </w:pPr>
            <w:r>
              <w:rPr>
                <w:rFonts w:hint="eastAsia"/>
                <w:szCs w:val="21"/>
                <w:highlight w:val="none"/>
              </w:rPr>
              <w:t>最高投标限价</w:t>
            </w:r>
            <w:r>
              <w:rPr>
                <w:rFonts w:hint="eastAsia"/>
                <w:szCs w:val="21"/>
                <w:highlight w:val="none"/>
                <w:lang w:eastAsia="zh-CN"/>
              </w:rPr>
              <w:t>为</w:t>
            </w:r>
            <w:r>
              <w:rPr>
                <w:rFonts w:hint="eastAsia"/>
                <w:szCs w:val="21"/>
                <w:highlight w:val="none"/>
              </w:rPr>
              <w:t>人民币</w:t>
            </w:r>
            <w:r>
              <w:rPr>
                <w:rFonts w:hint="eastAsia"/>
                <w:szCs w:val="21"/>
                <w:highlight w:val="none"/>
                <w:u w:val="single"/>
              </w:rPr>
              <w:t xml:space="preserve">84,700.35 </w:t>
            </w:r>
            <w:r>
              <w:rPr>
                <w:rFonts w:hint="eastAsia"/>
                <w:szCs w:val="21"/>
                <w:highlight w:val="none"/>
              </w:rPr>
              <w:t>万元</w:t>
            </w:r>
            <w:r>
              <w:rPr>
                <w:rFonts w:hint="eastAsia"/>
                <w:szCs w:val="21"/>
                <w:highlight w:val="none"/>
                <w:lang w:eastAsia="zh-CN"/>
              </w:rPr>
              <w:t>。</w:t>
            </w:r>
            <w:r>
              <w:rPr>
                <w:rFonts w:hint="eastAsia"/>
                <w:szCs w:val="21"/>
                <w:highlight w:val="none"/>
              </w:rPr>
              <w:t>其中：建安工程费投标最高限价为</w:t>
            </w:r>
            <w:r>
              <w:rPr>
                <w:rFonts w:hint="eastAsia"/>
                <w:szCs w:val="21"/>
                <w:highlight w:val="none"/>
                <w:u w:val="single"/>
              </w:rPr>
              <w:t xml:space="preserve">82,961.25 </w:t>
            </w:r>
            <w:r>
              <w:rPr>
                <w:rFonts w:hint="eastAsia"/>
                <w:szCs w:val="21"/>
                <w:highlight w:val="none"/>
              </w:rPr>
              <w:t>万元；设计费投标最高限价为</w:t>
            </w:r>
            <w:r>
              <w:rPr>
                <w:rFonts w:hint="eastAsia"/>
                <w:szCs w:val="21"/>
                <w:highlight w:val="none"/>
                <w:u w:val="single"/>
              </w:rPr>
              <w:t xml:space="preserve">1,509.02 </w:t>
            </w:r>
            <w:r>
              <w:rPr>
                <w:rFonts w:hint="eastAsia"/>
                <w:szCs w:val="21"/>
                <w:highlight w:val="none"/>
              </w:rPr>
              <w:t>万元；其他费投标最高限价为</w:t>
            </w:r>
            <w:r>
              <w:rPr>
                <w:rFonts w:hint="eastAsia"/>
                <w:szCs w:val="21"/>
                <w:highlight w:val="none"/>
                <w:u w:val="single"/>
              </w:rPr>
              <w:t xml:space="preserve">230.08 </w:t>
            </w:r>
            <w:r>
              <w:rPr>
                <w:rFonts w:hint="eastAsia"/>
                <w:szCs w:val="21"/>
                <w:highlight w:val="none"/>
              </w:rPr>
              <w:t>万元。</w:t>
            </w:r>
          </w:p>
        </w:tc>
      </w:tr>
      <w:tr>
        <w:tblPrEx>
          <w:tblLayout w:type="fixed"/>
          <w:tblCellMar>
            <w:top w:w="0" w:type="dxa"/>
            <w:left w:w="10" w:type="dxa"/>
            <w:bottom w:w="0" w:type="dxa"/>
            <w:right w:w="10" w:type="dxa"/>
          </w:tblCellMar>
        </w:tblPrEx>
        <w:trPr>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highlight w:val="none"/>
              </w:rPr>
            </w:pPr>
            <w:r>
              <w:rPr>
                <w:rFonts w:hint="eastAsia" w:ascii="宋体" w:hAnsi="宋体" w:cs="宋体"/>
                <w:highlight w:val="none"/>
              </w:rPr>
              <w:t>3.2.5</w:t>
            </w:r>
          </w:p>
        </w:tc>
        <w:tc>
          <w:tcPr>
            <w:tcW w:w="17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投标报价的其他要求</w:t>
            </w:r>
          </w:p>
        </w:tc>
        <w:tc>
          <w:tcPr>
            <w:tcW w:w="696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highlight w:val="none"/>
              </w:rPr>
            </w:pPr>
            <w:r>
              <w:rPr>
                <w:rFonts w:hint="eastAsia" w:ascii="宋体" w:hAnsi="宋体" w:cs="宋体"/>
                <w:szCs w:val="21"/>
                <w:highlight w:val="none"/>
              </w:rPr>
              <w:t>投标人须分别对总价及各分项进行报价，且均不得高于其最高限价。同时，投标人的投标报价（含各分项报价）低于最高限价的90%以下的，须在投标文件中附成本分析报告，充分说明单价和费用的组成、降低成本的合理措施及在其他工程中应用过的经验等，否则视为原则性不响应招标文件要求，作否决投标处理。</w:t>
            </w:r>
          </w:p>
        </w:tc>
      </w:tr>
      <w:tr>
        <w:tblPrEx>
          <w:tblLayout w:type="fixed"/>
          <w:tblCellMar>
            <w:top w:w="0" w:type="dxa"/>
            <w:left w:w="10" w:type="dxa"/>
            <w:bottom w:w="0" w:type="dxa"/>
            <w:right w:w="10" w:type="dxa"/>
          </w:tblCellMar>
        </w:tblPrEx>
        <w:trPr>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3.3.1</w:t>
            </w:r>
          </w:p>
        </w:tc>
        <w:tc>
          <w:tcPr>
            <w:tcW w:w="17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投标有效期</w:t>
            </w:r>
          </w:p>
        </w:tc>
        <w:tc>
          <w:tcPr>
            <w:tcW w:w="6960"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eastAsia="宋体" w:cs="宋体"/>
                <w:szCs w:val="21"/>
                <w:highlight w:val="none"/>
                <w:lang w:eastAsia="zh-CN"/>
              </w:rPr>
            </w:pPr>
            <w:r>
              <w:rPr>
                <w:rFonts w:hint="eastAsia" w:ascii="宋体" w:hAnsi="宋体" w:cs="宋体"/>
                <w:szCs w:val="21"/>
                <w:highlight w:val="none"/>
              </w:rPr>
              <w:t>自投标文件递交截止之日起120日历天</w:t>
            </w:r>
            <w:r>
              <w:rPr>
                <w:rFonts w:hint="eastAsia" w:ascii="宋体" w:hAnsi="宋体" w:cs="宋体"/>
                <w:szCs w:val="21"/>
                <w:highlight w:val="none"/>
                <w:lang w:eastAsia="zh-CN"/>
              </w:rPr>
              <w:t>，</w:t>
            </w:r>
            <w:r>
              <w:rPr>
                <w:rFonts w:hint="eastAsia" w:ascii="宋体" w:hAnsi="宋体" w:cs="宋体"/>
                <w:color w:val="auto"/>
                <w:szCs w:val="21"/>
                <w:u w:val="none"/>
              </w:rPr>
              <w:t>如出现异议或投诉，则有效期自动延长至异议或投诉处理结束，确定中标人并发放中标通知书为止。</w:t>
            </w:r>
          </w:p>
        </w:tc>
      </w:tr>
      <w:tr>
        <w:tblPrEx>
          <w:tblLayout w:type="fixed"/>
          <w:tblCellMar>
            <w:top w:w="0" w:type="dxa"/>
            <w:left w:w="10" w:type="dxa"/>
            <w:bottom w:w="0" w:type="dxa"/>
            <w:right w:w="10" w:type="dxa"/>
          </w:tblCellMar>
        </w:tblPrEx>
        <w:trPr>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3.4.1</w:t>
            </w:r>
          </w:p>
        </w:tc>
        <w:tc>
          <w:tcPr>
            <w:tcW w:w="17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投标保证金</w:t>
            </w:r>
          </w:p>
        </w:tc>
        <w:tc>
          <w:tcPr>
            <w:tcW w:w="6960"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eastAsia="宋体"/>
                <w:highlight w:val="cyan"/>
                <w:lang w:val="en-US" w:eastAsia="zh-CN"/>
              </w:rPr>
            </w:pPr>
            <w:r>
              <w:rPr>
                <w:rFonts w:hint="eastAsia"/>
              </w:rPr>
              <w:t>投标保证金为</w:t>
            </w:r>
            <w:r>
              <w:rPr>
                <w:rFonts w:hint="eastAsia"/>
                <w:u w:val="single"/>
              </w:rPr>
              <w:t>50万元人民币</w:t>
            </w:r>
            <w:r>
              <w:rPr>
                <w:rFonts w:hint="eastAsia"/>
              </w:rPr>
              <w:t>，缴纳时间在投标文件递交截止时间之前。投标保证金有效期：与投标有效期一致。</w:t>
            </w:r>
          </w:p>
          <w:p>
            <w:pPr>
              <w:spacing w:line="440" w:lineRule="exact"/>
            </w:pPr>
            <w:r>
              <w:rPr>
                <w:rFonts w:hint="eastAsia"/>
                <w:lang w:val="en-US" w:eastAsia="zh-CN"/>
              </w:rPr>
              <w:t>1.</w:t>
            </w:r>
            <w:r>
              <w:rPr>
                <w:rFonts w:hint="eastAsia"/>
              </w:rPr>
              <w:t>投标保证金可采用现金、支票、投标保函、投标保证保险、专业工程担保公司担保的形式递交，须在递交投标文件截止时间前完成缴纳。</w:t>
            </w:r>
          </w:p>
          <w:p>
            <w:pPr>
              <w:spacing w:line="440" w:lineRule="exact"/>
              <w:ind w:firstLine="0" w:firstLineChars="0"/>
            </w:pPr>
            <w:r>
              <w:rPr>
                <w:rFonts w:hint="eastAsia"/>
                <w:lang w:val="en-US" w:eastAsia="zh-CN"/>
              </w:rPr>
              <w:t>2.</w:t>
            </w:r>
            <w:r>
              <w:rPr>
                <w:rFonts w:hint="eastAsia"/>
              </w:rPr>
              <w:t>收取方式：</w:t>
            </w:r>
          </w:p>
          <w:p>
            <w:pPr>
              <w:spacing w:line="440" w:lineRule="exact"/>
              <w:ind w:firstLine="315" w:firstLineChars="150"/>
            </w:pPr>
            <w:r>
              <w:rPr>
                <w:rFonts w:hint="eastAsia"/>
              </w:rPr>
              <w:t>（1）如采用现金或者支票形式提交的，投标保证金从投标人基本账户递交，由</w:t>
            </w:r>
            <w:r>
              <w:rPr>
                <w:rFonts w:hint="eastAsia" w:ascii="Times New Roman" w:hAnsi="Times New Roman" w:cs="Times New Roman"/>
                <w:sz w:val="21"/>
                <w:szCs w:val="22"/>
              </w:rPr>
              <w:t>广州交易集团有限公司（广州公共资源交易中心）</w:t>
            </w:r>
            <w:r>
              <w:rPr>
                <w:rFonts w:hint="eastAsia" w:ascii="Times New Roman" w:cs="Times New Roman"/>
                <w:sz w:val="21"/>
                <w:szCs w:val="22"/>
                <w:lang w:bidi="ar"/>
              </w:rPr>
              <w:t>交易平台</w:t>
            </w:r>
            <w:r>
              <w:rPr>
                <w:rFonts w:hint="eastAsia"/>
              </w:rPr>
              <w:t>代收。</w:t>
            </w:r>
          </w:p>
          <w:p>
            <w:pPr>
              <w:spacing w:line="440" w:lineRule="exact"/>
              <w:ind w:firstLine="315" w:firstLineChars="150"/>
            </w:pPr>
            <w:r>
              <w:rPr>
                <w:rFonts w:hint="eastAsia"/>
              </w:rPr>
              <w:t>收款单位：广州交易集团有限公司</w:t>
            </w:r>
          </w:p>
          <w:p>
            <w:pPr>
              <w:spacing w:line="440" w:lineRule="exact"/>
              <w:ind w:firstLine="315" w:firstLineChars="150"/>
            </w:pPr>
            <w:r>
              <w:rPr>
                <w:rFonts w:hint="eastAsia"/>
              </w:rPr>
              <w:t>银行账号：44001583404059333333</w:t>
            </w:r>
          </w:p>
          <w:p>
            <w:pPr>
              <w:spacing w:line="440" w:lineRule="exact"/>
              <w:ind w:firstLine="315" w:firstLineChars="150"/>
            </w:pPr>
            <w:r>
              <w:rPr>
                <w:rFonts w:hint="eastAsia"/>
              </w:rPr>
              <w:t>开户银行：中国建设银行天润路支行</w:t>
            </w:r>
          </w:p>
          <w:p>
            <w:pPr>
              <w:spacing w:line="440" w:lineRule="exact"/>
              <w:ind w:firstLine="315" w:firstLineChars="150"/>
            </w:pPr>
            <w:r>
              <w:rPr>
                <w:rFonts w:hint="eastAsia"/>
              </w:rPr>
              <w:t>具体操作要求详见</w:t>
            </w:r>
            <w:r>
              <w:rPr>
                <w:rFonts w:hint="eastAsia" w:ascii="Times New Roman" w:hAnsi="Times New Roman" w:cs="Times New Roman"/>
                <w:sz w:val="21"/>
                <w:szCs w:val="22"/>
              </w:rPr>
              <w:t>广州交易集团有限公司（广州公共资源交易中心）</w:t>
            </w:r>
            <w:r>
              <w:rPr>
                <w:rFonts w:hint="eastAsia" w:ascii="Times New Roman" w:cs="Times New Roman"/>
                <w:sz w:val="21"/>
                <w:szCs w:val="22"/>
                <w:lang w:bidi="ar"/>
              </w:rPr>
              <w:t>交易平台</w:t>
            </w:r>
            <w:r>
              <w:rPr>
                <w:rFonts w:hint="eastAsia"/>
              </w:rPr>
              <w:t>有关指引，递交事宜请自行咨询交易中心；请各投标人在投标文件递交截止时间前按上述金额递交至</w:t>
            </w:r>
            <w:r>
              <w:rPr>
                <w:rFonts w:hint="eastAsia" w:ascii="Times New Roman" w:hAnsi="Times New Roman" w:cs="Times New Roman"/>
                <w:sz w:val="21"/>
                <w:szCs w:val="22"/>
              </w:rPr>
              <w:t>广州交易集团有限公司（广州公共资源交易中心）</w:t>
            </w:r>
            <w:r>
              <w:rPr>
                <w:rFonts w:hint="eastAsia" w:ascii="Times New Roman" w:cs="Times New Roman"/>
                <w:sz w:val="21"/>
                <w:szCs w:val="22"/>
                <w:lang w:bidi="ar"/>
              </w:rPr>
              <w:t>交易平台</w:t>
            </w:r>
            <w:r>
              <w:rPr>
                <w:rFonts w:hint="eastAsia"/>
              </w:rPr>
              <w:t>，款项到账后，投标人在完成投标登记后至投标截止时间前，可登陆交易中心网站，在基本户投标保证金栏目内将上述到账资金转到对应的投标项目，完成保证金缴纳。保证金到账情况以开标时</w:t>
            </w:r>
            <w:r>
              <w:rPr>
                <w:rFonts w:hint="eastAsia" w:ascii="Times New Roman" w:hAnsi="Times New Roman" w:cs="Times New Roman"/>
                <w:sz w:val="21"/>
                <w:szCs w:val="22"/>
              </w:rPr>
              <w:t>广州交易集团有限公司（广州公共资源交易中心）</w:t>
            </w:r>
            <w:r>
              <w:rPr>
                <w:rFonts w:hint="eastAsia" w:ascii="Times New Roman" w:cs="Times New Roman"/>
                <w:sz w:val="21"/>
                <w:szCs w:val="22"/>
                <w:lang w:bidi="ar"/>
              </w:rPr>
              <w:t>交易平台</w:t>
            </w:r>
            <w:r>
              <w:rPr>
                <w:rFonts w:hint="eastAsia"/>
              </w:rPr>
              <w:t>数据库查询的信息为准。</w:t>
            </w:r>
          </w:p>
          <w:p>
            <w:pPr>
              <w:spacing w:line="440" w:lineRule="exact"/>
              <w:ind w:firstLine="315" w:firstLineChars="150"/>
            </w:pPr>
            <w:r>
              <w:rPr>
                <w:rFonts w:hint="eastAsia"/>
                <w:lang w:eastAsia="zh-CN"/>
              </w:rPr>
              <w:t>（</w:t>
            </w:r>
            <w:r>
              <w:rPr>
                <w:rFonts w:hint="eastAsia"/>
                <w:lang w:val="en-US" w:eastAsia="zh-CN"/>
              </w:rPr>
              <w:t>2</w:t>
            </w:r>
            <w:r>
              <w:rPr>
                <w:rFonts w:hint="eastAsia"/>
                <w:lang w:eastAsia="zh-CN"/>
              </w:rPr>
              <w:t>）</w:t>
            </w:r>
            <w:r>
              <w:rPr>
                <w:rFonts w:hint="eastAsia"/>
              </w:rPr>
              <w:t>如采用非电子形式的银行保函、保证保险、专业工程担保公司担保提交的，在开标前不强制要求提交纸质原件，由中标候选人在中标候选人公示前提交并在网上公示，但投标人应在投标文件中提供银行保函、保证保险、专业工程担保公司担保等的原件扫描件并加盖投标人（或联合体牵头单位）电子印章。如投标人选择在开标前提交纸质原件的，可在投标截止时间前单独密封递交至开标室（时间及地点同递交备用电子投标文件的时间及地点）。[其中采用</w:t>
            </w:r>
            <w:r>
              <w:rPr>
                <w:rFonts w:hint="eastAsia" w:ascii="Times New Roman" w:hAnsi="Times New Roman" w:cs="Times New Roman"/>
                <w:sz w:val="21"/>
                <w:szCs w:val="22"/>
              </w:rPr>
              <w:t>广州交易集团有限公司（广州公共资源交易中心）</w:t>
            </w:r>
            <w:r>
              <w:rPr>
                <w:rFonts w:hint="eastAsia" w:ascii="Times New Roman" w:cs="Times New Roman"/>
                <w:sz w:val="21"/>
                <w:szCs w:val="22"/>
                <w:lang w:bidi="ar"/>
              </w:rPr>
              <w:t>交易平台</w:t>
            </w:r>
            <w:r>
              <w:rPr>
                <w:rFonts w:hint="eastAsia"/>
              </w:rPr>
              <w:t>电子形式的保函、担保或保证保险的，以</w:t>
            </w:r>
            <w:r>
              <w:rPr>
                <w:rFonts w:hint="eastAsia" w:ascii="Times New Roman" w:hAnsi="Times New Roman" w:cs="Times New Roman"/>
                <w:sz w:val="21"/>
                <w:szCs w:val="22"/>
              </w:rPr>
              <w:t>广州交易集团有限公司（广州公共资源交易中心）</w:t>
            </w:r>
            <w:r>
              <w:rPr>
                <w:rFonts w:hint="eastAsia" w:ascii="Times New Roman" w:cs="Times New Roman"/>
                <w:sz w:val="21"/>
                <w:szCs w:val="22"/>
                <w:lang w:bidi="ar"/>
              </w:rPr>
              <w:t>交易平台</w:t>
            </w:r>
            <w:r>
              <w:rPr>
                <w:rFonts w:hint="eastAsia"/>
              </w:rPr>
              <w:t>的相关操作指引为准]</w:t>
            </w:r>
          </w:p>
          <w:p>
            <w:pPr>
              <w:spacing w:line="440" w:lineRule="exact"/>
              <w:ind w:firstLine="315" w:firstLineChars="150"/>
              <w:rPr>
                <w:rFonts w:hint="eastAsia"/>
              </w:rPr>
            </w:pPr>
            <w:r>
              <w:rPr>
                <w:rFonts w:hint="eastAsia"/>
              </w:rPr>
              <w:t>如联合体投标，投标保证金由联合体牵头单位缴纳。</w:t>
            </w:r>
          </w:p>
          <w:p>
            <w:pPr>
              <w:spacing w:line="440" w:lineRule="exact"/>
              <w:ind w:firstLine="315" w:firstLineChars="150"/>
              <w:rPr>
                <w:rFonts w:hint="eastAsia"/>
              </w:rPr>
            </w:pPr>
            <w:r>
              <w:rPr>
                <w:rFonts w:hint="eastAsia"/>
                <w:lang w:val="en-US" w:eastAsia="zh-CN"/>
              </w:rPr>
              <w:t>3.</w:t>
            </w:r>
            <w:r>
              <w:rPr>
                <w:rFonts w:hint="eastAsia"/>
              </w:rPr>
              <w:t>招标人允许免收信用良好企业或中小企业的投标保证金，具体规定如下：</w:t>
            </w:r>
          </w:p>
          <w:p>
            <w:pPr>
              <w:spacing w:line="440" w:lineRule="exact"/>
              <w:rPr>
                <w:rFonts w:hint="eastAsia"/>
              </w:rPr>
            </w:pPr>
            <w:r>
              <w:rPr>
                <w:rFonts w:hint="eastAsia"/>
              </w:rPr>
              <w:t>①信用良好的相关证明办法：以“信用中国”网站（https://www.creditchina.gov.cn）下载的、由国家公共信用信息中心出具的有效的《法人和其他组织信用信息概况》（以下简称“信用报告”）为准，信用报告的生成时间需在招标公告发布时间至递交投标文件截止时间段内，超出该时间段出具的信用报告无效。信用状况良好是指投标人信用报告中不存在重点关注信息、行政处罚信息、失信惩戒信息、风险提示信息。并提供《关于投标保证金的承诺》。</w:t>
            </w:r>
          </w:p>
          <w:p>
            <w:pPr>
              <w:spacing w:line="440" w:lineRule="exact"/>
              <w:rPr>
                <w:rFonts w:hint="eastAsia"/>
              </w:rPr>
            </w:pPr>
            <w:r>
              <w:rPr>
                <w:rFonts w:hint="eastAsia"/>
              </w:rPr>
              <w:t>②中小企业的相关证明办法：投标人提供自行查询企业划型截图和《中小企业声明函》。中小企业的划型标准依据《关于印发中小企业划型标准规定的通知》（工信部联企业（2011）300号）执行，投标人提供以https://baosong.miit.gov.cn/ScaleTest网址查询结果为准，网页截图需包含网址信息，并提供《关于投标保证金的承诺》，</w:t>
            </w:r>
          </w:p>
          <w:p>
            <w:pPr>
              <w:spacing w:line="440" w:lineRule="exact"/>
            </w:pPr>
            <w:r>
              <w:rPr>
                <w:rFonts w:hint="eastAsia"/>
              </w:rPr>
              <w:t>③没有按①、②要求提供证明材料的投标人，不免于交纳投标保证金。</w:t>
            </w:r>
          </w:p>
          <w:p>
            <w:pPr>
              <w:adjustRightInd w:val="0"/>
              <w:snapToGrid w:val="0"/>
              <w:spacing w:line="440" w:lineRule="exac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.开标时投标人没有按要求提供投标保证金的，其投标文件将被否决。</w:t>
            </w:r>
          </w:p>
          <w:p>
            <w:pPr>
              <w:pStyle w:val="8"/>
              <w:spacing w:line="440" w:lineRule="exact"/>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.投标保证金依据法律法规的相关规定退还。</w:t>
            </w:r>
          </w:p>
        </w:tc>
      </w:tr>
      <w:tr>
        <w:tblPrEx>
          <w:tblLayout w:type="fixed"/>
          <w:tblCellMar>
            <w:top w:w="0" w:type="dxa"/>
            <w:left w:w="10" w:type="dxa"/>
            <w:bottom w:w="0" w:type="dxa"/>
            <w:right w:w="10" w:type="dxa"/>
          </w:tblCellMar>
        </w:tblPrEx>
        <w:trPr>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3.6</w:t>
            </w:r>
          </w:p>
        </w:tc>
        <w:tc>
          <w:tcPr>
            <w:tcW w:w="17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是否允许递交备选投标方案</w:t>
            </w:r>
          </w:p>
        </w:tc>
        <w:tc>
          <w:tcPr>
            <w:tcW w:w="69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hAnsi="宋体" w:cs="宋体"/>
                <w:szCs w:val="21"/>
                <w:highlight w:val="none"/>
              </w:rPr>
            </w:pPr>
            <w:r>
              <w:rPr>
                <w:rFonts w:hint="eastAsia" w:hAnsi="宋体" w:cs="宋体"/>
                <w:sz w:val="32"/>
                <w:szCs w:val="32"/>
                <w:highlight w:val="none"/>
              </w:rPr>
              <w:t>■</w:t>
            </w:r>
            <w:r>
              <w:rPr>
                <w:rFonts w:hint="eastAsia" w:hAnsi="宋体" w:cs="宋体"/>
                <w:szCs w:val="21"/>
                <w:highlight w:val="none"/>
              </w:rPr>
              <w:t>不允许</w:t>
            </w:r>
          </w:p>
          <w:p>
            <w:pPr>
              <w:spacing w:line="440" w:lineRule="exact"/>
              <w:rPr>
                <w:rFonts w:ascii="宋体" w:hAnsi="宋体" w:cs="宋体"/>
                <w:szCs w:val="21"/>
                <w:highlight w:val="none"/>
              </w:rPr>
            </w:pPr>
            <w:r>
              <w:rPr>
                <w:rFonts w:hint="eastAsia" w:ascii="宋体" w:hAnsi="宋体" w:cs="宋体"/>
                <w:sz w:val="32"/>
                <w:szCs w:val="32"/>
                <w:highlight w:val="none"/>
              </w:rPr>
              <w:t>□</w:t>
            </w:r>
            <w:r>
              <w:rPr>
                <w:rFonts w:hint="eastAsia" w:ascii="宋体" w:hAnsi="宋体" w:cs="宋体"/>
                <w:szCs w:val="21"/>
                <w:highlight w:val="none"/>
              </w:rPr>
              <w:t>允许</w:t>
            </w:r>
          </w:p>
        </w:tc>
      </w:tr>
      <w:tr>
        <w:tblPrEx>
          <w:tblLayout w:type="fixed"/>
          <w:tblCellMar>
            <w:top w:w="0" w:type="dxa"/>
            <w:left w:w="10" w:type="dxa"/>
            <w:bottom w:w="0" w:type="dxa"/>
            <w:right w:w="10" w:type="dxa"/>
          </w:tblCellMar>
        </w:tblPrEx>
        <w:trPr>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3.7.3</w:t>
            </w:r>
          </w:p>
        </w:tc>
        <w:tc>
          <w:tcPr>
            <w:tcW w:w="17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签字或盖章要求</w:t>
            </w:r>
          </w:p>
        </w:tc>
        <w:tc>
          <w:tcPr>
            <w:tcW w:w="696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highlight w:val="none"/>
                <w:lang w:val="zh-CN"/>
              </w:rPr>
            </w:pPr>
            <w:r>
              <w:rPr>
                <w:rFonts w:hint="eastAsia" w:ascii="宋体" w:hAnsi="宋体" w:cs="宋体"/>
                <w:szCs w:val="21"/>
                <w:highlight w:val="none"/>
                <w:lang w:val="zh-CN"/>
              </w:rPr>
              <w:t>投标人采用单位数字证书，按招标文件要求在相应位置加盖电子印章。投标文件中需个人签字或盖章的，应加盖个人电子印章或在线下完成后扫描上传。按照交易平台关于全流程电子化项目的相关指南进行操作。按照</w:t>
            </w:r>
            <w:r>
              <w:rPr>
                <w:rFonts w:hint="eastAsia" w:ascii="宋体" w:hAnsi="宋体" w:cs="宋体"/>
                <w:color w:val="auto"/>
                <w:sz w:val="21"/>
                <w:szCs w:val="21"/>
              </w:rPr>
              <w:t>广州交易集团有限公司（广州公共资源交易中心）</w:t>
            </w:r>
            <w:r>
              <w:rPr>
                <w:rFonts w:hint="eastAsia" w:ascii="宋体" w:hAnsi="宋体" w:cs="宋体"/>
                <w:color w:val="auto"/>
                <w:sz w:val="21"/>
                <w:szCs w:val="21"/>
                <w:lang w:bidi="ar"/>
              </w:rPr>
              <w:t>交易平台</w:t>
            </w:r>
            <w:r>
              <w:rPr>
                <w:rFonts w:hint="eastAsia" w:ascii="宋体" w:hAnsi="宋体" w:cs="宋体"/>
                <w:szCs w:val="21"/>
                <w:highlight w:val="none"/>
                <w:lang w:val="zh-CN"/>
              </w:rPr>
              <w:t>网站最新发布的《房屋建筑和市政基础设施工程全流程电子化项目专章》进行操作，联合体投标的，除投标文件中的联合体协议书需联合体各方盖章、签字外，投标文件其他内容中的“投标人”、“声明企业”应填写联合体各方的单位全称，但由牵头方盖章、签字即可。</w:t>
            </w:r>
          </w:p>
        </w:tc>
      </w:tr>
      <w:tr>
        <w:tblPrEx>
          <w:tblLayout w:type="fixed"/>
          <w:tblCellMar>
            <w:top w:w="0" w:type="dxa"/>
            <w:left w:w="10" w:type="dxa"/>
            <w:bottom w:w="0" w:type="dxa"/>
            <w:right w:w="10" w:type="dxa"/>
          </w:tblCellMar>
        </w:tblPrEx>
        <w:trPr>
          <w:jc w:val="center"/>
        </w:trPr>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4.2.2</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递交投标文件地点</w:t>
            </w:r>
          </w:p>
        </w:tc>
        <w:tc>
          <w:tcPr>
            <w:tcW w:w="69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rPr>
                <w:rFonts w:hint="eastAsia" w:ascii="宋体" w:hAnsi="宋体" w:cs="宋体"/>
                <w:color w:val="auto"/>
                <w:szCs w:val="21"/>
                <w:u w:val="single"/>
              </w:rPr>
            </w:pPr>
            <w:r>
              <w:rPr>
                <w:rFonts w:hint="eastAsia" w:ascii="宋体" w:hAnsi="宋体" w:cs="宋体"/>
                <w:color w:val="auto"/>
                <w:szCs w:val="21"/>
                <w:u w:val="single"/>
              </w:rPr>
              <w:t>投标人应在截止时间前通过</w:t>
            </w:r>
            <w:r>
              <w:rPr>
                <w:rFonts w:hint="eastAsia" w:ascii="宋体" w:hAnsi="宋体" w:cs="宋体"/>
                <w:color w:val="auto"/>
                <w:sz w:val="21"/>
                <w:szCs w:val="21"/>
                <w:u w:val="single"/>
              </w:rPr>
              <w:t>广州交易集团有限公司（广州公共资源交易中心）</w:t>
            </w:r>
            <w:r>
              <w:rPr>
                <w:rFonts w:hint="eastAsia" w:ascii="宋体" w:hAnsi="宋体" w:cs="宋体"/>
                <w:color w:val="auto"/>
                <w:sz w:val="21"/>
                <w:szCs w:val="21"/>
                <w:u w:val="single"/>
                <w:lang w:bidi="ar"/>
              </w:rPr>
              <w:t>交易平台</w:t>
            </w:r>
            <w:r>
              <w:rPr>
                <w:rFonts w:hint="eastAsia" w:ascii="宋体" w:hAnsi="宋体" w:cs="宋体"/>
                <w:color w:val="auto"/>
                <w:szCs w:val="21"/>
                <w:u w:val="single"/>
              </w:rPr>
              <w:t>网站递交电子投标文件。</w:t>
            </w:r>
          </w:p>
          <w:p>
            <w:pPr>
              <w:spacing w:line="440" w:lineRule="exact"/>
              <w:rPr>
                <w:rFonts w:ascii="宋体" w:hAnsi="宋体" w:cs="宋体"/>
                <w:szCs w:val="21"/>
                <w:highlight w:val="none"/>
                <w:u w:val="single"/>
              </w:rPr>
            </w:pPr>
            <w:r>
              <w:rPr>
                <w:rFonts w:hint="eastAsia" w:ascii="宋体" w:hAnsi="宋体" w:cs="宋体"/>
                <w:color w:val="auto"/>
                <w:szCs w:val="21"/>
              </w:rPr>
              <w:t>备用光盘递交至</w:t>
            </w:r>
            <w:r>
              <w:rPr>
                <w:rFonts w:hint="eastAsia" w:ascii="宋体" w:hAnsi="宋体" w:cs="宋体"/>
                <w:color w:val="auto"/>
                <w:sz w:val="21"/>
                <w:szCs w:val="21"/>
              </w:rPr>
              <w:t>广州交易集团有限公司（广州公共资源交易中心）</w:t>
            </w:r>
            <w:r>
              <w:rPr>
                <w:rFonts w:hint="eastAsia" w:ascii="宋体" w:hAnsi="宋体" w:cs="宋体"/>
                <w:color w:val="auto"/>
                <w:sz w:val="21"/>
                <w:szCs w:val="21"/>
                <w:lang w:bidi="ar"/>
              </w:rPr>
              <w:t>交易平台</w:t>
            </w:r>
            <w:r>
              <w:rPr>
                <w:rFonts w:hint="eastAsia" w:ascii="宋体" w:hAnsi="宋体" w:cs="宋体"/>
                <w:color w:val="auto"/>
                <w:szCs w:val="21"/>
              </w:rPr>
              <w:t>，递交地点同开标地点。</w:t>
            </w:r>
          </w:p>
        </w:tc>
      </w:tr>
      <w:tr>
        <w:tblPrEx>
          <w:tblLayout w:type="fixed"/>
          <w:tblCellMar>
            <w:top w:w="0" w:type="dxa"/>
            <w:left w:w="10" w:type="dxa"/>
            <w:bottom w:w="0" w:type="dxa"/>
            <w:right w:w="10" w:type="dxa"/>
          </w:tblCellMar>
        </w:tblPrEx>
        <w:trPr>
          <w:jc w:val="center"/>
        </w:trPr>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ascii="宋体"/>
                <w:szCs w:val="21"/>
                <w:highlight w:val="none"/>
              </w:rPr>
            </w:pPr>
            <w:r>
              <w:rPr>
                <w:rFonts w:hint="eastAsia" w:ascii="宋体"/>
                <w:szCs w:val="21"/>
                <w:highlight w:val="none"/>
              </w:rPr>
              <w:t>4.5</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ascii="宋体"/>
                <w:szCs w:val="21"/>
                <w:highlight w:val="none"/>
              </w:rPr>
            </w:pPr>
            <w:r>
              <w:rPr>
                <w:rFonts w:hint="eastAsia" w:ascii="宋体"/>
                <w:szCs w:val="21"/>
                <w:highlight w:val="none"/>
              </w:rPr>
              <w:t>投标文件的解密</w:t>
            </w:r>
          </w:p>
        </w:tc>
        <w:tc>
          <w:tcPr>
            <w:tcW w:w="6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opLinePunct/>
              <w:spacing w:line="440" w:lineRule="exact"/>
              <w:rPr>
                <w:rFonts w:ascii="宋体" w:cs="宋体"/>
                <w:strike/>
                <w:szCs w:val="21"/>
                <w:highlight w:val="none"/>
              </w:rPr>
            </w:pPr>
            <w:r>
              <w:rPr>
                <w:rFonts w:hint="eastAsia" w:ascii="宋体" w:hAnsi="宋体" w:eastAsia="宋体" w:cs="宋体"/>
                <w:bCs w:val="0"/>
                <w:kern w:val="0"/>
                <w:sz w:val="21"/>
                <w:szCs w:val="21"/>
                <w:highlight w:val="none"/>
                <w:lang w:val="zh-CN"/>
              </w:rPr>
              <w:t>投标人只用执行一次解密，招标人执行解密次数根据招标文件开标次数确定。</w:t>
            </w:r>
          </w:p>
        </w:tc>
      </w:tr>
      <w:tr>
        <w:tblPrEx>
          <w:tblLayout w:type="fixed"/>
          <w:tblCellMar>
            <w:top w:w="0" w:type="dxa"/>
            <w:left w:w="10" w:type="dxa"/>
            <w:bottom w:w="0" w:type="dxa"/>
            <w:right w:w="10" w:type="dxa"/>
          </w:tblCellMar>
        </w:tblPrEx>
        <w:trPr>
          <w:trHeight w:val="88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5.1</w:t>
            </w:r>
          </w:p>
        </w:tc>
        <w:tc>
          <w:tcPr>
            <w:tcW w:w="17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开标时间和地点</w:t>
            </w:r>
          </w:p>
        </w:tc>
        <w:tc>
          <w:tcPr>
            <w:tcW w:w="696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highlight w:val="none"/>
                <w:u w:val="single"/>
              </w:rPr>
            </w:pPr>
            <w:r>
              <w:rPr>
                <w:rFonts w:hint="eastAsia" w:ascii="宋体" w:hAnsi="宋体" w:cs="宋体"/>
                <w:szCs w:val="21"/>
                <w:highlight w:val="none"/>
                <w:u w:val="none"/>
              </w:rPr>
              <w:t>本项目日程安排及地点信息可在</w:t>
            </w:r>
            <w:r>
              <w:rPr>
                <w:rFonts w:hint="eastAsia" w:ascii="宋体" w:hAnsi="宋体" w:cs="宋体"/>
                <w:sz w:val="21"/>
                <w:szCs w:val="21"/>
                <w:highlight w:val="none"/>
                <w:u w:val="none"/>
              </w:rPr>
              <w:t>广州交易集团有限公司（广州公共资源交易中心）</w:t>
            </w:r>
            <w:r>
              <w:rPr>
                <w:rFonts w:hint="eastAsia" w:ascii="宋体" w:hAnsi="宋体" w:cs="宋体"/>
                <w:szCs w:val="21"/>
                <w:highlight w:val="none"/>
                <w:u w:val="none"/>
              </w:rPr>
              <w:t>网站进行查询。</w:t>
            </w:r>
          </w:p>
        </w:tc>
      </w:tr>
      <w:tr>
        <w:tblPrEx>
          <w:tblLayout w:type="fixed"/>
          <w:tblCellMar>
            <w:top w:w="0" w:type="dxa"/>
            <w:left w:w="10" w:type="dxa"/>
            <w:bottom w:w="0" w:type="dxa"/>
            <w:right w:w="10" w:type="dxa"/>
          </w:tblCellMar>
        </w:tblPrEx>
        <w:trPr>
          <w:trHeight w:val="381"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5.2</w:t>
            </w:r>
          </w:p>
        </w:tc>
        <w:tc>
          <w:tcPr>
            <w:tcW w:w="17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开标程序</w:t>
            </w:r>
          </w:p>
        </w:tc>
        <w:tc>
          <w:tcPr>
            <w:tcW w:w="696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highlight w:val="none"/>
              </w:rPr>
            </w:pPr>
            <w:r>
              <w:rPr>
                <w:rFonts w:hint="eastAsia" w:ascii="宋体" w:hAnsi="宋体" w:cs="宋体"/>
                <w:szCs w:val="21"/>
                <w:highlight w:val="none"/>
              </w:rPr>
              <w:t>1.按下列程序进行开标：</w:t>
            </w:r>
          </w:p>
          <w:p>
            <w:pPr>
              <w:spacing w:line="440" w:lineRule="exact"/>
              <w:rPr>
                <w:rFonts w:ascii="宋体" w:hAnsi="宋体" w:cs="宋体"/>
                <w:szCs w:val="21"/>
                <w:highlight w:val="none"/>
              </w:rPr>
            </w:pPr>
            <w:r>
              <w:rPr>
                <w:rFonts w:hint="eastAsia" w:ascii="宋体" w:hAnsi="宋体" w:cs="宋体"/>
                <w:szCs w:val="21"/>
                <w:highlight w:val="none"/>
              </w:rPr>
              <w:t>（1）宣布开标纪律；</w:t>
            </w:r>
          </w:p>
          <w:p>
            <w:pPr>
              <w:spacing w:line="440" w:lineRule="exact"/>
              <w:rPr>
                <w:rFonts w:ascii="宋体" w:hAnsi="宋体" w:cs="宋体"/>
                <w:szCs w:val="21"/>
                <w:highlight w:val="none"/>
              </w:rPr>
            </w:pPr>
            <w:r>
              <w:rPr>
                <w:rFonts w:hint="eastAsia" w:ascii="宋体" w:hAnsi="宋体" w:cs="宋体"/>
                <w:szCs w:val="21"/>
                <w:highlight w:val="none"/>
              </w:rPr>
              <w:t>（2）公布在投标截止时间前递交投标文件的投标人名称；</w:t>
            </w:r>
          </w:p>
          <w:p>
            <w:pPr>
              <w:spacing w:line="440" w:lineRule="exact"/>
              <w:rPr>
                <w:rFonts w:ascii="宋体" w:hAnsi="宋体" w:cs="宋体"/>
                <w:szCs w:val="21"/>
                <w:highlight w:val="none"/>
              </w:rPr>
            </w:pPr>
            <w:r>
              <w:rPr>
                <w:rFonts w:hint="eastAsia" w:ascii="宋体" w:hAnsi="宋体" w:cs="宋体"/>
                <w:szCs w:val="21"/>
                <w:highlight w:val="none"/>
              </w:rPr>
              <w:t>（3）在投标截止时间后半小时内，投标人通过递交投标文件的交易平台对已递交的电子投标文件进行解密。投标人完成解密后，再由招标人进行解密（投标人只用执行一次解密，招标人执行解密次数根据招标文件开标次数确定）。</w:t>
            </w:r>
          </w:p>
          <w:p>
            <w:pPr>
              <w:spacing w:line="440" w:lineRule="exact"/>
              <w:rPr>
                <w:rFonts w:ascii="宋体" w:hAnsi="宋体" w:cs="宋体"/>
                <w:szCs w:val="21"/>
                <w:highlight w:val="none"/>
              </w:rPr>
            </w:pPr>
            <w:r>
              <w:rPr>
                <w:rFonts w:hint="eastAsia" w:ascii="宋体" w:hAnsi="宋体" w:cs="宋体"/>
                <w:szCs w:val="21"/>
                <w:highlight w:val="none"/>
              </w:rPr>
              <w:t>（4）解密完成后，公布：a投标人名称；b投标文件递交情况；c投标文件解密情况；d投标担保递交情况；e项目负责人、</w:t>
            </w:r>
            <w:r>
              <w:rPr>
                <w:rFonts w:hint="eastAsia" w:ascii="宋体" w:hAnsi="宋体" w:cs="宋体"/>
                <w:szCs w:val="21"/>
                <w:highlight w:val="none"/>
                <w:lang w:val="en-US" w:eastAsia="zh-CN"/>
              </w:rPr>
              <w:t>施工负责人、</w:t>
            </w:r>
            <w:r>
              <w:rPr>
                <w:rFonts w:hint="eastAsia" w:ascii="宋体" w:hAnsi="宋体" w:cs="宋体"/>
                <w:szCs w:val="21"/>
                <w:highlight w:val="none"/>
              </w:rPr>
              <w:t>设计负责人、施工技术负责人、专职安全员；f投标报价（</w:t>
            </w:r>
            <w:r>
              <w:rPr>
                <w:rFonts w:hint="eastAsia" w:ascii="宋体" w:hAnsi="宋体" w:cs="宋体"/>
                <w:szCs w:val="21"/>
                <w:highlight w:val="none"/>
                <w:lang w:val="en-US" w:eastAsia="zh-CN"/>
              </w:rPr>
              <w:t>各分项</w:t>
            </w:r>
            <w:r>
              <w:rPr>
                <w:rFonts w:hint="eastAsia" w:ascii="宋体" w:hAnsi="宋体" w:cs="宋体"/>
                <w:szCs w:val="21"/>
                <w:highlight w:val="none"/>
              </w:rPr>
              <w:t>报价）；g工期；h质量标准；i投标人的加密打包投标文件电脑机器特征码等主要内容，并记录在案。未在规定时间内解密的投标文件不参与开标、评标。</w:t>
            </w:r>
          </w:p>
          <w:p>
            <w:pPr>
              <w:spacing w:line="440" w:lineRule="exact"/>
              <w:rPr>
                <w:rFonts w:ascii="宋体" w:hAnsi="宋体" w:cs="宋体"/>
                <w:szCs w:val="21"/>
                <w:highlight w:val="none"/>
              </w:rPr>
            </w:pPr>
            <w:r>
              <w:rPr>
                <w:rFonts w:hint="eastAsia" w:ascii="宋体" w:hAnsi="宋体" w:cs="宋体"/>
                <w:szCs w:val="21"/>
                <w:highlight w:val="none"/>
              </w:rPr>
              <w:t>（5）截标后，开标开始时间因故推迟的，相关评标信息仍以原定的开标开始时间的信息为准。</w:t>
            </w:r>
          </w:p>
          <w:p>
            <w:pPr>
              <w:spacing w:line="440" w:lineRule="exact"/>
              <w:rPr>
                <w:rFonts w:ascii="宋体" w:hAnsi="宋体" w:cs="宋体"/>
                <w:szCs w:val="21"/>
                <w:highlight w:val="none"/>
              </w:rPr>
            </w:pPr>
            <w:r>
              <w:rPr>
                <w:rFonts w:hint="eastAsia" w:ascii="宋体" w:hAnsi="宋体" w:cs="宋体"/>
                <w:szCs w:val="21"/>
                <w:highlight w:val="none"/>
              </w:rPr>
              <w:t>（6）备用光盘的读取按“10 电子招标投标”第6点的规定执行。</w:t>
            </w:r>
          </w:p>
          <w:p>
            <w:pPr>
              <w:spacing w:line="440" w:lineRule="exact"/>
              <w:rPr>
                <w:rFonts w:ascii="宋体" w:hAnsi="宋体" w:cs="宋体"/>
                <w:szCs w:val="21"/>
                <w:highlight w:val="none"/>
              </w:rPr>
            </w:pPr>
            <w:r>
              <w:rPr>
                <w:rFonts w:hint="eastAsia" w:ascii="宋体" w:hAnsi="宋体" w:cs="宋体"/>
                <w:szCs w:val="21"/>
                <w:highlight w:val="none"/>
              </w:rPr>
              <w:t>（7）开标方式采用电子开标和现场开标两种模式，投标人可选择在开标室参与开标或准时在线参加开标，也可不参加开标。参加在线开标的投标人登录广州公共资源交易中心数字交易平台实时查看开标、唱标情况。广州公共资源交易中心数字交易平台生成开标记录并向社会公众公布。</w:t>
            </w:r>
          </w:p>
          <w:p>
            <w:pPr>
              <w:spacing w:line="440" w:lineRule="exact"/>
              <w:rPr>
                <w:rFonts w:ascii="宋体" w:hAnsi="宋体" w:cs="宋体"/>
                <w:szCs w:val="21"/>
                <w:highlight w:val="none"/>
              </w:rPr>
            </w:pPr>
            <w:r>
              <w:rPr>
                <w:rFonts w:hint="eastAsia" w:ascii="宋体" w:hAnsi="宋体" w:cs="宋体"/>
                <w:szCs w:val="21"/>
                <w:highlight w:val="none"/>
              </w:rPr>
              <w:t>（8）参加现场开标的投标人对开标结果有异议的，应当在开标现场提出，招标人应当当场作出答复，并制作记录。参加在线开标的投标人对开标结果有异议的，应当在唱标结束后的规定时间内、使用单位数字证书登录广州公共资源交易中心数字交易平台后通过广州公共资源交易中心数字交易平台提出。招标人授权招标代理机构工作人员使用招标代理机构数字证书登录广州公共资源交易中心数字交易平台答复异议，异议答复是招标人真实意思表示。未答复的，开标程序不得结束。</w:t>
            </w:r>
          </w:p>
          <w:p>
            <w:pPr>
              <w:spacing w:line="440" w:lineRule="exact"/>
              <w:rPr>
                <w:rFonts w:ascii="宋体" w:hAnsi="宋体" w:cs="宋体"/>
                <w:szCs w:val="21"/>
                <w:highlight w:val="none"/>
              </w:rPr>
            </w:pPr>
            <w:r>
              <w:rPr>
                <w:rFonts w:hint="eastAsia" w:ascii="宋体" w:hAnsi="宋体" w:cs="宋体"/>
                <w:szCs w:val="21"/>
                <w:highlight w:val="none"/>
              </w:rPr>
              <w:t>（9）投标人未参加开标或在规定的时间内未提出异议的，视为对开标无异议。</w:t>
            </w:r>
          </w:p>
          <w:p>
            <w:pPr>
              <w:spacing w:line="440" w:lineRule="exact"/>
              <w:rPr>
                <w:rFonts w:ascii="宋体" w:hAnsi="宋体" w:cs="宋体"/>
                <w:szCs w:val="21"/>
                <w:highlight w:val="none"/>
              </w:rPr>
            </w:pPr>
            <w:r>
              <w:rPr>
                <w:rFonts w:hint="eastAsia" w:ascii="宋体" w:hAnsi="宋体" w:cs="宋体"/>
                <w:szCs w:val="21"/>
                <w:highlight w:val="none"/>
              </w:rPr>
              <w:t>（10）开标时，两个（含两个）以上的投标人加密打包投标文件电脑机器特征码一致的，不参与下一程序，并由评标委员会否决其投标。</w:t>
            </w:r>
          </w:p>
        </w:tc>
      </w:tr>
      <w:tr>
        <w:tblPrEx>
          <w:tblLayout w:type="fixed"/>
          <w:tblCellMar>
            <w:top w:w="0" w:type="dxa"/>
            <w:left w:w="10" w:type="dxa"/>
            <w:bottom w:w="0" w:type="dxa"/>
            <w:right w:w="10" w:type="dxa"/>
          </w:tblCellMar>
        </w:tblPrEx>
        <w:trPr>
          <w:trHeight w:val="88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6.1.1</w:t>
            </w:r>
          </w:p>
        </w:tc>
        <w:tc>
          <w:tcPr>
            <w:tcW w:w="17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评标委员会的组建</w:t>
            </w:r>
          </w:p>
        </w:tc>
        <w:tc>
          <w:tcPr>
            <w:tcW w:w="696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highlight w:val="none"/>
              </w:rPr>
            </w:pPr>
            <w:r>
              <w:rPr>
                <w:rFonts w:hint="eastAsia" w:ascii="宋体" w:hAnsi="宋体" w:cs="宋体"/>
                <w:szCs w:val="21"/>
                <w:highlight w:val="none"/>
              </w:rPr>
              <w:t>评标委员会构成：由招标人依法组建。</w:t>
            </w:r>
          </w:p>
          <w:p>
            <w:pPr>
              <w:spacing w:line="440" w:lineRule="exact"/>
              <w:rPr>
                <w:rFonts w:ascii="宋体" w:hAnsi="宋体" w:cs="宋体"/>
                <w:szCs w:val="21"/>
                <w:highlight w:val="none"/>
              </w:rPr>
            </w:pPr>
            <w:r>
              <w:rPr>
                <w:rFonts w:hint="eastAsia" w:ascii="宋体" w:hAnsi="宋体" w:cs="宋体"/>
                <w:szCs w:val="21"/>
                <w:highlight w:val="none"/>
              </w:rPr>
              <w:t>评标专家确定方式：共9人，招标人代表3名，6名专家从</w:t>
            </w:r>
            <w:r>
              <w:rPr>
                <w:rFonts w:hint="eastAsia" w:ascii="宋体" w:hAnsi="宋体" w:eastAsia="宋体" w:cs="宋体"/>
                <w:color w:val="auto"/>
                <w:szCs w:val="21"/>
                <w:highlight w:val="none"/>
                <w:u w:val="single"/>
                <w:lang w:val="en-US" w:eastAsia="zh-CN"/>
              </w:rPr>
              <w:t>广东省综合评标评审专家库中</w:t>
            </w:r>
            <w:r>
              <w:rPr>
                <w:rFonts w:hint="eastAsia" w:ascii="宋体" w:hAnsi="宋体" w:eastAsia="宋体" w:cs="宋体"/>
                <w:color w:val="auto"/>
                <w:szCs w:val="21"/>
                <w:highlight w:val="none"/>
                <w:u w:val="single"/>
              </w:rPr>
              <w:t>随机抽取</w:t>
            </w:r>
            <w:r>
              <w:rPr>
                <w:rFonts w:hint="eastAsia" w:ascii="宋体" w:hAnsi="宋体" w:cs="宋体"/>
                <w:szCs w:val="21"/>
                <w:highlight w:val="none"/>
              </w:rPr>
              <w:t>。</w:t>
            </w:r>
          </w:p>
        </w:tc>
      </w:tr>
      <w:tr>
        <w:tblPrEx>
          <w:tblLayout w:type="fixed"/>
          <w:tblCellMar>
            <w:top w:w="0" w:type="dxa"/>
            <w:left w:w="10" w:type="dxa"/>
            <w:bottom w:w="0" w:type="dxa"/>
            <w:right w:w="10" w:type="dxa"/>
          </w:tblCellMar>
        </w:tblPrEx>
        <w:trPr>
          <w:trHeight w:val="88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7.1</w:t>
            </w:r>
          </w:p>
        </w:tc>
        <w:tc>
          <w:tcPr>
            <w:tcW w:w="17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是否授权评标委员会确定中标人</w:t>
            </w:r>
          </w:p>
        </w:tc>
        <w:tc>
          <w:tcPr>
            <w:tcW w:w="696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highlight w:val="none"/>
              </w:rPr>
            </w:pPr>
            <w:r>
              <w:rPr>
                <w:rFonts w:hint="eastAsia" w:ascii="宋体" w:hAnsi="宋体" w:cs="宋体"/>
                <w:sz w:val="32"/>
                <w:szCs w:val="32"/>
                <w:highlight w:val="none"/>
              </w:rPr>
              <w:t>□</w:t>
            </w:r>
            <w:r>
              <w:rPr>
                <w:rFonts w:hint="eastAsia" w:ascii="宋体" w:hAnsi="宋体" w:cs="宋体"/>
                <w:szCs w:val="21"/>
                <w:highlight w:val="none"/>
              </w:rPr>
              <w:t>是</w:t>
            </w:r>
          </w:p>
          <w:p>
            <w:pPr>
              <w:spacing w:line="440" w:lineRule="exact"/>
              <w:rPr>
                <w:rFonts w:ascii="宋体" w:hAnsi="宋体" w:cs="宋体"/>
                <w:szCs w:val="21"/>
                <w:highlight w:val="none"/>
              </w:rPr>
            </w:pPr>
            <w:r>
              <w:rPr>
                <w:rFonts w:hint="eastAsia" w:ascii="宋体" w:hAnsi="宋体" w:cs="宋体"/>
                <w:sz w:val="32"/>
                <w:szCs w:val="32"/>
                <w:highlight w:val="none"/>
              </w:rPr>
              <w:t>■</w:t>
            </w:r>
            <w:r>
              <w:rPr>
                <w:rFonts w:hint="eastAsia" w:ascii="宋体" w:hAnsi="宋体" w:cs="宋体"/>
                <w:szCs w:val="21"/>
                <w:highlight w:val="none"/>
              </w:rPr>
              <w:t>否，推荐的中标候选人数：前3名</w:t>
            </w:r>
          </w:p>
        </w:tc>
      </w:tr>
      <w:tr>
        <w:tblPrEx>
          <w:tblLayout w:type="fixed"/>
          <w:tblCellMar>
            <w:top w:w="0" w:type="dxa"/>
            <w:left w:w="10" w:type="dxa"/>
            <w:bottom w:w="0" w:type="dxa"/>
            <w:right w:w="10" w:type="dxa"/>
          </w:tblCellMar>
        </w:tblPrEx>
        <w:trPr>
          <w:trHeight w:val="880" w:hRule="atLeast"/>
          <w:jc w:val="center"/>
        </w:trPr>
        <w:tc>
          <w:tcPr>
            <w:tcW w:w="1165" w:type="dxa"/>
            <w:tcBorders>
              <w:top w:val="single" w:color="auto" w:sz="4" w:space="0"/>
              <w:left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7.2</w:t>
            </w:r>
          </w:p>
        </w:tc>
        <w:tc>
          <w:tcPr>
            <w:tcW w:w="1729" w:type="dxa"/>
            <w:tcBorders>
              <w:top w:val="single" w:color="auto" w:sz="4" w:space="0"/>
              <w:left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中标候选人公示媒介</w:t>
            </w:r>
          </w:p>
        </w:tc>
        <w:tc>
          <w:tcPr>
            <w:tcW w:w="6960" w:type="dxa"/>
            <w:tcBorders>
              <w:top w:val="single" w:color="auto" w:sz="4" w:space="0"/>
              <w:left w:val="single" w:color="auto" w:sz="4" w:space="0"/>
              <w:right w:val="single" w:color="auto" w:sz="4" w:space="0"/>
            </w:tcBorders>
            <w:vAlign w:val="center"/>
          </w:tcPr>
          <w:p>
            <w:pPr>
              <w:spacing w:line="440" w:lineRule="exact"/>
              <w:rPr>
                <w:highlight w:val="none"/>
              </w:rPr>
            </w:pPr>
            <w:r>
              <w:rPr>
                <w:rFonts w:hint="eastAsia"/>
                <w:highlight w:val="none"/>
              </w:rPr>
              <w:t>广州交易集团有限公司（广州公共资源交易中心）</w:t>
            </w:r>
            <w:r>
              <w:rPr>
                <w:rFonts w:hint="eastAsia" w:ascii="Times New Roman" w:cs="Times New Roman"/>
                <w:sz w:val="21"/>
                <w:szCs w:val="22"/>
                <w:highlight w:val="none"/>
                <w:lang w:bidi="ar"/>
              </w:rPr>
              <w:t>交易平台</w:t>
            </w:r>
            <w:r>
              <w:rPr>
                <w:rFonts w:hint="eastAsia"/>
                <w:highlight w:val="none"/>
              </w:rPr>
              <w:t>网站、中国招标投标公共服务平台、广东省招标投标监管网、南方电网供应链统一服务平台</w:t>
            </w:r>
          </w:p>
        </w:tc>
      </w:tr>
      <w:tr>
        <w:tblPrEx>
          <w:tblLayout w:type="fixed"/>
          <w:tblCellMar>
            <w:top w:w="0" w:type="dxa"/>
            <w:left w:w="10" w:type="dxa"/>
            <w:bottom w:w="0" w:type="dxa"/>
            <w:right w:w="10" w:type="dxa"/>
          </w:tblCellMar>
        </w:tblPrEx>
        <w:trPr>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7.4.1</w:t>
            </w:r>
          </w:p>
        </w:tc>
        <w:tc>
          <w:tcPr>
            <w:tcW w:w="17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履约担保</w:t>
            </w:r>
          </w:p>
        </w:tc>
        <w:tc>
          <w:tcPr>
            <w:tcW w:w="6960" w:type="dxa"/>
            <w:tcBorders>
              <w:top w:val="single" w:color="auto" w:sz="4" w:space="0"/>
              <w:left w:val="single" w:color="auto" w:sz="4" w:space="0"/>
              <w:bottom w:val="single" w:color="auto" w:sz="4" w:space="0"/>
              <w:right w:val="single" w:color="auto" w:sz="4" w:space="0"/>
            </w:tcBorders>
            <w:vAlign w:val="center"/>
          </w:tcPr>
          <w:p>
            <w:pPr>
              <w:spacing w:line="440" w:lineRule="exact"/>
            </w:pPr>
            <w:r>
              <w:rPr>
                <w:rFonts w:hint="eastAsia"/>
              </w:rPr>
              <w:t>履约担保的形式：商业银行保函或建设工程保证保险</w:t>
            </w:r>
          </w:p>
          <w:p>
            <w:pPr>
              <w:spacing w:line="440" w:lineRule="exact"/>
              <w:rPr>
                <w:rFonts w:hint="eastAsia"/>
              </w:rPr>
            </w:pPr>
            <w:r>
              <w:rPr>
                <w:rFonts w:hint="eastAsia"/>
              </w:rPr>
              <w:t>担保的金额：中标合同金额的10%</w:t>
            </w:r>
          </w:p>
          <w:p>
            <w:pPr>
              <w:pStyle w:val="2"/>
              <w:spacing w:line="440" w:lineRule="exact"/>
              <w:ind w:firstLine="0" w:firstLineChars="0"/>
            </w:pPr>
            <w:r>
              <w:rPr>
                <w:rFonts w:hint="eastAsia" w:ascii="宋体" w:hAnsi="宋体" w:cs="宋体"/>
                <w:szCs w:val="21"/>
                <w:u w:val="none"/>
              </w:rPr>
              <w:t>可以以现金、银行汇票、支票、银行保函或保证保险等有效方式向招标人递交履约担保；如果中标人的履约担保是以银行保函或保证保险的形式提供，则该银行保函或保证保险应由在中国注册的银行或保险公司或专业担保公司出具。</w:t>
            </w:r>
          </w:p>
        </w:tc>
      </w:tr>
      <w:tr>
        <w:tblPrEx>
          <w:tblLayout w:type="fixed"/>
          <w:tblCellMar>
            <w:top w:w="0" w:type="dxa"/>
            <w:left w:w="10" w:type="dxa"/>
            <w:bottom w:w="0" w:type="dxa"/>
            <w:right w:w="10" w:type="dxa"/>
          </w:tblCellMar>
        </w:tblPrEx>
        <w:trPr>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szCs w:val="21"/>
                <w:highlight w:val="none"/>
              </w:rPr>
            </w:pPr>
            <w:r>
              <w:rPr>
                <w:rFonts w:hint="eastAsia" w:ascii="宋体" w:hAnsi="宋体" w:cs="宋体"/>
                <w:b/>
                <w:szCs w:val="21"/>
                <w:highlight w:val="none"/>
              </w:rPr>
              <w:t>9</w:t>
            </w:r>
          </w:p>
        </w:tc>
        <w:tc>
          <w:tcPr>
            <w:tcW w:w="868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szCs w:val="21"/>
                <w:highlight w:val="none"/>
              </w:rPr>
            </w:pPr>
            <w:r>
              <w:rPr>
                <w:rFonts w:hint="eastAsia" w:ascii="宋体" w:hAnsi="宋体" w:cs="宋体"/>
                <w:b/>
                <w:szCs w:val="21"/>
                <w:highlight w:val="none"/>
              </w:rPr>
              <w:t>需要补充的其他内容</w:t>
            </w:r>
          </w:p>
        </w:tc>
      </w:tr>
      <w:tr>
        <w:tblPrEx>
          <w:tblLayout w:type="fixed"/>
          <w:tblCellMar>
            <w:top w:w="0" w:type="dxa"/>
            <w:left w:w="10" w:type="dxa"/>
            <w:bottom w:w="0" w:type="dxa"/>
            <w:right w:w="10" w:type="dxa"/>
          </w:tblCellMar>
        </w:tblPrEx>
        <w:trPr>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9.1</w:t>
            </w:r>
          </w:p>
        </w:tc>
        <w:tc>
          <w:tcPr>
            <w:tcW w:w="868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b/>
                <w:szCs w:val="21"/>
                <w:highlight w:val="none"/>
              </w:rPr>
            </w:pPr>
            <w:r>
              <w:rPr>
                <w:rFonts w:hint="eastAsia" w:ascii="宋体" w:hAnsi="宋体" w:cs="宋体"/>
                <w:szCs w:val="21"/>
                <w:highlight w:val="none"/>
              </w:rPr>
              <w:t>建设工程质量检测单位：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Layout w:type="fixed"/>
          <w:tblCellMar>
            <w:top w:w="0" w:type="dxa"/>
            <w:left w:w="10" w:type="dxa"/>
            <w:bottom w:w="0" w:type="dxa"/>
            <w:right w:w="10" w:type="dxa"/>
          </w:tblCellMar>
        </w:tblPrEx>
        <w:trPr>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9.2</w:t>
            </w:r>
          </w:p>
        </w:tc>
        <w:tc>
          <w:tcPr>
            <w:tcW w:w="868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highlight w:val="none"/>
              </w:rPr>
            </w:pPr>
            <w:r>
              <w:rPr>
                <w:rFonts w:hint="eastAsia" w:ascii="宋体" w:hAnsi="宋体" w:cs="宋体"/>
                <w:szCs w:val="21"/>
                <w:highlight w:val="none"/>
              </w:rPr>
              <w:t>在招标和合同实施期间，业主要求投标人和承包人遵守最高的道德标准。</w:t>
            </w:r>
          </w:p>
          <w:p>
            <w:pPr>
              <w:spacing w:line="440" w:lineRule="exact"/>
              <w:rPr>
                <w:rFonts w:ascii="宋体" w:hAnsi="宋体" w:cs="宋体"/>
                <w:szCs w:val="21"/>
                <w:highlight w:val="none"/>
              </w:rPr>
            </w:pPr>
            <w:r>
              <w:rPr>
                <w:rFonts w:hint="eastAsia" w:ascii="宋体" w:hAnsi="宋体" w:cs="宋体"/>
                <w:szCs w:val="21"/>
                <w:highlight w:val="none"/>
              </w:rPr>
              <w:t>1、对本条款的规定，特定义如下词汇：</w:t>
            </w:r>
          </w:p>
          <w:p>
            <w:pPr>
              <w:spacing w:line="440" w:lineRule="exact"/>
              <w:rPr>
                <w:rFonts w:ascii="宋体" w:hAnsi="宋体" w:cs="宋体"/>
                <w:szCs w:val="21"/>
                <w:highlight w:val="none"/>
              </w:rPr>
            </w:pPr>
            <w:r>
              <w:rPr>
                <w:rFonts w:hint="eastAsia" w:ascii="宋体" w:hAnsi="宋体" w:cs="宋体"/>
                <w:szCs w:val="21"/>
                <w:highlight w:val="none"/>
              </w:rPr>
              <w:t>1）“腐败行为”是指在招标或合同执行期间，通过提供、给予、接受或索要任何有价值的东西，从而影响招标人有关人员工作的行为；</w:t>
            </w:r>
          </w:p>
          <w:p>
            <w:pPr>
              <w:spacing w:line="440" w:lineRule="exact"/>
              <w:rPr>
                <w:rFonts w:ascii="宋体" w:hAnsi="宋体" w:cs="宋体"/>
                <w:szCs w:val="21"/>
                <w:highlight w:val="none"/>
              </w:rPr>
            </w:pPr>
            <w:r>
              <w:rPr>
                <w:rFonts w:hint="eastAsia" w:ascii="宋体" w:hAnsi="宋体" w:cs="宋体"/>
                <w:szCs w:val="21"/>
                <w:highlight w:val="none"/>
              </w:rPr>
              <w:t>2）“欺诈行为”是指通过提供伪证影响招标或合同执行，从而损害招标人利益的行为；也包括投标人之间串通（在提交投标书之前或之后），人为地使招标过程失去竞争性，从而使业主无法从公开的自由竞争中获得利益的行为。</w:t>
            </w:r>
          </w:p>
          <w:p>
            <w:pPr>
              <w:spacing w:line="440" w:lineRule="exact"/>
              <w:rPr>
                <w:rFonts w:ascii="宋体" w:hAnsi="宋体" w:cs="宋体"/>
                <w:szCs w:val="21"/>
                <w:highlight w:val="none"/>
              </w:rPr>
            </w:pPr>
            <w:r>
              <w:rPr>
                <w:rFonts w:hint="eastAsia" w:ascii="宋体" w:hAnsi="宋体" w:cs="宋体"/>
                <w:szCs w:val="21"/>
                <w:highlight w:val="none"/>
              </w:rPr>
              <w:t>2、如果投标人被认定在本招标的竞争中有腐败或欺诈行为，则会被取消投标资格。</w:t>
            </w:r>
          </w:p>
        </w:tc>
      </w:tr>
      <w:tr>
        <w:tblPrEx>
          <w:tblLayout w:type="fixed"/>
          <w:tblCellMar>
            <w:top w:w="0" w:type="dxa"/>
            <w:left w:w="10" w:type="dxa"/>
            <w:bottom w:w="0" w:type="dxa"/>
            <w:right w:w="10" w:type="dxa"/>
          </w:tblCellMar>
        </w:tblPrEx>
        <w:trPr>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9.3</w:t>
            </w:r>
          </w:p>
        </w:tc>
        <w:tc>
          <w:tcPr>
            <w:tcW w:w="868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highlight w:val="none"/>
              </w:rPr>
            </w:pPr>
            <w:r>
              <w:rPr>
                <w:rFonts w:hint="eastAsia" w:ascii="宋体" w:hAnsi="宋体" w:cs="宋体"/>
                <w:szCs w:val="21"/>
                <w:highlight w:val="none"/>
              </w:rPr>
              <w:t>施工保修期限：按照《建设工程质量管理条例》规定。</w:t>
            </w:r>
          </w:p>
        </w:tc>
      </w:tr>
      <w:tr>
        <w:tblPrEx>
          <w:tblLayout w:type="fixed"/>
          <w:tblCellMar>
            <w:top w:w="0" w:type="dxa"/>
            <w:left w:w="10" w:type="dxa"/>
            <w:bottom w:w="0" w:type="dxa"/>
            <w:right w:w="10" w:type="dxa"/>
          </w:tblCellMar>
        </w:tblPrEx>
        <w:trPr>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szCs w:val="21"/>
                <w:highlight w:val="none"/>
              </w:rPr>
            </w:pPr>
            <w:r>
              <w:rPr>
                <w:rFonts w:hint="eastAsia" w:ascii="宋体" w:hAnsi="宋体" w:cs="宋体"/>
                <w:szCs w:val="21"/>
                <w:highlight w:val="none"/>
                <w:lang w:val="zh-CN"/>
              </w:rPr>
              <w:t>9.</w:t>
            </w:r>
            <w:r>
              <w:rPr>
                <w:rFonts w:ascii="宋体" w:hAnsi="宋体" w:cs="宋体"/>
                <w:szCs w:val="21"/>
                <w:highlight w:val="none"/>
                <w:lang w:val="zh-CN"/>
              </w:rPr>
              <w:t>4</w:t>
            </w:r>
          </w:p>
        </w:tc>
        <w:tc>
          <w:tcPr>
            <w:tcW w:w="868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highlight w:val="none"/>
                <w:lang w:val="zh-CN"/>
              </w:rPr>
            </w:pPr>
            <w:r>
              <w:rPr>
                <w:rFonts w:hint="eastAsia" w:ascii="宋体" w:hAnsi="宋体" w:cs="宋体"/>
                <w:szCs w:val="21"/>
                <w:highlight w:val="none"/>
                <w:lang w:val="zh-CN"/>
              </w:rPr>
              <w:t>有下列情形之一的，招标人将重新招标：（1）投标截止时间止，投标人少于3个的；（2）经评标委员会评审后否决所有投标的。</w:t>
            </w:r>
          </w:p>
          <w:p>
            <w:pPr>
              <w:spacing w:line="440" w:lineRule="exact"/>
              <w:jc w:val="left"/>
              <w:rPr>
                <w:rFonts w:ascii="宋体" w:hAnsi="宋体" w:cs="宋体"/>
                <w:b/>
                <w:szCs w:val="21"/>
                <w:highlight w:val="none"/>
              </w:rPr>
            </w:pPr>
            <w:r>
              <w:rPr>
                <w:rFonts w:hint="eastAsia" w:ascii="宋体" w:hAnsi="宋体" w:cs="宋体"/>
                <w:szCs w:val="21"/>
                <w:highlight w:val="none"/>
                <w:lang w:val="zh-CN"/>
              </w:rPr>
              <w:t>不再招标：重新招标后投标人仍少于3</w:t>
            </w:r>
            <w:r>
              <w:rPr>
                <w:rFonts w:hint="eastAsia" w:ascii="宋体" w:hAnsi="宋体" w:cs="宋体"/>
                <w:szCs w:val="21"/>
                <w:highlight w:val="none"/>
                <w:lang w:val="en-US" w:eastAsia="zh-CN"/>
              </w:rPr>
              <w:t>个</w:t>
            </w:r>
            <w:r>
              <w:rPr>
                <w:rFonts w:hint="eastAsia" w:ascii="宋体" w:hAnsi="宋体" w:cs="宋体"/>
                <w:szCs w:val="21"/>
                <w:highlight w:val="none"/>
                <w:lang w:val="zh-CN"/>
              </w:rPr>
              <w:t>或者所有投标被否决的，属于必须审批或核准的工程建设项目，经原审批或核准部门批准后不再进行招标。</w:t>
            </w:r>
          </w:p>
        </w:tc>
      </w:tr>
      <w:tr>
        <w:tblPrEx>
          <w:tblLayout w:type="fixed"/>
          <w:tblCellMar>
            <w:top w:w="0" w:type="dxa"/>
            <w:left w:w="10" w:type="dxa"/>
            <w:bottom w:w="0" w:type="dxa"/>
            <w:right w:w="10" w:type="dxa"/>
          </w:tblCellMar>
        </w:tblPrEx>
        <w:trPr>
          <w:jc w:val="center"/>
        </w:trPr>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宋体" w:hAnsi="宋体" w:cs="宋体"/>
                <w:szCs w:val="21"/>
                <w:highlight w:val="none"/>
                <w:lang w:val="zh-CN"/>
              </w:rPr>
            </w:pPr>
            <w:r>
              <w:rPr>
                <w:rFonts w:hint="eastAsia" w:ascii="宋体"/>
                <w:szCs w:val="21"/>
                <w:highlight w:val="none"/>
              </w:rPr>
              <w:t>9.7</w:t>
            </w:r>
          </w:p>
        </w:tc>
        <w:tc>
          <w:tcPr>
            <w:tcW w:w="86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rPr>
                <w:rFonts w:ascii="宋体"/>
                <w:szCs w:val="21"/>
                <w:highlight w:val="none"/>
              </w:rPr>
            </w:pPr>
            <w:r>
              <w:rPr>
                <w:rFonts w:hint="eastAsia" w:ascii="宋体"/>
                <w:szCs w:val="21"/>
                <w:highlight w:val="none"/>
              </w:rPr>
              <w:t>1、中标人的</w:t>
            </w:r>
            <w:r>
              <w:rPr>
                <w:rFonts w:hint="eastAsia" w:ascii="宋体"/>
                <w:szCs w:val="21"/>
                <w:highlight w:val="none"/>
                <w:lang w:eastAsia="zh-CN"/>
              </w:rPr>
              <w:t>牵头方</w:t>
            </w:r>
            <w:r>
              <w:rPr>
                <w:rFonts w:hint="eastAsia" w:ascii="宋体"/>
                <w:szCs w:val="21"/>
                <w:highlight w:val="none"/>
              </w:rPr>
              <w:t>缴纳交易服务费，其费用包含在中标人投标报价中。</w:t>
            </w:r>
          </w:p>
          <w:p>
            <w:pPr>
              <w:widowControl/>
              <w:spacing w:line="440" w:lineRule="exact"/>
              <w:rPr>
                <w:rFonts w:ascii="宋体" w:hAnsi="宋体" w:cs="宋体"/>
                <w:szCs w:val="21"/>
                <w:highlight w:val="none"/>
                <w:lang w:val="zh-CN"/>
              </w:rPr>
            </w:pPr>
            <w:r>
              <w:rPr>
                <w:rFonts w:hint="eastAsia" w:ascii="宋体"/>
                <w:szCs w:val="21"/>
                <w:highlight w:val="none"/>
              </w:rPr>
              <w:t>2、本项目招标代理报酬，由中标人的</w:t>
            </w:r>
            <w:r>
              <w:rPr>
                <w:rFonts w:hint="eastAsia" w:ascii="宋体"/>
                <w:szCs w:val="21"/>
                <w:highlight w:val="none"/>
                <w:lang w:eastAsia="zh-CN"/>
              </w:rPr>
              <w:t>牵头方</w:t>
            </w:r>
            <w:r>
              <w:rPr>
                <w:rFonts w:hint="eastAsia" w:ascii="宋体"/>
                <w:szCs w:val="21"/>
                <w:highlight w:val="none"/>
              </w:rPr>
              <w:t>按招标人与招标代理签订的招标代理合同的约定，在领取中标通知书前将此费用支付给招标代理单位。</w:t>
            </w:r>
          </w:p>
        </w:tc>
      </w:tr>
      <w:tr>
        <w:tblPrEx>
          <w:tblLayout w:type="fixed"/>
          <w:tblCellMar>
            <w:top w:w="0" w:type="dxa"/>
            <w:left w:w="10" w:type="dxa"/>
            <w:bottom w:w="0" w:type="dxa"/>
            <w:right w:w="10" w:type="dxa"/>
          </w:tblCellMar>
        </w:tblPrEx>
        <w:trPr>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10</w:t>
            </w:r>
          </w:p>
        </w:tc>
        <w:tc>
          <w:tcPr>
            <w:tcW w:w="17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电子招标投标</w:t>
            </w:r>
          </w:p>
        </w:tc>
        <w:tc>
          <w:tcPr>
            <w:tcW w:w="696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highlight w:val="none"/>
              </w:rPr>
            </w:pPr>
            <w:r>
              <w:rPr>
                <w:rFonts w:hint="eastAsia" w:ascii="宋体" w:hAnsi="宋体" w:cs="宋体"/>
                <w:sz w:val="32"/>
                <w:szCs w:val="32"/>
                <w:highlight w:val="none"/>
              </w:rPr>
              <w:t>□</w:t>
            </w:r>
            <w:r>
              <w:rPr>
                <w:rFonts w:hint="eastAsia" w:ascii="宋体" w:hAnsi="宋体" w:cs="宋体"/>
                <w:szCs w:val="21"/>
                <w:highlight w:val="none"/>
              </w:rPr>
              <w:t>否</w:t>
            </w:r>
          </w:p>
          <w:p>
            <w:pPr>
              <w:spacing w:line="440" w:lineRule="exact"/>
              <w:rPr>
                <w:rFonts w:ascii="宋体" w:hAnsi="宋体" w:cs="宋体"/>
                <w:szCs w:val="21"/>
                <w:highlight w:val="none"/>
              </w:rPr>
            </w:pPr>
            <w:r>
              <w:rPr>
                <w:rFonts w:hint="eastAsia" w:ascii="宋体" w:hAnsi="宋体" w:cs="宋体"/>
                <w:sz w:val="32"/>
                <w:szCs w:val="32"/>
                <w:highlight w:val="none"/>
              </w:rPr>
              <w:t>■</w:t>
            </w:r>
            <w:r>
              <w:rPr>
                <w:rFonts w:hint="eastAsia" w:ascii="宋体" w:hAnsi="宋体" w:cs="宋体"/>
                <w:szCs w:val="21"/>
                <w:highlight w:val="none"/>
              </w:rPr>
              <w:t>是，具体要求：</w:t>
            </w:r>
          </w:p>
          <w:p>
            <w:pPr>
              <w:spacing w:line="440" w:lineRule="exact"/>
              <w:rPr>
                <w:rFonts w:ascii="宋体" w:hAnsi="宋体" w:cs="宋体"/>
                <w:szCs w:val="21"/>
                <w:highlight w:val="none"/>
              </w:rPr>
            </w:pPr>
            <w:r>
              <w:rPr>
                <w:rFonts w:hint="eastAsia" w:ascii="宋体" w:hAnsi="宋体" w:cs="宋体"/>
                <w:szCs w:val="21"/>
                <w:highlight w:val="none"/>
              </w:rPr>
              <w:t>1、投标文件形式：投标文件全部采用电子文档，投标文件应按广州公共资源交易中心数字交易平台相关操作指南编制。如不按上述要求编制引起系统无法检索、读取相关信息的，其后果由投标人承担。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w:t>
            </w:r>
          </w:p>
          <w:p>
            <w:pPr>
              <w:spacing w:line="440" w:lineRule="exact"/>
              <w:rPr>
                <w:rFonts w:ascii="宋体" w:hAnsi="宋体" w:cs="宋体"/>
                <w:szCs w:val="21"/>
                <w:highlight w:val="none"/>
              </w:rPr>
            </w:pPr>
            <w:r>
              <w:rPr>
                <w:rFonts w:hint="eastAsia" w:ascii="宋体" w:hAnsi="宋体" w:cs="宋体"/>
                <w:szCs w:val="21"/>
                <w:highlight w:val="none"/>
              </w:rPr>
              <w:t>2、投标文件的修改与撤回：投标人修改或撤回已递交的投标文件，需在广州公共资源交易中心数字交易平台发出撤回通知，并按要求加盖电子印章。电子招标投标交易平台收到通知后，即时向投标人发出确认回执通知。投标人撤回投标文件的，招标人自收到投标人书面撤回通知之日起5日内退还已收取的投标保证金。</w:t>
            </w:r>
          </w:p>
          <w:p>
            <w:pPr>
              <w:spacing w:line="440" w:lineRule="exact"/>
              <w:rPr>
                <w:rFonts w:ascii="宋体" w:hAnsi="宋体" w:cs="宋体"/>
                <w:szCs w:val="21"/>
                <w:highlight w:val="none"/>
              </w:rPr>
            </w:pPr>
            <w:r>
              <w:rPr>
                <w:rFonts w:hint="eastAsia" w:ascii="宋体" w:hAnsi="宋体" w:cs="宋体"/>
                <w:szCs w:val="21"/>
                <w:highlight w:val="none"/>
              </w:rPr>
              <w:t>3、（重要风险提示）备用光盘或u盘。投标人可使用投标文件制作工具生成非加密的电子投标文件载入光盘或u盘（1份，载体形式由投标人自选），在规定的时间、地点提交备用。(刻录好的投标文件光盘或u盘密封在密封袋中，并在封口处加盖投标人单位公章。密封袋上应写明项目名称和招标人名称。递交的投标文件光盘或u盘(备用)不得加密。光盘或u盘（备用投标文件）无法读取或导入的，则视为未提交投标文件光盘或u盘(备用)。如果投标人没有按规定通过交易平台网上递交电子投标文件的，不再读取提交的光盘或u盘。投标人也可不提交投标文件光盘或u盘(备用)。</w:t>
            </w:r>
          </w:p>
          <w:p>
            <w:pPr>
              <w:spacing w:line="440" w:lineRule="exact"/>
              <w:rPr>
                <w:rFonts w:ascii="宋体" w:hAnsi="宋体" w:cs="宋体"/>
                <w:szCs w:val="21"/>
                <w:highlight w:val="none"/>
              </w:rPr>
            </w:pPr>
            <w:r>
              <w:rPr>
                <w:rFonts w:hint="eastAsia" w:ascii="宋体" w:hAnsi="宋体" w:cs="宋体"/>
                <w:szCs w:val="21"/>
                <w:highlight w:val="none"/>
              </w:rPr>
              <w:t>4、投标文件的递交：</w:t>
            </w:r>
          </w:p>
          <w:p>
            <w:pPr>
              <w:spacing w:line="440" w:lineRule="exact"/>
              <w:rPr>
                <w:rFonts w:ascii="宋体" w:hAnsi="宋体" w:cs="宋体"/>
                <w:strike/>
                <w:szCs w:val="21"/>
                <w:highlight w:val="none"/>
              </w:rPr>
            </w:pPr>
            <w:r>
              <w:rPr>
                <w:rFonts w:hint="eastAsia" w:ascii="宋体" w:hAnsi="宋体" w:cs="宋体"/>
                <w:szCs w:val="21"/>
                <w:highlight w:val="none"/>
              </w:rPr>
              <w:t>①投标文件递交的截止时间（投标截止时间，下同）为2023年  月  日  时  分，投标人应在截止时间前通过电子招标投标交易平台递交电子投标文件。</w:t>
            </w:r>
          </w:p>
          <w:p>
            <w:pPr>
              <w:spacing w:line="440" w:lineRule="exact"/>
              <w:rPr>
                <w:rFonts w:ascii="宋体" w:hAnsi="宋体" w:cs="宋体"/>
                <w:szCs w:val="21"/>
                <w:highlight w:val="none"/>
              </w:rPr>
            </w:pPr>
            <w:r>
              <w:rPr>
                <w:rFonts w:hint="eastAsia" w:ascii="宋体" w:hAnsi="宋体" w:cs="宋体"/>
                <w:szCs w:val="21"/>
                <w:highlight w:val="none"/>
              </w:rPr>
              <w:t>②提交投标文件备用光盘或u盘。</w:t>
            </w:r>
          </w:p>
          <w:p>
            <w:pPr>
              <w:spacing w:line="440" w:lineRule="exact"/>
              <w:rPr>
                <w:rFonts w:ascii="宋体" w:hAnsi="宋体" w:cs="宋体"/>
                <w:strike/>
                <w:szCs w:val="21"/>
                <w:highlight w:val="none"/>
              </w:rPr>
            </w:pPr>
            <w:r>
              <w:rPr>
                <w:rFonts w:hint="eastAsia" w:ascii="宋体" w:hAnsi="宋体" w:cs="宋体"/>
                <w:szCs w:val="21"/>
                <w:highlight w:val="none"/>
              </w:rPr>
              <w:t>投标文件光盘或u盘(备用)递交时间：2023年  月  日  时  分至2023年  月  日  时  分，地点：                 。</w:t>
            </w:r>
          </w:p>
          <w:p>
            <w:pPr>
              <w:spacing w:line="440" w:lineRule="exact"/>
              <w:rPr>
                <w:rFonts w:ascii="宋体" w:hAnsi="宋体" w:cs="宋体"/>
                <w:szCs w:val="21"/>
                <w:highlight w:val="none"/>
              </w:rPr>
            </w:pPr>
            <w:r>
              <w:rPr>
                <w:rFonts w:hint="eastAsia" w:ascii="宋体" w:hAnsi="宋体" w:cs="宋体"/>
                <w:szCs w:val="21"/>
                <w:highlight w:val="none"/>
              </w:rPr>
              <w:t>③投标人完成电子投标上传后，电子招标投标交易平台即时向投标人发出递交回执通知。递交时间以递交回执通知载明的传输时间为准。</w:t>
            </w:r>
          </w:p>
          <w:p>
            <w:pPr>
              <w:spacing w:line="440" w:lineRule="exact"/>
              <w:rPr>
                <w:rFonts w:ascii="宋体" w:hAnsi="宋体" w:cs="宋体"/>
                <w:szCs w:val="21"/>
                <w:highlight w:val="none"/>
              </w:rPr>
            </w:pPr>
            <w:r>
              <w:rPr>
                <w:rFonts w:hint="eastAsia" w:ascii="宋体" w:hAnsi="宋体" w:cs="宋体"/>
                <w:szCs w:val="21"/>
                <w:highlight w:val="none"/>
              </w:rPr>
              <w:t>④逾期送达的投标文件，电子招标投标交易平台将予以拒收。</w:t>
            </w:r>
          </w:p>
          <w:p>
            <w:pPr>
              <w:spacing w:line="440" w:lineRule="exact"/>
              <w:rPr>
                <w:rFonts w:ascii="宋体" w:hAnsi="宋体" w:cs="宋体"/>
                <w:szCs w:val="21"/>
                <w:highlight w:val="none"/>
              </w:rPr>
            </w:pPr>
            <w:r>
              <w:rPr>
                <w:rFonts w:hint="eastAsia" w:ascii="宋体" w:hAnsi="宋体" w:cs="宋体"/>
                <w:szCs w:val="21"/>
                <w:highlight w:val="none"/>
              </w:rPr>
              <w:t>5、投标文件加密要求：</w:t>
            </w:r>
          </w:p>
          <w:p>
            <w:pPr>
              <w:spacing w:line="440" w:lineRule="exact"/>
              <w:rPr>
                <w:rFonts w:ascii="宋体" w:hAnsi="宋体" w:cs="宋体"/>
                <w:szCs w:val="21"/>
                <w:highlight w:val="none"/>
              </w:rPr>
            </w:pPr>
            <w:r>
              <w:rPr>
                <w:rFonts w:hint="eastAsia" w:ascii="宋体" w:hAnsi="宋体" w:cs="宋体"/>
                <w:szCs w:val="21"/>
                <w:highlight w:val="none"/>
              </w:rPr>
              <w:t>①网上递交的电子投标文件须进行加密。具体操作详见交易平台相关操作指南。</w:t>
            </w:r>
          </w:p>
          <w:p>
            <w:pPr>
              <w:spacing w:line="440" w:lineRule="exact"/>
              <w:rPr>
                <w:rFonts w:ascii="宋体" w:hAnsi="宋体" w:cs="宋体"/>
                <w:szCs w:val="21"/>
                <w:highlight w:val="none"/>
              </w:rPr>
            </w:pPr>
            <w:r>
              <w:rPr>
                <w:rFonts w:hint="eastAsia" w:ascii="宋体" w:hAnsi="宋体" w:cs="宋体"/>
                <w:szCs w:val="21"/>
                <w:highlight w:val="none"/>
              </w:rPr>
              <w:t>②未按要求加密的投标文件，招标人将予以拒收。</w:t>
            </w:r>
          </w:p>
          <w:p>
            <w:pPr>
              <w:spacing w:line="440" w:lineRule="exact"/>
              <w:rPr>
                <w:rFonts w:ascii="宋体" w:hAnsi="宋体" w:cs="宋体"/>
                <w:szCs w:val="21"/>
                <w:highlight w:val="none"/>
              </w:rPr>
            </w:pPr>
            <w:r>
              <w:rPr>
                <w:rFonts w:hint="eastAsia" w:ascii="宋体" w:hAnsi="宋体" w:cs="宋体"/>
                <w:szCs w:val="21"/>
                <w:highlight w:val="none"/>
              </w:rPr>
              <w:t>6、投标文件解密失败的补救方案：</w:t>
            </w:r>
          </w:p>
          <w:p>
            <w:pPr>
              <w:spacing w:line="440" w:lineRule="exact"/>
              <w:rPr>
                <w:rFonts w:ascii="宋体" w:hAnsi="宋体" w:cs="宋体"/>
                <w:szCs w:val="21"/>
                <w:highlight w:val="none"/>
              </w:rPr>
            </w:pPr>
            <w:r>
              <w:rPr>
                <w:rFonts w:hint="eastAsia" w:ascii="宋体" w:hAnsi="宋体" w:cs="宋体"/>
                <w:szCs w:val="21"/>
                <w:highlight w:val="none"/>
              </w:rPr>
              <w:t>在规定时间内，因投标人之外原因(指网络瘫痪、服务器损坏、交易系统故障短期无法恢复)导致的电子投标文件解密失败，在开标现场读取光盘或u盘内容，继续开标程序。若出现招标人无法正常解密或导入开标系统的情况，在开标现场读取已成功解密、以及因投标人之外的原因导致电子投标文件解密失败的投标人递交的电子光盘或u盘内容。出现上述情况的，评标委员会对其投标文件的评审以光盘或u盘内容为准。因投标人之外原因解密失败且未递交电子光盘或u盘的，视为撤回投标文件。</w:t>
            </w:r>
          </w:p>
          <w:p>
            <w:pPr>
              <w:spacing w:line="440" w:lineRule="exact"/>
              <w:rPr>
                <w:rFonts w:ascii="宋体" w:hAnsi="宋体" w:cs="宋体"/>
                <w:szCs w:val="21"/>
                <w:highlight w:val="none"/>
              </w:rPr>
            </w:pPr>
            <w:r>
              <w:rPr>
                <w:rFonts w:hint="eastAsia" w:ascii="宋体" w:hAnsi="宋体" w:cs="宋体"/>
                <w:szCs w:val="21"/>
                <w:highlight w:val="none"/>
              </w:rPr>
              <w:t>除发生上述情况外，开标评标均以投标人通过交易平台网上递交的电子投标文件为准。</w:t>
            </w:r>
          </w:p>
        </w:tc>
      </w:tr>
      <w:tr>
        <w:tblPrEx>
          <w:tblLayout w:type="fixed"/>
          <w:tblCellMar>
            <w:top w:w="0" w:type="dxa"/>
            <w:left w:w="10" w:type="dxa"/>
            <w:bottom w:w="0" w:type="dxa"/>
            <w:right w:w="10" w:type="dxa"/>
          </w:tblCellMar>
        </w:tblPrEx>
        <w:trPr>
          <w:trHeight w:val="23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宋体" w:hAnsi="宋体" w:cs="宋体"/>
                <w:szCs w:val="21"/>
                <w:highlight w:val="none"/>
              </w:rPr>
            </w:pPr>
            <w:r>
              <w:rPr>
                <w:rFonts w:hint="eastAsia" w:ascii="宋体"/>
                <w:szCs w:val="21"/>
                <w:highlight w:val="none"/>
              </w:rPr>
              <w:t>12</w:t>
            </w:r>
          </w:p>
        </w:tc>
        <w:tc>
          <w:tcPr>
            <w:tcW w:w="1729"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宋体" w:hAnsi="宋体" w:cs="宋体"/>
                <w:szCs w:val="21"/>
                <w:highlight w:val="none"/>
              </w:rPr>
            </w:pPr>
            <w:r>
              <w:rPr>
                <w:rFonts w:hint="eastAsia" w:ascii="宋体"/>
                <w:szCs w:val="21"/>
                <w:highlight w:val="none"/>
              </w:rPr>
              <w:t>施工企业专业诚信评价排名计分</w:t>
            </w:r>
          </w:p>
        </w:tc>
        <w:tc>
          <w:tcPr>
            <w:tcW w:w="696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ascii="宋体" w:hAnsi="宋体" w:cs="宋体"/>
                <w:szCs w:val="21"/>
                <w:highlight w:val="none"/>
              </w:rPr>
            </w:pPr>
            <w:r>
              <w:rPr>
                <w:rFonts w:hint="eastAsia" w:ascii="宋体"/>
                <w:highlight w:val="none"/>
                <w:u w:val="none"/>
              </w:rPr>
              <w:t>本项目不设置诚信排名计分。</w:t>
            </w:r>
          </w:p>
        </w:tc>
      </w:tr>
      <w:tr>
        <w:tblPrEx>
          <w:tblLayout w:type="fixed"/>
          <w:tblCellMar>
            <w:top w:w="0" w:type="dxa"/>
            <w:left w:w="10" w:type="dxa"/>
            <w:bottom w:w="0" w:type="dxa"/>
            <w:right w:w="10" w:type="dxa"/>
          </w:tblCellMar>
        </w:tblPrEx>
        <w:trPr>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cs="宋体"/>
                <w:szCs w:val="21"/>
                <w:highlight w:val="none"/>
                <w:lang w:val="en-US" w:eastAsia="zh-CN"/>
              </w:rPr>
              <w:t>3</w:t>
            </w:r>
          </w:p>
        </w:tc>
        <w:tc>
          <w:tcPr>
            <w:tcW w:w="868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Cs w:val="21"/>
                <w:highlight w:val="none"/>
              </w:rPr>
            </w:pPr>
            <w:r>
              <w:rPr>
                <w:rFonts w:hint="eastAsia" w:ascii="宋体" w:hAnsi="宋体"/>
                <w:highlight w:val="none"/>
              </w:rPr>
              <w:t>根据</w:t>
            </w:r>
            <w:r>
              <w:rPr>
                <w:rFonts w:hint="eastAsia" w:ascii="宋体" w:hAnsi="宋体"/>
                <w:highlight w:val="none"/>
                <w:lang w:val="en-US" w:eastAsia="zh-CN"/>
              </w:rPr>
              <w:t>招标人</w:t>
            </w:r>
            <w:r>
              <w:rPr>
                <w:rFonts w:hint="eastAsia" w:ascii="宋体" w:hAnsi="宋体"/>
                <w:highlight w:val="none"/>
              </w:rPr>
              <w:t>档案管理要求，中标候选人需另行提供整套纸质版投标文件。</w:t>
            </w:r>
            <w:r>
              <w:rPr>
                <w:rFonts w:hint="eastAsia"/>
                <w:highlight w:val="none"/>
              </w:rPr>
              <w:t>中标候选人公示后3天内中标人需将在广州公共资源交易中心网站上传的投标文件打印，投标文件需与中标人在广州公共资源交易中心网站提交的投标文件一致，中标人加盖公章，</w:t>
            </w:r>
            <w:r>
              <w:rPr>
                <w:rFonts w:hint="eastAsia"/>
                <w:highlight w:val="none"/>
                <w:lang w:val="en-US" w:eastAsia="zh-CN"/>
              </w:rPr>
              <w:t>1</w:t>
            </w:r>
            <w:r>
              <w:rPr>
                <w:rFonts w:hint="eastAsia"/>
                <w:highlight w:val="none"/>
              </w:rPr>
              <w:t>正2副（加盖公章），合共3套投标文件提供给招标人，相关费用由投标人支付。</w:t>
            </w:r>
          </w:p>
        </w:tc>
      </w:tr>
      <w:tr>
        <w:tblPrEx>
          <w:tblLayout w:type="fixed"/>
          <w:tblCellMar>
            <w:top w:w="0" w:type="dxa"/>
            <w:left w:w="10" w:type="dxa"/>
            <w:bottom w:w="0" w:type="dxa"/>
            <w:right w:w="10" w:type="dxa"/>
          </w:tblCellMar>
        </w:tblPrEx>
        <w:trPr>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14</w:t>
            </w:r>
          </w:p>
        </w:tc>
        <w:tc>
          <w:tcPr>
            <w:tcW w:w="868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highlight w:val="none"/>
              </w:rPr>
            </w:pPr>
            <w:r>
              <w:rPr>
                <w:rFonts w:hint="eastAsia" w:ascii="宋体" w:hAnsi="宋体"/>
                <w:highlight w:val="none"/>
              </w:rPr>
              <w:t>本项目临近佛莞城际铁路长隆隧道，基坑围护结构与隧道围护结构边界水平距离约9m，中标人须编制临近隧道段专项施工方案，按照隧道建设方（或运营方）相关要求自行负责向隧道建设方（或运营方）申请取得批复或报送隧道建设方（或运营方）备案。</w:t>
            </w:r>
          </w:p>
        </w:tc>
      </w:tr>
    </w:tbl>
    <w:p>
      <w:pPr>
        <w:spacing w:line="440" w:lineRule="exact"/>
        <w:jc w:val="center"/>
        <w:rPr>
          <w:rFonts w:hint="eastAsia" w:ascii="宋体" w:hAnsi="宋体" w:cs="宋体"/>
          <w:szCs w:val="21"/>
          <w:highlight w:val="none"/>
        </w:rPr>
        <w:sectPr>
          <w:pgSz w:w="11906" w:h="16838"/>
          <w:pgMar w:top="1440" w:right="1800" w:bottom="1440" w:left="1800" w:header="851" w:footer="992" w:gutter="0"/>
          <w:pgNumType w:fmt="decimal"/>
          <w:cols w:space="425" w:num="1"/>
          <w:docGrid w:type="lines" w:linePitch="312" w:charSpace="0"/>
        </w:sectPr>
      </w:pPr>
    </w:p>
    <w:p>
      <w:pPr>
        <w:pageBreakBefore w:val="0"/>
        <w:widowControl w:val="0"/>
        <w:kinsoku/>
        <w:wordWrap/>
        <w:overflowPunct/>
        <w:topLinePunct w:val="0"/>
        <w:autoSpaceDE/>
        <w:autoSpaceDN/>
        <w:bidi w:val="0"/>
        <w:snapToGrid w:val="0"/>
        <w:spacing w:line="400" w:lineRule="exact"/>
        <w:textAlignment w:val="auto"/>
        <w:rPr>
          <w:highlight w:val="none"/>
        </w:rPr>
      </w:pPr>
      <w:bookmarkStart w:id="71" w:name="_Toc51288190"/>
      <w:bookmarkStart w:id="72" w:name="_Toc1298"/>
      <w:bookmarkStart w:id="73" w:name="_Toc152045529"/>
      <w:bookmarkStart w:id="74" w:name="_Toc13579"/>
      <w:bookmarkStart w:id="75" w:name="_Toc5460"/>
      <w:bookmarkStart w:id="76" w:name="_Toc27941"/>
      <w:bookmarkStart w:id="77" w:name="_Toc16101"/>
      <w:bookmarkStart w:id="78" w:name="_Toc7197"/>
      <w:bookmarkStart w:id="79" w:name="_Toc247527553"/>
      <w:bookmarkStart w:id="80" w:name="_Toc144974497"/>
      <w:bookmarkStart w:id="81" w:name="_Toc27886"/>
      <w:bookmarkStart w:id="82" w:name="_Toc31924"/>
      <w:bookmarkStart w:id="83" w:name="_Toc22802"/>
      <w:bookmarkStart w:id="84" w:name="_Toc4555"/>
      <w:bookmarkStart w:id="85" w:name="_Toc247513952"/>
      <w:bookmarkStart w:id="86" w:name="_Toc152042305"/>
      <w:r>
        <w:rPr>
          <w:rFonts w:hint="eastAsia"/>
          <w:highlight w:val="none"/>
        </w:rPr>
        <w:t>1. 总则</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pPr>
        <w:pageBreakBefore w:val="0"/>
        <w:widowControl w:val="0"/>
        <w:kinsoku/>
        <w:wordWrap/>
        <w:overflowPunct/>
        <w:topLinePunct w:val="0"/>
        <w:autoSpaceDE/>
        <w:autoSpaceDN/>
        <w:bidi w:val="0"/>
        <w:snapToGrid w:val="0"/>
        <w:spacing w:line="400" w:lineRule="exact"/>
        <w:textAlignment w:val="auto"/>
        <w:rPr>
          <w:highlight w:val="none"/>
        </w:rPr>
      </w:pPr>
      <w:bookmarkStart w:id="87" w:name="_Toc152042306"/>
      <w:bookmarkStart w:id="88" w:name="_Toc16022"/>
      <w:bookmarkStart w:id="89" w:name="_Toc5113"/>
      <w:bookmarkStart w:id="90" w:name="_Toc30703"/>
      <w:bookmarkStart w:id="91" w:name="_Toc28403"/>
      <w:bookmarkStart w:id="92" w:name="_Toc22937"/>
      <w:bookmarkStart w:id="93" w:name="_Toc247513953"/>
      <w:bookmarkStart w:id="94" w:name="_Toc5246"/>
      <w:bookmarkStart w:id="95" w:name="_Toc12984"/>
      <w:bookmarkStart w:id="96" w:name="_Toc28953"/>
      <w:bookmarkStart w:id="97" w:name="_Toc247527554"/>
      <w:bookmarkStart w:id="98" w:name="_Toc144974498"/>
      <w:bookmarkStart w:id="99" w:name="_Toc152045530"/>
      <w:bookmarkStart w:id="100" w:name="_Toc51288191"/>
      <w:bookmarkStart w:id="101" w:name="_Toc30878"/>
      <w:bookmarkStart w:id="102" w:name="_Toc10357"/>
      <w:r>
        <w:rPr>
          <w:rFonts w:hint="eastAsia"/>
          <w:highlight w:val="none"/>
        </w:rPr>
        <w:t>1.1 项目概况</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1.1.1根据《中华人民共和国招标投标法》等有关法律、法规和规章的规定，本招标项目已具备招标条件，现对该项目设计、施工进行总承包招标。</w:t>
      </w:r>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1.1.2 招标人：见投标人须知前附表。</w:t>
      </w:r>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1.1.3 招标代理机构：见投标人须知前附表。</w:t>
      </w:r>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1.1.4 招标项目名称：见投标人须知前附表。</w:t>
      </w:r>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1.1.5 项目建设地点：见投标人须知前附表。</w:t>
      </w:r>
    </w:p>
    <w:p>
      <w:pPr>
        <w:pageBreakBefore w:val="0"/>
        <w:widowControl w:val="0"/>
        <w:kinsoku/>
        <w:wordWrap/>
        <w:overflowPunct/>
        <w:topLinePunct w:val="0"/>
        <w:autoSpaceDE/>
        <w:autoSpaceDN/>
        <w:bidi w:val="0"/>
        <w:snapToGrid w:val="0"/>
        <w:spacing w:line="400" w:lineRule="exact"/>
        <w:textAlignment w:val="auto"/>
        <w:rPr>
          <w:highlight w:val="none"/>
        </w:rPr>
      </w:pPr>
      <w:bookmarkStart w:id="103" w:name="_Toc247513954"/>
      <w:bookmarkStart w:id="104" w:name="_Toc152045531"/>
      <w:bookmarkStart w:id="105" w:name="_Toc8860"/>
      <w:bookmarkStart w:id="106" w:name="_Toc20742"/>
      <w:bookmarkStart w:id="107" w:name="_Toc3410"/>
      <w:bookmarkStart w:id="108" w:name="_Toc13953"/>
      <w:bookmarkStart w:id="109" w:name="_Toc2999"/>
      <w:bookmarkStart w:id="110" w:name="_Toc247527555"/>
      <w:bookmarkStart w:id="111" w:name="_Toc144974499"/>
      <w:bookmarkStart w:id="112" w:name="_Toc22666"/>
      <w:bookmarkStart w:id="113" w:name="_Toc9584"/>
      <w:bookmarkStart w:id="114" w:name="_Toc51288192"/>
      <w:bookmarkStart w:id="115" w:name="_Toc8544"/>
      <w:bookmarkStart w:id="116" w:name="_Toc152042307"/>
      <w:bookmarkStart w:id="117" w:name="_Toc1114"/>
      <w:bookmarkStart w:id="118" w:name="_Toc17414"/>
      <w:r>
        <w:rPr>
          <w:rFonts w:hint="eastAsia"/>
          <w:highlight w:val="none"/>
        </w:rPr>
        <w:t>1.2 项目的资金来源和落实情况</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1.2.1 资金来源及比例：见投标人须知前附表。</w:t>
      </w:r>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1.2.2 资金落实情况：见投标人须知前附表。</w:t>
      </w:r>
    </w:p>
    <w:p>
      <w:pPr>
        <w:pageBreakBefore w:val="0"/>
        <w:widowControl w:val="0"/>
        <w:kinsoku/>
        <w:wordWrap/>
        <w:overflowPunct/>
        <w:topLinePunct w:val="0"/>
        <w:autoSpaceDE/>
        <w:autoSpaceDN/>
        <w:bidi w:val="0"/>
        <w:snapToGrid w:val="0"/>
        <w:spacing w:line="400" w:lineRule="exact"/>
        <w:textAlignment w:val="auto"/>
        <w:rPr>
          <w:highlight w:val="none"/>
        </w:rPr>
      </w:pPr>
      <w:bookmarkStart w:id="119" w:name="_Toc144974500"/>
      <w:bookmarkStart w:id="120" w:name="_Toc247513955"/>
      <w:bookmarkStart w:id="121" w:name="_Toc247527556"/>
      <w:bookmarkStart w:id="122" w:name="_Toc152045532"/>
      <w:bookmarkStart w:id="123" w:name="_Toc152042308"/>
      <w:bookmarkStart w:id="124" w:name="_Toc694"/>
      <w:bookmarkStart w:id="125" w:name="_Toc27467"/>
      <w:bookmarkStart w:id="126" w:name="_Toc17320"/>
      <w:bookmarkStart w:id="127" w:name="_Toc10145"/>
      <w:bookmarkStart w:id="128" w:name="_Toc17830"/>
      <w:bookmarkStart w:id="129" w:name="_Toc10679"/>
      <w:bookmarkStart w:id="130" w:name="_Toc4156"/>
      <w:bookmarkStart w:id="131" w:name="_Toc29570"/>
      <w:bookmarkStart w:id="132" w:name="_Toc3874"/>
      <w:bookmarkStart w:id="133" w:name="_Toc2986"/>
      <w:bookmarkStart w:id="134" w:name="_Toc51288193"/>
      <w:r>
        <w:rPr>
          <w:rFonts w:hint="eastAsia"/>
          <w:highlight w:val="none"/>
        </w:rPr>
        <w:t>1.3 招标范围、计划工期和</w:t>
      </w:r>
      <w:bookmarkEnd w:id="119"/>
      <w:bookmarkEnd w:id="120"/>
      <w:bookmarkEnd w:id="121"/>
      <w:bookmarkEnd w:id="122"/>
      <w:bookmarkEnd w:id="123"/>
      <w:r>
        <w:rPr>
          <w:rFonts w:hint="eastAsia"/>
          <w:highlight w:val="none"/>
        </w:rPr>
        <w:t>质量标准</w:t>
      </w:r>
      <w:bookmarkEnd w:id="124"/>
      <w:bookmarkEnd w:id="125"/>
      <w:bookmarkEnd w:id="126"/>
      <w:bookmarkEnd w:id="127"/>
      <w:bookmarkEnd w:id="128"/>
      <w:bookmarkEnd w:id="129"/>
      <w:bookmarkEnd w:id="130"/>
      <w:bookmarkEnd w:id="131"/>
      <w:bookmarkEnd w:id="132"/>
      <w:bookmarkEnd w:id="133"/>
      <w:bookmarkEnd w:id="134"/>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1.3.1 招标范围：见投标人须知前附表。</w:t>
      </w:r>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1.3.2 计划工期：见投标人须知前附表。</w:t>
      </w:r>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1.3.3 质量标准：见投标人须知前附表。</w:t>
      </w:r>
    </w:p>
    <w:p>
      <w:pPr>
        <w:pageBreakBefore w:val="0"/>
        <w:widowControl w:val="0"/>
        <w:kinsoku/>
        <w:wordWrap/>
        <w:overflowPunct/>
        <w:topLinePunct w:val="0"/>
        <w:autoSpaceDE/>
        <w:autoSpaceDN/>
        <w:bidi w:val="0"/>
        <w:snapToGrid w:val="0"/>
        <w:spacing w:line="400" w:lineRule="exact"/>
        <w:textAlignment w:val="auto"/>
        <w:rPr>
          <w:highlight w:val="none"/>
        </w:rPr>
      </w:pPr>
      <w:bookmarkStart w:id="135" w:name="_Toc12631"/>
      <w:bookmarkStart w:id="136" w:name="_Toc2232"/>
      <w:bookmarkStart w:id="137" w:name="_Toc152042310"/>
      <w:bookmarkStart w:id="138" w:name="_Toc247513957"/>
      <w:bookmarkStart w:id="139" w:name="_Toc21063"/>
      <w:bookmarkStart w:id="140" w:name="_Toc20814"/>
      <w:bookmarkStart w:id="141" w:name="_Toc51288194"/>
      <w:bookmarkStart w:id="142" w:name="_Toc24460"/>
      <w:bookmarkStart w:id="143" w:name="_Toc247527558"/>
      <w:bookmarkStart w:id="144" w:name="_Toc1964"/>
      <w:bookmarkStart w:id="145" w:name="_Toc25821"/>
      <w:bookmarkStart w:id="146" w:name="_Toc144974502"/>
      <w:bookmarkStart w:id="147" w:name="_Toc27464"/>
      <w:bookmarkStart w:id="148" w:name="_Toc152045534"/>
      <w:bookmarkStart w:id="149" w:name="_Toc29308"/>
      <w:bookmarkStart w:id="150" w:name="_Toc8513"/>
      <w:r>
        <w:rPr>
          <w:rFonts w:hint="eastAsia"/>
          <w:highlight w:val="none"/>
        </w:rPr>
        <w:t>1.4 投标人资格要求</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rFonts w:hint="eastAsia"/>
          <w:highlight w:val="none"/>
        </w:rPr>
        <w:t>（详见招标公告要求）</w:t>
      </w:r>
      <w:bookmarkEnd w:id="150"/>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1.4.1 投标人</w:t>
      </w:r>
      <w:r>
        <w:rPr>
          <w:rFonts w:hint="eastAsia"/>
          <w:highlight w:val="none"/>
          <w:u w:val="single"/>
        </w:rPr>
        <w:t>应是按招标公告要求成功投标登记的单位</w:t>
      </w:r>
      <w:r>
        <w:rPr>
          <w:rFonts w:hint="eastAsia"/>
          <w:highlight w:val="none"/>
        </w:rPr>
        <w:t>。</w:t>
      </w:r>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 xml:space="preserve">1.4.2 投标人须知前附表规定接受联合体投标的，除应符合本章第1.4.1项和投标人须知前附表的要求外，还应遵守以下规定： </w:t>
      </w:r>
    </w:p>
    <w:p>
      <w:pPr>
        <w:pageBreakBefore w:val="0"/>
        <w:widowControl w:val="0"/>
        <w:kinsoku/>
        <w:wordWrap/>
        <w:overflowPunct/>
        <w:topLinePunct w:val="0"/>
        <w:autoSpaceDE/>
        <w:autoSpaceDN/>
        <w:bidi w:val="0"/>
        <w:snapToGrid w:val="0"/>
        <w:spacing w:line="400" w:lineRule="exact"/>
        <w:ind w:firstLine="315" w:firstLineChars="150"/>
        <w:textAlignment w:val="auto"/>
        <w:rPr>
          <w:highlight w:val="none"/>
        </w:rPr>
      </w:pPr>
      <w:r>
        <w:rPr>
          <w:rFonts w:hint="eastAsia"/>
          <w:highlight w:val="none"/>
        </w:rPr>
        <w:t>（1）联合体各方应按招标文件提供的格式签订联合体协议书，明确联合体牵头方和各方权利义务；</w:t>
      </w:r>
    </w:p>
    <w:p>
      <w:pPr>
        <w:pageBreakBefore w:val="0"/>
        <w:widowControl w:val="0"/>
        <w:kinsoku/>
        <w:wordWrap/>
        <w:overflowPunct/>
        <w:topLinePunct w:val="0"/>
        <w:autoSpaceDE/>
        <w:autoSpaceDN/>
        <w:bidi w:val="0"/>
        <w:snapToGrid w:val="0"/>
        <w:spacing w:line="400" w:lineRule="exact"/>
        <w:ind w:firstLine="315" w:firstLineChars="150"/>
        <w:textAlignment w:val="auto"/>
        <w:rPr>
          <w:highlight w:val="none"/>
        </w:rPr>
      </w:pPr>
      <w:r>
        <w:rPr>
          <w:rFonts w:hint="eastAsia"/>
          <w:highlight w:val="none"/>
        </w:rPr>
        <w:t>（2）由同一专业的单位组成的联合体，按照资质等级较低的单位确定资质等级；</w:t>
      </w:r>
    </w:p>
    <w:p>
      <w:pPr>
        <w:pageBreakBefore w:val="0"/>
        <w:widowControl w:val="0"/>
        <w:kinsoku/>
        <w:wordWrap/>
        <w:overflowPunct/>
        <w:topLinePunct w:val="0"/>
        <w:autoSpaceDE/>
        <w:autoSpaceDN/>
        <w:bidi w:val="0"/>
        <w:snapToGrid w:val="0"/>
        <w:spacing w:line="400" w:lineRule="exact"/>
        <w:ind w:firstLine="315" w:firstLineChars="150"/>
        <w:textAlignment w:val="auto"/>
        <w:rPr>
          <w:highlight w:val="none"/>
        </w:rPr>
      </w:pPr>
      <w:r>
        <w:rPr>
          <w:rFonts w:hint="eastAsia"/>
          <w:highlight w:val="none"/>
        </w:rPr>
        <w:t>（3）联合体各方不得再以自己名义单独或参加其他联合体在本招标项目中投标。</w:t>
      </w:r>
    </w:p>
    <w:p>
      <w:pPr>
        <w:pageBreakBefore w:val="0"/>
        <w:widowControl w:val="0"/>
        <w:kinsoku/>
        <w:wordWrap/>
        <w:overflowPunct/>
        <w:topLinePunct w:val="0"/>
        <w:autoSpaceDE/>
        <w:autoSpaceDN/>
        <w:bidi w:val="0"/>
        <w:snapToGrid w:val="0"/>
        <w:spacing w:line="400" w:lineRule="exact"/>
        <w:ind w:firstLine="420" w:firstLineChars="200"/>
        <w:textAlignment w:val="auto"/>
        <w:rPr>
          <w:rFonts w:hint="default" w:eastAsia="宋体"/>
          <w:highlight w:val="none"/>
          <w:lang w:val="en-US" w:eastAsia="zh-CN"/>
        </w:rPr>
      </w:pPr>
      <w:r>
        <w:rPr>
          <w:rFonts w:hint="eastAsia"/>
          <w:highlight w:val="none"/>
        </w:rPr>
        <w:t>1.4.3 投标人不得存在下列情形之一：</w:t>
      </w:r>
      <w:r>
        <w:rPr>
          <w:rFonts w:hint="eastAsia"/>
          <w:highlight w:val="none"/>
          <w:lang w:val="en-US" w:eastAsia="zh-CN"/>
        </w:rPr>
        <w:t>以《投标人声明》第三点规定为准。</w:t>
      </w:r>
    </w:p>
    <w:p>
      <w:pPr>
        <w:pageBreakBefore w:val="0"/>
        <w:widowControl w:val="0"/>
        <w:kinsoku/>
        <w:wordWrap/>
        <w:overflowPunct/>
        <w:topLinePunct w:val="0"/>
        <w:autoSpaceDE/>
        <w:autoSpaceDN/>
        <w:bidi w:val="0"/>
        <w:snapToGrid w:val="0"/>
        <w:spacing w:line="400" w:lineRule="exact"/>
        <w:ind w:firstLine="315" w:firstLineChars="150"/>
        <w:textAlignment w:val="auto"/>
        <w:rPr>
          <w:highlight w:val="none"/>
        </w:rPr>
      </w:pPr>
      <w:r>
        <w:rPr>
          <w:rFonts w:hint="eastAsia"/>
          <w:strike/>
          <w:dstrike w:val="0"/>
          <w:highlight w:val="none"/>
        </w:rPr>
        <w:t>（1）为招标人不具有独立法人资格的附属机构（单位）；</w:t>
      </w:r>
      <w:r>
        <w:rPr>
          <w:rFonts w:hint="eastAsia"/>
          <w:highlight w:val="none"/>
        </w:rPr>
        <w:t xml:space="preserve"> </w:t>
      </w:r>
    </w:p>
    <w:p>
      <w:pPr>
        <w:pageBreakBefore w:val="0"/>
        <w:widowControl w:val="0"/>
        <w:kinsoku/>
        <w:wordWrap/>
        <w:overflowPunct/>
        <w:topLinePunct w:val="0"/>
        <w:autoSpaceDE/>
        <w:autoSpaceDN/>
        <w:bidi w:val="0"/>
        <w:snapToGrid w:val="0"/>
        <w:spacing w:line="400" w:lineRule="exact"/>
        <w:ind w:firstLine="315" w:firstLineChars="150"/>
        <w:textAlignment w:val="auto"/>
        <w:rPr>
          <w:strike/>
          <w:dstrike w:val="0"/>
          <w:highlight w:val="none"/>
        </w:rPr>
      </w:pPr>
      <w:r>
        <w:rPr>
          <w:rFonts w:hint="eastAsia"/>
          <w:strike/>
          <w:dstrike w:val="0"/>
          <w:highlight w:val="none"/>
        </w:rPr>
        <w:t>（2）为招标项目前期工作提供咨询服务的；</w:t>
      </w:r>
    </w:p>
    <w:p>
      <w:pPr>
        <w:pageBreakBefore w:val="0"/>
        <w:widowControl w:val="0"/>
        <w:kinsoku/>
        <w:wordWrap/>
        <w:overflowPunct/>
        <w:topLinePunct w:val="0"/>
        <w:autoSpaceDE/>
        <w:autoSpaceDN/>
        <w:bidi w:val="0"/>
        <w:snapToGrid w:val="0"/>
        <w:spacing w:line="400" w:lineRule="exact"/>
        <w:ind w:firstLine="315" w:firstLineChars="150"/>
        <w:textAlignment w:val="auto"/>
        <w:rPr>
          <w:strike/>
          <w:dstrike w:val="0"/>
          <w:highlight w:val="none"/>
        </w:rPr>
      </w:pPr>
      <w:r>
        <w:rPr>
          <w:rFonts w:hint="eastAsia"/>
          <w:strike/>
          <w:dstrike w:val="0"/>
          <w:highlight w:val="none"/>
        </w:rPr>
        <w:t>（3）为本招标项目的监理人；</w:t>
      </w:r>
    </w:p>
    <w:p>
      <w:pPr>
        <w:pageBreakBefore w:val="0"/>
        <w:widowControl w:val="0"/>
        <w:kinsoku/>
        <w:wordWrap/>
        <w:overflowPunct/>
        <w:topLinePunct w:val="0"/>
        <w:autoSpaceDE/>
        <w:autoSpaceDN/>
        <w:bidi w:val="0"/>
        <w:snapToGrid w:val="0"/>
        <w:spacing w:line="400" w:lineRule="exact"/>
        <w:ind w:firstLine="315" w:firstLineChars="150"/>
        <w:textAlignment w:val="auto"/>
        <w:rPr>
          <w:strike/>
          <w:dstrike w:val="0"/>
          <w:highlight w:val="none"/>
        </w:rPr>
      </w:pPr>
      <w:r>
        <w:rPr>
          <w:rFonts w:hint="eastAsia"/>
          <w:strike/>
          <w:dstrike w:val="0"/>
          <w:highlight w:val="none"/>
        </w:rPr>
        <w:t xml:space="preserve">（4）为本招标项目的代建人； </w:t>
      </w:r>
    </w:p>
    <w:p>
      <w:pPr>
        <w:pageBreakBefore w:val="0"/>
        <w:widowControl w:val="0"/>
        <w:kinsoku/>
        <w:wordWrap/>
        <w:overflowPunct/>
        <w:topLinePunct w:val="0"/>
        <w:autoSpaceDE/>
        <w:autoSpaceDN/>
        <w:bidi w:val="0"/>
        <w:snapToGrid w:val="0"/>
        <w:spacing w:line="400" w:lineRule="exact"/>
        <w:ind w:firstLine="315" w:firstLineChars="150"/>
        <w:textAlignment w:val="auto"/>
        <w:rPr>
          <w:strike/>
          <w:dstrike w:val="0"/>
          <w:highlight w:val="none"/>
        </w:rPr>
      </w:pPr>
      <w:r>
        <w:rPr>
          <w:rFonts w:hint="eastAsia"/>
          <w:strike/>
          <w:dstrike w:val="0"/>
          <w:highlight w:val="none"/>
        </w:rPr>
        <w:t xml:space="preserve">（5）为本招标项目提供招标代理服务的； </w:t>
      </w:r>
    </w:p>
    <w:p>
      <w:pPr>
        <w:pageBreakBefore w:val="0"/>
        <w:widowControl w:val="0"/>
        <w:kinsoku/>
        <w:wordWrap/>
        <w:overflowPunct/>
        <w:topLinePunct w:val="0"/>
        <w:autoSpaceDE/>
        <w:autoSpaceDN/>
        <w:bidi w:val="0"/>
        <w:snapToGrid w:val="0"/>
        <w:spacing w:line="400" w:lineRule="exact"/>
        <w:ind w:firstLine="315" w:firstLineChars="150"/>
        <w:textAlignment w:val="auto"/>
        <w:rPr>
          <w:strike/>
          <w:dstrike w:val="0"/>
          <w:highlight w:val="none"/>
        </w:rPr>
      </w:pPr>
      <w:r>
        <w:rPr>
          <w:rFonts w:hint="eastAsia"/>
          <w:strike/>
          <w:dstrike w:val="0"/>
          <w:highlight w:val="none"/>
        </w:rPr>
        <w:t xml:space="preserve">（6）被责令停业的； </w:t>
      </w:r>
    </w:p>
    <w:p>
      <w:pPr>
        <w:pageBreakBefore w:val="0"/>
        <w:widowControl w:val="0"/>
        <w:kinsoku/>
        <w:wordWrap/>
        <w:overflowPunct/>
        <w:topLinePunct w:val="0"/>
        <w:autoSpaceDE/>
        <w:autoSpaceDN/>
        <w:bidi w:val="0"/>
        <w:snapToGrid w:val="0"/>
        <w:spacing w:line="400" w:lineRule="exact"/>
        <w:ind w:firstLine="315" w:firstLineChars="150"/>
        <w:textAlignment w:val="auto"/>
        <w:rPr>
          <w:strike/>
          <w:dstrike w:val="0"/>
          <w:highlight w:val="none"/>
        </w:rPr>
      </w:pPr>
      <w:r>
        <w:rPr>
          <w:rFonts w:hint="eastAsia"/>
          <w:strike/>
          <w:dstrike w:val="0"/>
          <w:highlight w:val="none"/>
        </w:rPr>
        <w:t xml:space="preserve">（7）被暂停或取消投标资格的； </w:t>
      </w:r>
    </w:p>
    <w:p>
      <w:pPr>
        <w:pageBreakBefore w:val="0"/>
        <w:widowControl w:val="0"/>
        <w:kinsoku/>
        <w:wordWrap/>
        <w:overflowPunct/>
        <w:topLinePunct w:val="0"/>
        <w:autoSpaceDE/>
        <w:autoSpaceDN/>
        <w:bidi w:val="0"/>
        <w:snapToGrid w:val="0"/>
        <w:spacing w:line="400" w:lineRule="exact"/>
        <w:ind w:firstLine="315" w:firstLineChars="150"/>
        <w:textAlignment w:val="auto"/>
        <w:rPr>
          <w:strike/>
          <w:dstrike w:val="0"/>
          <w:highlight w:val="none"/>
        </w:rPr>
      </w:pPr>
      <w:r>
        <w:rPr>
          <w:rFonts w:hint="eastAsia"/>
          <w:strike/>
          <w:dstrike w:val="0"/>
          <w:highlight w:val="none"/>
        </w:rPr>
        <w:t>（8）财产被接管或冻结的；</w:t>
      </w:r>
    </w:p>
    <w:p>
      <w:pPr>
        <w:pageBreakBefore w:val="0"/>
        <w:widowControl w:val="0"/>
        <w:kinsoku/>
        <w:wordWrap/>
        <w:overflowPunct/>
        <w:topLinePunct w:val="0"/>
        <w:autoSpaceDE/>
        <w:autoSpaceDN/>
        <w:bidi w:val="0"/>
        <w:snapToGrid w:val="0"/>
        <w:spacing w:line="400" w:lineRule="exact"/>
        <w:ind w:firstLine="315" w:firstLineChars="150"/>
        <w:textAlignment w:val="auto"/>
        <w:rPr>
          <w:strike/>
          <w:dstrike w:val="0"/>
          <w:highlight w:val="none"/>
        </w:rPr>
      </w:pPr>
      <w:r>
        <w:rPr>
          <w:rFonts w:hint="eastAsia"/>
          <w:strike/>
          <w:dstrike w:val="0"/>
          <w:highlight w:val="none"/>
        </w:rPr>
        <w:t>（9）在最近三年内有骗取中标或严重违约或重大工程质量问题的；</w:t>
      </w:r>
    </w:p>
    <w:p>
      <w:pPr>
        <w:pageBreakBefore w:val="0"/>
        <w:widowControl w:val="0"/>
        <w:kinsoku/>
        <w:wordWrap/>
        <w:overflowPunct/>
        <w:topLinePunct w:val="0"/>
        <w:autoSpaceDE/>
        <w:autoSpaceDN/>
        <w:bidi w:val="0"/>
        <w:snapToGrid w:val="0"/>
        <w:spacing w:line="400" w:lineRule="exact"/>
        <w:ind w:firstLine="315" w:firstLineChars="150"/>
        <w:textAlignment w:val="auto"/>
        <w:rPr>
          <w:strike/>
          <w:dstrike w:val="0"/>
          <w:highlight w:val="none"/>
        </w:rPr>
      </w:pPr>
      <w:r>
        <w:rPr>
          <w:rFonts w:hint="eastAsia"/>
          <w:strike/>
          <w:dstrike w:val="0"/>
          <w:highlight w:val="none"/>
        </w:rPr>
        <w:t>（10）与本招标项目的监理人或代建人或招标代理机构同为一个法定代表人的；</w:t>
      </w:r>
    </w:p>
    <w:p>
      <w:pPr>
        <w:pageBreakBefore w:val="0"/>
        <w:widowControl w:val="0"/>
        <w:kinsoku/>
        <w:wordWrap/>
        <w:overflowPunct/>
        <w:topLinePunct w:val="0"/>
        <w:autoSpaceDE/>
        <w:autoSpaceDN/>
        <w:bidi w:val="0"/>
        <w:snapToGrid w:val="0"/>
        <w:spacing w:line="400" w:lineRule="exact"/>
        <w:ind w:firstLine="315" w:firstLineChars="150"/>
        <w:textAlignment w:val="auto"/>
        <w:rPr>
          <w:strike/>
          <w:dstrike w:val="0"/>
          <w:highlight w:val="none"/>
        </w:rPr>
      </w:pPr>
      <w:r>
        <w:rPr>
          <w:rFonts w:hint="eastAsia"/>
          <w:strike/>
          <w:dstrike w:val="0"/>
          <w:highlight w:val="none"/>
        </w:rPr>
        <w:t>（11）与本招标项目的监理人或代建人或招标代理机构相互控股或参股的；</w:t>
      </w:r>
    </w:p>
    <w:p>
      <w:pPr>
        <w:pageBreakBefore w:val="0"/>
        <w:widowControl w:val="0"/>
        <w:kinsoku/>
        <w:wordWrap/>
        <w:overflowPunct/>
        <w:topLinePunct w:val="0"/>
        <w:autoSpaceDE/>
        <w:autoSpaceDN/>
        <w:bidi w:val="0"/>
        <w:snapToGrid w:val="0"/>
        <w:spacing w:line="400" w:lineRule="exact"/>
        <w:ind w:firstLine="315" w:firstLineChars="150"/>
        <w:textAlignment w:val="auto"/>
        <w:rPr>
          <w:strike/>
          <w:dstrike w:val="0"/>
          <w:highlight w:val="none"/>
        </w:rPr>
      </w:pPr>
      <w:r>
        <w:rPr>
          <w:rFonts w:hint="eastAsia"/>
          <w:strike/>
          <w:dstrike w:val="0"/>
          <w:highlight w:val="none"/>
        </w:rPr>
        <w:t>（12）与本招标项目的监理人或代建人或招标代理机构相互任职或工作的。</w:t>
      </w:r>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1.4.4 单位负责人为同一人或者存在控股、管理关系的不同单位，不得同时参加本招标项目投标。</w:t>
      </w:r>
    </w:p>
    <w:p>
      <w:pPr>
        <w:pageBreakBefore w:val="0"/>
        <w:widowControl w:val="0"/>
        <w:kinsoku/>
        <w:wordWrap/>
        <w:overflowPunct/>
        <w:topLinePunct w:val="0"/>
        <w:autoSpaceDE/>
        <w:autoSpaceDN/>
        <w:bidi w:val="0"/>
        <w:snapToGrid w:val="0"/>
        <w:spacing w:line="400" w:lineRule="exact"/>
        <w:textAlignment w:val="auto"/>
        <w:rPr>
          <w:highlight w:val="none"/>
        </w:rPr>
      </w:pPr>
      <w:bookmarkStart w:id="151" w:name="_Toc152045535"/>
      <w:bookmarkStart w:id="152" w:name="_Toc144974503"/>
      <w:bookmarkStart w:id="153" w:name="_Toc247513958"/>
      <w:bookmarkStart w:id="154" w:name="_Toc152042311"/>
      <w:bookmarkStart w:id="155" w:name="_Toc247527559"/>
      <w:bookmarkStart w:id="156" w:name="_Toc17155"/>
      <w:bookmarkStart w:id="157" w:name="_Toc11420"/>
      <w:bookmarkStart w:id="158" w:name="_Toc4230"/>
      <w:bookmarkStart w:id="159" w:name="_Toc51288195"/>
      <w:bookmarkStart w:id="160" w:name="_Toc3418"/>
      <w:bookmarkStart w:id="161" w:name="_Toc3433"/>
      <w:bookmarkStart w:id="162" w:name="_Toc22420"/>
      <w:bookmarkStart w:id="163" w:name="_Toc12267"/>
      <w:bookmarkStart w:id="164" w:name="_Toc7141"/>
      <w:bookmarkStart w:id="165" w:name="_Toc22756"/>
      <w:bookmarkStart w:id="166" w:name="_Toc20663"/>
      <w:r>
        <w:rPr>
          <w:rFonts w:hint="eastAsia"/>
          <w:highlight w:val="none"/>
        </w:rPr>
        <w:t>1.5 费用承担</w:t>
      </w:r>
      <w:bookmarkEnd w:id="151"/>
      <w:bookmarkEnd w:id="152"/>
      <w:bookmarkEnd w:id="153"/>
      <w:bookmarkEnd w:id="154"/>
      <w:bookmarkEnd w:id="155"/>
      <w:r>
        <w:rPr>
          <w:rFonts w:hint="eastAsia"/>
          <w:highlight w:val="none"/>
        </w:rPr>
        <w:t>和设计成果补偿</w:t>
      </w:r>
      <w:bookmarkEnd w:id="156"/>
      <w:bookmarkEnd w:id="157"/>
      <w:bookmarkEnd w:id="158"/>
      <w:bookmarkEnd w:id="159"/>
      <w:bookmarkEnd w:id="160"/>
      <w:bookmarkEnd w:id="161"/>
      <w:bookmarkEnd w:id="162"/>
      <w:bookmarkEnd w:id="163"/>
      <w:bookmarkEnd w:id="164"/>
      <w:bookmarkEnd w:id="165"/>
      <w:bookmarkEnd w:id="166"/>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1.5.1 投标人准备和参加投标活动发生的费用自理。</w:t>
      </w:r>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1.5.2 招标人对符合招标文件规定的未中标人的设计成果进行补偿的，按投标人须知前附表规定给予补偿，并有权免费使用未中标人设计成果。</w:t>
      </w:r>
    </w:p>
    <w:p>
      <w:pPr>
        <w:pageBreakBefore w:val="0"/>
        <w:widowControl w:val="0"/>
        <w:kinsoku/>
        <w:wordWrap/>
        <w:overflowPunct/>
        <w:topLinePunct w:val="0"/>
        <w:autoSpaceDE/>
        <w:autoSpaceDN/>
        <w:bidi w:val="0"/>
        <w:snapToGrid w:val="0"/>
        <w:spacing w:line="400" w:lineRule="exact"/>
        <w:textAlignment w:val="auto"/>
        <w:rPr>
          <w:highlight w:val="none"/>
        </w:rPr>
      </w:pPr>
      <w:bookmarkStart w:id="167" w:name="_Toc247513959"/>
      <w:bookmarkStart w:id="168" w:name="_Toc144974504"/>
      <w:bookmarkStart w:id="169" w:name="_Toc21539"/>
      <w:bookmarkStart w:id="170" w:name="_Toc16069"/>
      <w:bookmarkStart w:id="171" w:name="_Toc30367"/>
      <w:bookmarkStart w:id="172" w:name="_Toc247527560"/>
      <w:bookmarkStart w:id="173" w:name="_Toc2898"/>
      <w:bookmarkStart w:id="174" w:name="_Toc8705"/>
      <w:bookmarkStart w:id="175" w:name="_Toc152042312"/>
      <w:bookmarkStart w:id="176" w:name="_Toc152045536"/>
      <w:bookmarkStart w:id="177" w:name="_Toc28607"/>
      <w:bookmarkStart w:id="178" w:name="_Toc29026"/>
      <w:bookmarkStart w:id="179" w:name="_Toc612"/>
      <w:bookmarkStart w:id="180" w:name="_Toc51288196"/>
      <w:bookmarkStart w:id="181" w:name="_Toc29552"/>
      <w:bookmarkStart w:id="182" w:name="_Toc23498"/>
      <w:r>
        <w:rPr>
          <w:rFonts w:hint="eastAsia"/>
          <w:highlight w:val="none"/>
        </w:rPr>
        <w:t>1.6 保密</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参与招标投标活动的各方应对招标文件和投标文件中的商业和技术等秘密保密，否则应承担相应的法律责任。</w:t>
      </w:r>
    </w:p>
    <w:p>
      <w:pPr>
        <w:pageBreakBefore w:val="0"/>
        <w:widowControl w:val="0"/>
        <w:kinsoku/>
        <w:wordWrap/>
        <w:overflowPunct/>
        <w:topLinePunct w:val="0"/>
        <w:autoSpaceDE/>
        <w:autoSpaceDN/>
        <w:bidi w:val="0"/>
        <w:snapToGrid w:val="0"/>
        <w:spacing w:line="400" w:lineRule="exact"/>
        <w:textAlignment w:val="auto"/>
        <w:rPr>
          <w:highlight w:val="none"/>
        </w:rPr>
      </w:pPr>
      <w:bookmarkStart w:id="183" w:name="_Toc144974505"/>
      <w:bookmarkStart w:id="184" w:name="_Toc247513960"/>
      <w:bookmarkStart w:id="185" w:name="_Toc247527561"/>
      <w:bookmarkStart w:id="186" w:name="_Toc4251"/>
      <w:bookmarkStart w:id="187" w:name="_Toc26144"/>
      <w:bookmarkStart w:id="188" w:name="_Toc30912"/>
      <w:bookmarkStart w:id="189" w:name="_Toc7405"/>
      <w:bookmarkStart w:id="190" w:name="_Toc32641"/>
      <w:bookmarkStart w:id="191" w:name="_Toc51288197"/>
      <w:bookmarkStart w:id="192" w:name="_Toc28434"/>
      <w:bookmarkStart w:id="193" w:name="_Toc4712"/>
      <w:bookmarkStart w:id="194" w:name="_Toc6518"/>
      <w:bookmarkStart w:id="195" w:name="_Toc23301"/>
      <w:bookmarkStart w:id="196" w:name="_Toc152045537"/>
      <w:bookmarkStart w:id="197" w:name="_Toc17734"/>
      <w:bookmarkStart w:id="198" w:name="_Toc152042313"/>
      <w:r>
        <w:rPr>
          <w:rFonts w:hint="eastAsia"/>
          <w:highlight w:val="none"/>
        </w:rPr>
        <w:t>1.7 语言</w:t>
      </w:r>
      <w:bookmarkEnd w:id="183"/>
      <w:r>
        <w:rPr>
          <w:rFonts w:hint="eastAsia"/>
          <w:highlight w:val="none"/>
        </w:rPr>
        <w:t>文字</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招标投标文件使用的语言文字为中文。专用术语使用外文的，应附有中文注释。</w:t>
      </w:r>
    </w:p>
    <w:p>
      <w:pPr>
        <w:pageBreakBefore w:val="0"/>
        <w:widowControl w:val="0"/>
        <w:kinsoku/>
        <w:wordWrap/>
        <w:overflowPunct/>
        <w:topLinePunct w:val="0"/>
        <w:autoSpaceDE/>
        <w:autoSpaceDN/>
        <w:bidi w:val="0"/>
        <w:snapToGrid w:val="0"/>
        <w:spacing w:line="400" w:lineRule="exact"/>
        <w:textAlignment w:val="auto"/>
        <w:rPr>
          <w:highlight w:val="none"/>
        </w:rPr>
      </w:pPr>
      <w:bookmarkStart w:id="199" w:name="_Toc51288198"/>
      <w:bookmarkStart w:id="200" w:name="_Toc4474"/>
      <w:bookmarkStart w:id="201" w:name="_Toc6461"/>
      <w:bookmarkStart w:id="202" w:name="_Toc4400"/>
      <w:bookmarkStart w:id="203" w:name="_Toc16759"/>
      <w:bookmarkStart w:id="204" w:name="_Toc247527562"/>
      <w:bookmarkStart w:id="205" w:name="_Toc27208"/>
      <w:bookmarkStart w:id="206" w:name="_Toc707"/>
      <w:bookmarkStart w:id="207" w:name="_Toc144974506"/>
      <w:bookmarkStart w:id="208" w:name="_Toc152045538"/>
      <w:bookmarkStart w:id="209" w:name="_Toc1708"/>
      <w:bookmarkStart w:id="210" w:name="_Toc4621"/>
      <w:bookmarkStart w:id="211" w:name="_Toc247513961"/>
      <w:bookmarkStart w:id="212" w:name="_Toc152042314"/>
      <w:bookmarkStart w:id="213" w:name="_Toc22059"/>
      <w:bookmarkStart w:id="214" w:name="_Toc19696"/>
      <w:r>
        <w:rPr>
          <w:rFonts w:hint="eastAsia"/>
          <w:highlight w:val="none"/>
        </w:rPr>
        <w:t>1.8 计量单位</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1.8.1 所有计量均采用中华人民共和国法定计量单位。</w:t>
      </w:r>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1.8.2 本工程投标报价采用的的币种为人民币。</w:t>
      </w:r>
    </w:p>
    <w:p>
      <w:pPr>
        <w:pageBreakBefore w:val="0"/>
        <w:widowControl w:val="0"/>
        <w:kinsoku/>
        <w:wordWrap/>
        <w:overflowPunct/>
        <w:topLinePunct w:val="0"/>
        <w:autoSpaceDE/>
        <w:autoSpaceDN/>
        <w:bidi w:val="0"/>
        <w:snapToGrid w:val="0"/>
        <w:spacing w:line="400" w:lineRule="exact"/>
        <w:textAlignment w:val="auto"/>
        <w:rPr>
          <w:highlight w:val="none"/>
        </w:rPr>
      </w:pPr>
      <w:bookmarkStart w:id="215" w:name="_Toc27455"/>
      <w:bookmarkStart w:id="216" w:name="_Toc32503"/>
      <w:bookmarkStart w:id="217" w:name="_Toc247527563"/>
      <w:bookmarkStart w:id="218" w:name="_Toc18928"/>
      <w:bookmarkStart w:id="219" w:name="_Toc247513962"/>
      <w:bookmarkStart w:id="220" w:name="_Toc144974507"/>
      <w:bookmarkStart w:id="221" w:name="_Toc152042315"/>
      <w:bookmarkStart w:id="222" w:name="_Toc51288199"/>
      <w:bookmarkStart w:id="223" w:name="_Toc25187"/>
      <w:bookmarkStart w:id="224" w:name="_Toc4047"/>
      <w:bookmarkStart w:id="225" w:name="_Toc3476"/>
      <w:bookmarkStart w:id="226" w:name="_Toc15380"/>
      <w:bookmarkStart w:id="227" w:name="_Toc29955"/>
      <w:bookmarkStart w:id="228" w:name="_Toc17881"/>
      <w:bookmarkStart w:id="229" w:name="_Toc152045539"/>
      <w:bookmarkStart w:id="230" w:name="_Toc6165"/>
      <w:r>
        <w:rPr>
          <w:rFonts w:hint="eastAsia"/>
          <w:highlight w:val="none"/>
        </w:rPr>
        <w:t>1.9 踏勘现场</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1.9.1 投标人须知前附表规定组织踏勘现场的，招标人按投标人须知前附表规定的时间、地点组织投标人踏勘项目现场。</w:t>
      </w:r>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1.9.2 投标人踏勘现场发生的费用自理。</w:t>
      </w:r>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1.9.3 除招标人的原因外，投标人自行负责在踏勘现场中所发生的人员伤亡和财产损失。</w:t>
      </w:r>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1.9.4 招标人在踏勘现场中介绍的工程场地和相关的周边环境情况，供投标人在编制投标文件时参考，招标人不对投标人据此作出的判断和决策负责。</w:t>
      </w:r>
    </w:p>
    <w:p>
      <w:pPr>
        <w:pageBreakBefore w:val="0"/>
        <w:widowControl w:val="0"/>
        <w:kinsoku/>
        <w:wordWrap/>
        <w:overflowPunct/>
        <w:topLinePunct w:val="0"/>
        <w:autoSpaceDE/>
        <w:autoSpaceDN/>
        <w:bidi w:val="0"/>
        <w:snapToGrid w:val="0"/>
        <w:spacing w:line="400" w:lineRule="exact"/>
        <w:textAlignment w:val="auto"/>
        <w:rPr>
          <w:highlight w:val="none"/>
        </w:rPr>
      </w:pPr>
      <w:bookmarkStart w:id="231" w:name="_Toc144974508"/>
      <w:bookmarkStart w:id="232" w:name="_Toc51288200"/>
      <w:bookmarkStart w:id="233" w:name="_Toc152042316"/>
      <w:bookmarkStart w:id="234" w:name="_Toc247527564"/>
      <w:bookmarkStart w:id="235" w:name="_Toc247513963"/>
      <w:bookmarkStart w:id="236" w:name="_Toc29463"/>
      <w:bookmarkStart w:id="237" w:name="_Toc12097"/>
      <w:bookmarkStart w:id="238" w:name="_Toc24494"/>
      <w:bookmarkStart w:id="239" w:name="_Toc22911"/>
      <w:bookmarkStart w:id="240" w:name="_Toc1819"/>
      <w:bookmarkStart w:id="241" w:name="_Toc31990"/>
      <w:bookmarkStart w:id="242" w:name="_Toc25389"/>
      <w:bookmarkStart w:id="243" w:name="_Toc22831"/>
      <w:bookmarkStart w:id="244" w:name="_Toc16950"/>
      <w:bookmarkStart w:id="245" w:name="_Toc152045540"/>
      <w:bookmarkStart w:id="246" w:name="_Toc32080"/>
      <w:r>
        <w:rPr>
          <w:rFonts w:hint="eastAsia"/>
          <w:highlight w:val="none"/>
        </w:rPr>
        <w:t>1.10 投标预备会</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1.10.1 投标人须知前附表规定召开投标预备会的，招标人按投标人须知前附表规定的时间和地点召开投标预备会，澄清投标人提出的问题。</w:t>
      </w:r>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1.10.2 投标人应在投标人须知前附表规定的时间前，以书面形式将提出的问题送达招标人，以便招标人在会议期间澄清。</w:t>
      </w:r>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1.10.3 投标预备会后，招标人在投标人须知前附表规定的时间内，将对投标人所提问题的澄清，以书面形式通知所有购买招标文件的投标人。该澄清内容为招标文件的组成部分。</w:t>
      </w:r>
    </w:p>
    <w:p>
      <w:pPr>
        <w:pageBreakBefore w:val="0"/>
        <w:widowControl w:val="0"/>
        <w:kinsoku/>
        <w:wordWrap/>
        <w:overflowPunct/>
        <w:topLinePunct w:val="0"/>
        <w:autoSpaceDE/>
        <w:autoSpaceDN/>
        <w:bidi w:val="0"/>
        <w:snapToGrid w:val="0"/>
        <w:spacing w:line="400" w:lineRule="exact"/>
        <w:textAlignment w:val="auto"/>
        <w:rPr>
          <w:highlight w:val="none"/>
        </w:rPr>
      </w:pPr>
      <w:bookmarkStart w:id="247" w:name="_Toc19252"/>
      <w:bookmarkStart w:id="248" w:name="_Toc6144"/>
      <w:bookmarkStart w:id="249" w:name="_Toc16945"/>
      <w:bookmarkStart w:id="250" w:name="_Toc247527565"/>
      <w:bookmarkStart w:id="251" w:name="_Toc51288201"/>
      <w:bookmarkStart w:id="252" w:name="_Toc152042317"/>
      <w:bookmarkStart w:id="253" w:name="_Toc152045541"/>
      <w:bookmarkStart w:id="254" w:name="_Toc11019"/>
      <w:bookmarkStart w:id="255" w:name="_Toc32147"/>
      <w:bookmarkStart w:id="256" w:name="_Toc20988"/>
      <w:bookmarkStart w:id="257" w:name="_Toc1872"/>
      <w:bookmarkStart w:id="258" w:name="_Toc144974509"/>
      <w:bookmarkStart w:id="259" w:name="_Toc247513964"/>
      <w:bookmarkStart w:id="260" w:name="_Toc6786"/>
      <w:bookmarkStart w:id="261" w:name="_Toc21811"/>
      <w:bookmarkStart w:id="262" w:name="_Toc22799"/>
      <w:r>
        <w:rPr>
          <w:rFonts w:hint="eastAsia"/>
          <w:highlight w:val="none"/>
        </w:rPr>
        <w:t>1.11 分包</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pPr>
        <w:pageBreakBefore w:val="0"/>
        <w:widowControl w:val="0"/>
        <w:kinsoku/>
        <w:wordWrap/>
        <w:overflowPunct/>
        <w:topLinePunct w:val="0"/>
        <w:autoSpaceDE/>
        <w:autoSpaceDN/>
        <w:bidi w:val="0"/>
        <w:snapToGrid w:val="0"/>
        <w:spacing w:line="400" w:lineRule="exact"/>
        <w:ind w:firstLine="567" w:firstLineChars="270"/>
        <w:textAlignment w:val="auto"/>
        <w:rPr>
          <w:highlight w:val="none"/>
        </w:rPr>
      </w:pPr>
      <w:r>
        <w:rPr>
          <w:rFonts w:hint="eastAsia"/>
          <w:highlight w:val="none"/>
        </w:rPr>
        <w:t>1.11.1 投标人须知前附表规定应当由分包人实施的非主体、非关键性工作，投标人应当按照第五章“发包人要求”的规定提供分包人侯选名单及其相应资料。</w:t>
      </w:r>
    </w:p>
    <w:p>
      <w:pPr>
        <w:pageBreakBefore w:val="0"/>
        <w:widowControl w:val="0"/>
        <w:kinsoku/>
        <w:wordWrap/>
        <w:overflowPunct/>
        <w:topLinePunct w:val="0"/>
        <w:autoSpaceDE/>
        <w:autoSpaceDN/>
        <w:bidi w:val="0"/>
        <w:snapToGrid w:val="0"/>
        <w:spacing w:line="400" w:lineRule="exact"/>
        <w:ind w:firstLine="567" w:firstLineChars="270"/>
        <w:textAlignment w:val="auto"/>
        <w:rPr>
          <w:highlight w:val="none"/>
        </w:rPr>
      </w:pPr>
      <w:r>
        <w:rPr>
          <w:rFonts w:hint="eastAsia"/>
          <w:highlight w:val="none"/>
        </w:rPr>
        <w:t>1.11.2 投标人拟在中标后将中标项目的部分非主体、非关键性工作进行分包的，应符合投标人须知前附表规定的分包内容、分包金额和资质要求等限制性条件。</w:t>
      </w:r>
    </w:p>
    <w:p>
      <w:pPr>
        <w:pageBreakBefore w:val="0"/>
        <w:widowControl w:val="0"/>
        <w:kinsoku/>
        <w:wordWrap/>
        <w:overflowPunct/>
        <w:topLinePunct w:val="0"/>
        <w:autoSpaceDE/>
        <w:autoSpaceDN/>
        <w:bidi w:val="0"/>
        <w:snapToGrid w:val="0"/>
        <w:spacing w:line="400" w:lineRule="exact"/>
        <w:textAlignment w:val="auto"/>
        <w:rPr>
          <w:highlight w:val="none"/>
        </w:rPr>
      </w:pPr>
      <w:bookmarkStart w:id="263" w:name="_Toc10814"/>
      <w:bookmarkStart w:id="264" w:name="_Toc4086"/>
      <w:bookmarkStart w:id="265" w:name="_Toc31821"/>
      <w:bookmarkStart w:id="266" w:name="_Toc25625"/>
      <w:bookmarkStart w:id="267" w:name="_Toc29519"/>
      <w:bookmarkStart w:id="268" w:name="_Toc30312"/>
      <w:bookmarkStart w:id="269" w:name="_Toc247513965"/>
      <w:bookmarkStart w:id="270" w:name="_Toc20833"/>
      <w:bookmarkStart w:id="271" w:name="_Toc7520"/>
      <w:bookmarkStart w:id="272" w:name="_Toc21044"/>
      <w:bookmarkStart w:id="273" w:name="_Toc51288202"/>
      <w:bookmarkStart w:id="274" w:name="_Toc21502"/>
      <w:bookmarkStart w:id="275" w:name="_Toc247527566"/>
      <w:r>
        <w:rPr>
          <w:rFonts w:hint="eastAsia"/>
          <w:highlight w:val="none"/>
        </w:rPr>
        <w:t>1.12 偏离</w:t>
      </w:r>
      <w:bookmarkEnd w:id="263"/>
      <w:bookmarkEnd w:id="264"/>
      <w:bookmarkEnd w:id="265"/>
      <w:bookmarkEnd w:id="266"/>
      <w:bookmarkEnd w:id="267"/>
      <w:bookmarkEnd w:id="268"/>
      <w:bookmarkEnd w:id="269"/>
      <w:bookmarkEnd w:id="270"/>
      <w:bookmarkEnd w:id="271"/>
      <w:bookmarkEnd w:id="272"/>
      <w:bookmarkEnd w:id="273"/>
      <w:bookmarkEnd w:id="274"/>
      <w:bookmarkEnd w:id="275"/>
    </w:p>
    <w:p>
      <w:pPr>
        <w:pageBreakBefore w:val="0"/>
        <w:widowControl w:val="0"/>
        <w:kinsoku/>
        <w:wordWrap/>
        <w:overflowPunct/>
        <w:topLinePunct w:val="0"/>
        <w:autoSpaceDE/>
        <w:autoSpaceDN/>
        <w:bidi w:val="0"/>
        <w:snapToGrid w:val="0"/>
        <w:spacing w:line="400" w:lineRule="exact"/>
        <w:ind w:firstLine="359" w:firstLineChars="171"/>
        <w:textAlignment w:val="auto"/>
        <w:rPr>
          <w:highlight w:val="none"/>
        </w:rPr>
      </w:pPr>
      <w:r>
        <w:rPr>
          <w:rFonts w:hint="eastAsia"/>
          <w:highlight w:val="none"/>
        </w:rPr>
        <w:t>投标人须知前附表允许投标文件偏离招标文件某些要求的，偏离应当符合招标文件规定的偏离范围和幅度。</w:t>
      </w:r>
    </w:p>
    <w:p>
      <w:pPr>
        <w:pageBreakBefore w:val="0"/>
        <w:widowControl w:val="0"/>
        <w:kinsoku/>
        <w:wordWrap/>
        <w:overflowPunct/>
        <w:topLinePunct w:val="0"/>
        <w:autoSpaceDE/>
        <w:autoSpaceDN/>
        <w:bidi w:val="0"/>
        <w:snapToGrid w:val="0"/>
        <w:spacing w:line="400" w:lineRule="exact"/>
        <w:textAlignment w:val="auto"/>
        <w:rPr>
          <w:highlight w:val="none"/>
        </w:rPr>
      </w:pPr>
      <w:bookmarkStart w:id="276" w:name="_Toc4323"/>
      <w:bookmarkStart w:id="277" w:name="_Toc152045542"/>
      <w:bookmarkStart w:id="278" w:name="_Toc29920"/>
      <w:bookmarkStart w:id="279" w:name="_Toc26198"/>
      <w:bookmarkStart w:id="280" w:name="_Toc8433"/>
      <w:bookmarkStart w:id="281" w:name="_Toc15453"/>
      <w:bookmarkStart w:id="282" w:name="_Toc25737"/>
      <w:bookmarkStart w:id="283" w:name="_Toc29838"/>
      <w:bookmarkStart w:id="284" w:name="_Toc14779"/>
      <w:bookmarkStart w:id="285" w:name="_Toc28616"/>
      <w:bookmarkStart w:id="286" w:name="_Toc247513966"/>
      <w:bookmarkStart w:id="287" w:name="_Toc152042318"/>
      <w:bookmarkStart w:id="288" w:name="_Toc6086"/>
      <w:bookmarkStart w:id="289" w:name="_Toc51288203"/>
      <w:bookmarkStart w:id="290" w:name="_Toc247527567"/>
      <w:bookmarkStart w:id="291" w:name="_Toc144974510"/>
      <w:r>
        <w:rPr>
          <w:rFonts w:hint="eastAsia"/>
          <w:highlight w:val="none"/>
        </w:rPr>
        <w:t>2. 招标文件</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pPr>
        <w:pageBreakBefore w:val="0"/>
        <w:widowControl w:val="0"/>
        <w:kinsoku/>
        <w:wordWrap/>
        <w:overflowPunct/>
        <w:topLinePunct w:val="0"/>
        <w:autoSpaceDE/>
        <w:autoSpaceDN/>
        <w:bidi w:val="0"/>
        <w:snapToGrid w:val="0"/>
        <w:spacing w:line="400" w:lineRule="exact"/>
        <w:textAlignment w:val="auto"/>
        <w:rPr>
          <w:highlight w:val="none"/>
        </w:rPr>
      </w:pPr>
      <w:bookmarkStart w:id="292" w:name="_Toc152045543"/>
      <w:bookmarkStart w:id="293" w:name="_Toc24364"/>
      <w:bookmarkStart w:id="294" w:name="_Toc17268"/>
      <w:bookmarkStart w:id="295" w:name="_Toc247513967"/>
      <w:bookmarkStart w:id="296" w:name="_Toc144974511"/>
      <w:bookmarkStart w:id="297" w:name="_Toc51288204"/>
      <w:bookmarkStart w:id="298" w:name="_Toc30127"/>
      <w:bookmarkStart w:id="299" w:name="_Toc27581"/>
      <w:bookmarkStart w:id="300" w:name="_Toc17722"/>
      <w:bookmarkStart w:id="301" w:name="_Toc16060"/>
      <w:bookmarkStart w:id="302" w:name="_Toc8999"/>
      <w:bookmarkStart w:id="303" w:name="_Toc14675"/>
      <w:bookmarkStart w:id="304" w:name="_Toc152042319"/>
      <w:bookmarkStart w:id="305" w:name="_Toc5437"/>
      <w:bookmarkStart w:id="306" w:name="_Toc18154"/>
      <w:bookmarkStart w:id="307" w:name="_Toc247527568"/>
      <w:r>
        <w:rPr>
          <w:rFonts w:hint="eastAsia"/>
          <w:highlight w:val="none"/>
        </w:rPr>
        <w:t>2.1 招标文件的组成</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pPr>
        <w:pageBreakBefore w:val="0"/>
        <w:widowControl w:val="0"/>
        <w:kinsoku/>
        <w:wordWrap/>
        <w:overflowPunct/>
        <w:topLinePunct w:val="0"/>
        <w:autoSpaceDE/>
        <w:autoSpaceDN/>
        <w:bidi w:val="0"/>
        <w:snapToGrid w:val="0"/>
        <w:spacing w:line="400" w:lineRule="exact"/>
        <w:textAlignment w:val="auto"/>
        <w:rPr>
          <w:highlight w:val="none"/>
        </w:rPr>
      </w:pPr>
      <w:r>
        <w:rPr>
          <w:rFonts w:hint="eastAsia"/>
          <w:highlight w:val="none"/>
        </w:rPr>
        <w:t>　　本招标文件包括：</w:t>
      </w:r>
    </w:p>
    <w:p>
      <w:pPr>
        <w:pageBreakBefore w:val="0"/>
        <w:widowControl w:val="0"/>
        <w:kinsoku/>
        <w:wordWrap/>
        <w:overflowPunct/>
        <w:topLinePunct w:val="0"/>
        <w:autoSpaceDE/>
        <w:autoSpaceDN/>
        <w:bidi w:val="0"/>
        <w:snapToGrid w:val="0"/>
        <w:spacing w:line="400" w:lineRule="exact"/>
        <w:ind w:firstLine="359" w:firstLineChars="171"/>
        <w:textAlignment w:val="auto"/>
        <w:rPr>
          <w:rFonts w:hint="eastAsia"/>
          <w:highlight w:val="none"/>
        </w:rPr>
      </w:pPr>
      <w:r>
        <w:rPr>
          <w:rFonts w:hint="eastAsia"/>
          <w:highlight w:val="none"/>
        </w:rPr>
        <w:t>（1）招标公告（或投标邀请书）；</w:t>
      </w:r>
    </w:p>
    <w:p>
      <w:pPr>
        <w:pageBreakBefore w:val="0"/>
        <w:widowControl w:val="0"/>
        <w:kinsoku/>
        <w:wordWrap/>
        <w:overflowPunct/>
        <w:topLinePunct w:val="0"/>
        <w:autoSpaceDE/>
        <w:autoSpaceDN/>
        <w:bidi w:val="0"/>
        <w:snapToGrid w:val="0"/>
        <w:spacing w:line="400" w:lineRule="exact"/>
        <w:ind w:firstLine="359" w:firstLineChars="171"/>
        <w:textAlignment w:val="auto"/>
        <w:rPr>
          <w:rFonts w:hint="eastAsia"/>
          <w:highlight w:val="none"/>
        </w:rPr>
      </w:pPr>
      <w:r>
        <w:rPr>
          <w:rFonts w:hint="eastAsia"/>
          <w:highlight w:val="none"/>
        </w:rPr>
        <w:t>（2）投标人须知；</w:t>
      </w:r>
    </w:p>
    <w:p>
      <w:pPr>
        <w:pageBreakBefore w:val="0"/>
        <w:widowControl w:val="0"/>
        <w:kinsoku/>
        <w:wordWrap/>
        <w:overflowPunct/>
        <w:topLinePunct w:val="0"/>
        <w:autoSpaceDE/>
        <w:autoSpaceDN/>
        <w:bidi w:val="0"/>
        <w:snapToGrid w:val="0"/>
        <w:spacing w:line="400" w:lineRule="exact"/>
        <w:ind w:firstLine="359" w:firstLineChars="171"/>
        <w:textAlignment w:val="auto"/>
        <w:rPr>
          <w:rFonts w:hint="eastAsia"/>
          <w:highlight w:val="none"/>
        </w:rPr>
      </w:pPr>
      <w:r>
        <w:rPr>
          <w:rFonts w:hint="eastAsia"/>
          <w:highlight w:val="none"/>
        </w:rPr>
        <w:t>（3）评标办法；</w:t>
      </w:r>
    </w:p>
    <w:p>
      <w:pPr>
        <w:pageBreakBefore w:val="0"/>
        <w:widowControl w:val="0"/>
        <w:kinsoku/>
        <w:wordWrap/>
        <w:overflowPunct/>
        <w:topLinePunct w:val="0"/>
        <w:autoSpaceDE/>
        <w:autoSpaceDN/>
        <w:bidi w:val="0"/>
        <w:snapToGrid w:val="0"/>
        <w:spacing w:line="400" w:lineRule="exact"/>
        <w:ind w:firstLine="359" w:firstLineChars="171"/>
        <w:textAlignment w:val="auto"/>
        <w:rPr>
          <w:rFonts w:hint="eastAsia"/>
          <w:highlight w:val="none"/>
        </w:rPr>
      </w:pPr>
      <w:r>
        <w:rPr>
          <w:rFonts w:hint="eastAsia"/>
          <w:highlight w:val="none"/>
        </w:rPr>
        <w:t>（4）合同条款及格式；</w:t>
      </w:r>
    </w:p>
    <w:p>
      <w:pPr>
        <w:pageBreakBefore w:val="0"/>
        <w:widowControl w:val="0"/>
        <w:kinsoku/>
        <w:wordWrap/>
        <w:overflowPunct/>
        <w:topLinePunct w:val="0"/>
        <w:autoSpaceDE/>
        <w:autoSpaceDN/>
        <w:bidi w:val="0"/>
        <w:snapToGrid w:val="0"/>
        <w:spacing w:line="400" w:lineRule="exact"/>
        <w:ind w:firstLine="359" w:firstLineChars="171"/>
        <w:textAlignment w:val="auto"/>
        <w:rPr>
          <w:rFonts w:hint="eastAsia"/>
          <w:highlight w:val="none"/>
        </w:rPr>
      </w:pPr>
      <w:r>
        <w:rPr>
          <w:rFonts w:hint="eastAsia"/>
          <w:highlight w:val="none"/>
        </w:rPr>
        <w:t>（5）发包人要求；</w:t>
      </w:r>
    </w:p>
    <w:p>
      <w:pPr>
        <w:pageBreakBefore w:val="0"/>
        <w:widowControl w:val="0"/>
        <w:kinsoku/>
        <w:wordWrap/>
        <w:overflowPunct/>
        <w:topLinePunct w:val="0"/>
        <w:autoSpaceDE/>
        <w:autoSpaceDN/>
        <w:bidi w:val="0"/>
        <w:snapToGrid w:val="0"/>
        <w:spacing w:line="400" w:lineRule="exact"/>
        <w:ind w:firstLine="359" w:firstLineChars="171"/>
        <w:textAlignment w:val="auto"/>
        <w:rPr>
          <w:rFonts w:hint="eastAsia"/>
          <w:highlight w:val="none"/>
        </w:rPr>
      </w:pPr>
      <w:r>
        <w:rPr>
          <w:rFonts w:hint="eastAsia"/>
          <w:highlight w:val="none"/>
        </w:rPr>
        <w:t>（6）发包人提供的资料和条件；</w:t>
      </w:r>
    </w:p>
    <w:p>
      <w:pPr>
        <w:pageBreakBefore w:val="0"/>
        <w:widowControl w:val="0"/>
        <w:kinsoku/>
        <w:wordWrap/>
        <w:overflowPunct/>
        <w:topLinePunct w:val="0"/>
        <w:autoSpaceDE/>
        <w:autoSpaceDN/>
        <w:bidi w:val="0"/>
        <w:snapToGrid w:val="0"/>
        <w:spacing w:line="400" w:lineRule="exact"/>
        <w:ind w:firstLine="359" w:firstLineChars="171"/>
        <w:textAlignment w:val="auto"/>
        <w:rPr>
          <w:rFonts w:hint="eastAsia"/>
          <w:highlight w:val="none"/>
        </w:rPr>
      </w:pPr>
      <w:r>
        <w:rPr>
          <w:rFonts w:hint="eastAsia"/>
          <w:highlight w:val="none"/>
        </w:rPr>
        <w:t>（7）投标文件格式；</w:t>
      </w:r>
    </w:p>
    <w:p>
      <w:pPr>
        <w:pageBreakBefore w:val="0"/>
        <w:widowControl w:val="0"/>
        <w:kinsoku/>
        <w:wordWrap/>
        <w:overflowPunct/>
        <w:topLinePunct w:val="0"/>
        <w:autoSpaceDE/>
        <w:autoSpaceDN/>
        <w:bidi w:val="0"/>
        <w:snapToGrid w:val="0"/>
        <w:spacing w:line="400" w:lineRule="exact"/>
        <w:ind w:firstLine="359" w:firstLineChars="171"/>
        <w:textAlignment w:val="auto"/>
        <w:rPr>
          <w:rFonts w:hint="eastAsia"/>
          <w:highlight w:val="none"/>
        </w:rPr>
      </w:pPr>
      <w:r>
        <w:rPr>
          <w:rFonts w:hint="eastAsia"/>
          <w:highlight w:val="none"/>
        </w:rPr>
        <w:t>（8）投标人须知前附表规定的其他资料。</w:t>
      </w:r>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根据本章第1.10款、第2.2款和第2.3款对招标文件所作的澄清、修改，构成招标文件的组成部分。</w:t>
      </w:r>
    </w:p>
    <w:p>
      <w:pPr>
        <w:pageBreakBefore w:val="0"/>
        <w:widowControl w:val="0"/>
        <w:kinsoku/>
        <w:wordWrap/>
        <w:overflowPunct/>
        <w:topLinePunct w:val="0"/>
        <w:autoSpaceDE/>
        <w:autoSpaceDN/>
        <w:bidi w:val="0"/>
        <w:snapToGrid w:val="0"/>
        <w:spacing w:line="400" w:lineRule="exact"/>
        <w:textAlignment w:val="auto"/>
        <w:rPr>
          <w:highlight w:val="none"/>
        </w:rPr>
      </w:pPr>
      <w:bookmarkStart w:id="308" w:name="_Toc247513968"/>
      <w:bookmarkStart w:id="309" w:name="_Toc5306"/>
      <w:bookmarkStart w:id="310" w:name="_Toc247527569"/>
      <w:bookmarkStart w:id="311" w:name="_Toc15138"/>
      <w:bookmarkStart w:id="312" w:name="_Toc28741"/>
      <w:bookmarkStart w:id="313" w:name="_Toc28040"/>
      <w:bookmarkStart w:id="314" w:name="_Toc25411"/>
      <w:bookmarkStart w:id="315" w:name="_Toc6808"/>
      <w:bookmarkStart w:id="316" w:name="_Toc19617"/>
      <w:bookmarkStart w:id="317" w:name="_Toc152042320"/>
      <w:bookmarkStart w:id="318" w:name="_Toc152045544"/>
      <w:bookmarkStart w:id="319" w:name="_Toc30883"/>
      <w:bookmarkStart w:id="320" w:name="_Toc144974512"/>
      <w:bookmarkStart w:id="321" w:name="_Toc28732"/>
      <w:bookmarkStart w:id="322" w:name="_Toc51288205"/>
      <w:bookmarkStart w:id="323" w:name="_Toc26616"/>
      <w:r>
        <w:rPr>
          <w:rFonts w:hint="eastAsia"/>
          <w:highlight w:val="none"/>
        </w:rPr>
        <w:t>2.2 招标文件的澄清</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pPr>
        <w:pageBreakBefore w:val="0"/>
        <w:widowControl w:val="0"/>
        <w:kinsoku/>
        <w:wordWrap/>
        <w:overflowPunct/>
        <w:topLinePunct w:val="0"/>
        <w:autoSpaceDE/>
        <w:autoSpaceDN/>
        <w:bidi w:val="0"/>
        <w:snapToGrid w:val="0"/>
        <w:spacing w:line="400" w:lineRule="exact"/>
        <w:ind w:firstLine="411" w:firstLineChars="196"/>
        <w:textAlignment w:val="auto"/>
        <w:rPr>
          <w:rFonts w:ascii="宋体" w:cs="宋体"/>
          <w:szCs w:val="21"/>
          <w:highlight w:val="none"/>
        </w:rPr>
      </w:pPr>
      <w:r>
        <w:rPr>
          <w:rFonts w:hint="eastAsia" w:ascii="宋体" w:cs="宋体"/>
          <w:szCs w:val="21"/>
          <w:highlight w:val="none"/>
        </w:rPr>
        <w:t>2.2.1项目答疑纪要采用网上答疑方式进行。投标人若对招标文件有疑问的，可在规定的时间内通过广州公共资源交易中心网站进入提问区域将问题提交给招标人或招标代理人，提交问题时一律不得署名。</w:t>
      </w:r>
    </w:p>
    <w:p>
      <w:pPr>
        <w:pageBreakBefore w:val="0"/>
        <w:widowControl w:val="0"/>
        <w:kinsoku/>
        <w:wordWrap/>
        <w:overflowPunct/>
        <w:topLinePunct w:val="0"/>
        <w:autoSpaceDE/>
        <w:autoSpaceDN/>
        <w:bidi w:val="0"/>
        <w:snapToGrid w:val="0"/>
        <w:spacing w:line="400" w:lineRule="exact"/>
        <w:ind w:firstLine="420" w:firstLineChars="200"/>
        <w:textAlignment w:val="auto"/>
        <w:rPr>
          <w:rFonts w:ascii="宋体" w:cs="宋体"/>
          <w:szCs w:val="21"/>
          <w:highlight w:val="none"/>
        </w:rPr>
      </w:pPr>
      <w:r>
        <w:rPr>
          <w:rFonts w:hint="eastAsia" w:ascii="宋体" w:cs="宋体"/>
          <w:szCs w:val="21"/>
          <w:highlight w:val="none"/>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p>
    <w:p>
      <w:pPr>
        <w:pageBreakBefore w:val="0"/>
        <w:widowControl w:val="0"/>
        <w:kinsoku/>
        <w:wordWrap/>
        <w:overflowPunct/>
        <w:topLinePunct w:val="0"/>
        <w:autoSpaceDE/>
        <w:autoSpaceDN/>
        <w:bidi w:val="0"/>
        <w:snapToGrid w:val="0"/>
        <w:spacing w:line="400" w:lineRule="exact"/>
        <w:ind w:firstLine="420" w:firstLineChars="200"/>
        <w:textAlignment w:val="auto"/>
        <w:rPr>
          <w:rFonts w:ascii="宋体"/>
          <w:szCs w:val="21"/>
          <w:highlight w:val="none"/>
        </w:rPr>
      </w:pPr>
      <w:r>
        <w:rPr>
          <w:rFonts w:hint="eastAsia" w:ascii="宋体"/>
          <w:szCs w:val="21"/>
          <w:highlight w:val="none"/>
        </w:rPr>
        <w:t>2.2.2招标人应在投标截止时间15日前解答投标人对招标文件提出的疑问，形成答疑纪要，在交易中心网站“项目答疑纪要”专区发布。</w:t>
      </w:r>
    </w:p>
    <w:p>
      <w:pPr>
        <w:pageBreakBefore w:val="0"/>
        <w:widowControl w:val="0"/>
        <w:kinsoku/>
        <w:wordWrap/>
        <w:overflowPunct/>
        <w:topLinePunct w:val="0"/>
        <w:autoSpaceDE/>
        <w:autoSpaceDN/>
        <w:bidi w:val="0"/>
        <w:snapToGrid w:val="0"/>
        <w:spacing w:line="400" w:lineRule="exact"/>
        <w:ind w:firstLine="420" w:firstLineChars="200"/>
        <w:textAlignment w:val="auto"/>
        <w:rPr>
          <w:rFonts w:ascii="宋体"/>
          <w:szCs w:val="21"/>
          <w:highlight w:val="none"/>
        </w:rPr>
      </w:pPr>
      <w:r>
        <w:rPr>
          <w:rFonts w:hint="eastAsia" w:ascii="宋体"/>
          <w:szCs w:val="21"/>
          <w:highlight w:val="none"/>
        </w:rPr>
        <w:t>2.2.3招标答疑纪要一经在广州公共资源交易中心网站发布，视作已发放给所有投标人。</w:t>
      </w:r>
    </w:p>
    <w:p>
      <w:pPr>
        <w:pageBreakBefore w:val="0"/>
        <w:widowControl w:val="0"/>
        <w:kinsoku/>
        <w:wordWrap/>
        <w:overflowPunct/>
        <w:topLinePunct w:val="0"/>
        <w:autoSpaceDE/>
        <w:autoSpaceDN/>
        <w:bidi w:val="0"/>
        <w:snapToGrid w:val="0"/>
        <w:spacing w:line="400" w:lineRule="exact"/>
        <w:ind w:firstLine="420" w:firstLineChars="200"/>
        <w:textAlignment w:val="auto"/>
        <w:rPr>
          <w:rFonts w:ascii="宋体"/>
          <w:szCs w:val="21"/>
          <w:highlight w:val="none"/>
        </w:rPr>
      </w:pPr>
      <w:r>
        <w:rPr>
          <w:rFonts w:hint="eastAsia" w:ascii="宋体"/>
          <w:szCs w:val="21"/>
          <w:highlight w:val="none"/>
        </w:rPr>
        <w:t>2.2.4招标答疑纪要为招标文件的一部分。投标人可在广州公共资源交易中心网站浏览、下载招标答疑纪要。</w:t>
      </w:r>
    </w:p>
    <w:p>
      <w:pPr>
        <w:pageBreakBefore w:val="0"/>
        <w:widowControl w:val="0"/>
        <w:kinsoku/>
        <w:wordWrap/>
        <w:overflowPunct/>
        <w:topLinePunct w:val="0"/>
        <w:autoSpaceDE/>
        <w:autoSpaceDN/>
        <w:bidi w:val="0"/>
        <w:snapToGrid w:val="0"/>
        <w:spacing w:line="400" w:lineRule="exact"/>
        <w:ind w:firstLine="420" w:firstLineChars="200"/>
        <w:textAlignment w:val="auto"/>
        <w:rPr>
          <w:rFonts w:ascii="宋体"/>
          <w:highlight w:val="none"/>
        </w:rPr>
      </w:pPr>
      <w:r>
        <w:rPr>
          <w:rFonts w:hint="eastAsia" w:ascii="宋体"/>
          <w:szCs w:val="21"/>
          <w:highlight w:val="none"/>
        </w:rPr>
        <w:t>2.2.5若招标答疑纪要与招标文件有矛盾时，以广州公共资源交易中心网站最后发布的答疑纪要为准。</w:t>
      </w:r>
    </w:p>
    <w:p>
      <w:pPr>
        <w:pageBreakBefore w:val="0"/>
        <w:widowControl w:val="0"/>
        <w:kinsoku/>
        <w:wordWrap/>
        <w:overflowPunct/>
        <w:topLinePunct w:val="0"/>
        <w:autoSpaceDE/>
        <w:autoSpaceDN/>
        <w:bidi w:val="0"/>
        <w:snapToGrid w:val="0"/>
        <w:spacing w:line="400" w:lineRule="exact"/>
        <w:textAlignment w:val="auto"/>
        <w:rPr>
          <w:highlight w:val="none"/>
        </w:rPr>
      </w:pPr>
      <w:bookmarkStart w:id="324" w:name="_Toc28357"/>
      <w:bookmarkStart w:id="325" w:name="_Toc12492"/>
      <w:bookmarkStart w:id="326" w:name="_Toc8422"/>
      <w:bookmarkStart w:id="327" w:name="_Toc18823"/>
      <w:bookmarkStart w:id="328" w:name="_Toc51288206"/>
      <w:bookmarkStart w:id="329" w:name="_Toc5947"/>
      <w:bookmarkStart w:id="330" w:name="_Toc152045545"/>
      <w:bookmarkStart w:id="331" w:name="_Toc20220"/>
      <w:bookmarkStart w:id="332" w:name="_Toc9270"/>
      <w:bookmarkStart w:id="333" w:name="_Toc144974513"/>
      <w:bookmarkStart w:id="334" w:name="_Toc982"/>
      <w:bookmarkStart w:id="335" w:name="_Toc4445"/>
      <w:bookmarkStart w:id="336" w:name="_Toc247513969"/>
      <w:bookmarkStart w:id="337" w:name="_Toc247527570"/>
      <w:bookmarkStart w:id="338" w:name="_Toc152042321"/>
      <w:bookmarkStart w:id="339" w:name="_Toc11566"/>
      <w:r>
        <w:rPr>
          <w:rFonts w:hint="eastAsia"/>
          <w:highlight w:val="none"/>
        </w:rPr>
        <w:t>2.3 招标文件的修改</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2.3.1 招标人在广州公共资源交易中心交易平台网站发布形式修改招标文件。修改招标文件的时间距投标人须知前附表规定的投标截止时间不足15天的，并且澄清内容影响投标文件编制的，将相应延长投标截止时间。</w:t>
      </w:r>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2.3.2 招标文件修改（或补充公告）一经在交易平台网站发布，视作已发放给所有投标人，以交易平台网站发布时间作为送达时间。无需投标人确认。投标人应自行关注，招标人不再一一通知。招标文件的修改内容作为招标文件的组成部分，具有约束作用。</w:t>
      </w:r>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2.3.3招标文件的修改均以广州公共资源交易中心网站发布的内容为准。当招标文件的修改在同一内容的表述不一致时，以广州公共资源交易中心网站最后发布的内容为准。</w:t>
      </w:r>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2.3.4为使投标人在编制投标文件时有充分的时间对招标文件的修改、补充等内容考虑进去，招标人将酌情延长提交投标文件的截止时间，具体时间将在招标文件的修改、补充通知中予以明确。若通知中没有明确延长时间，即表示投标时间不延长。</w:t>
      </w:r>
    </w:p>
    <w:p>
      <w:pPr>
        <w:pageBreakBefore w:val="0"/>
        <w:widowControl w:val="0"/>
        <w:kinsoku/>
        <w:wordWrap/>
        <w:overflowPunct/>
        <w:topLinePunct w:val="0"/>
        <w:autoSpaceDE/>
        <w:autoSpaceDN/>
        <w:bidi w:val="0"/>
        <w:snapToGrid w:val="0"/>
        <w:spacing w:line="400" w:lineRule="exact"/>
        <w:textAlignment w:val="auto"/>
        <w:rPr>
          <w:highlight w:val="none"/>
        </w:rPr>
      </w:pPr>
      <w:bookmarkStart w:id="340" w:name="_Toc7646"/>
      <w:bookmarkStart w:id="341" w:name="_Toc957"/>
      <w:bookmarkStart w:id="342" w:name="_Toc12739"/>
      <w:bookmarkStart w:id="343" w:name="_Toc144974514"/>
      <w:bookmarkStart w:id="344" w:name="_Toc11658"/>
      <w:bookmarkStart w:id="345" w:name="_Toc10591"/>
      <w:bookmarkStart w:id="346" w:name="_Toc51288207"/>
      <w:bookmarkStart w:id="347" w:name="_Toc247527571"/>
      <w:bookmarkStart w:id="348" w:name="_Toc28851"/>
      <w:bookmarkStart w:id="349" w:name="_Toc152045546"/>
      <w:bookmarkStart w:id="350" w:name="_Toc8837"/>
      <w:bookmarkStart w:id="351" w:name="_Toc152042322"/>
      <w:bookmarkStart w:id="352" w:name="_Toc247513970"/>
      <w:bookmarkStart w:id="353" w:name="_Toc19633"/>
      <w:bookmarkStart w:id="354" w:name="_Toc6445"/>
      <w:bookmarkStart w:id="355" w:name="_Toc30522"/>
      <w:r>
        <w:rPr>
          <w:rFonts w:hint="eastAsia"/>
          <w:highlight w:val="none"/>
        </w:rPr>
        <w:t>3. 投标文件</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pPr>
        <w:pageBreakBefore w:val="0"/>
        <w:widowControl w:val="0"/>
        <w:kinsoku/>
        <w:wordWrap/>
        <w:overflowPunct/>
        <w:topLinePunct w:val="0"/>
        <w:autoSpaceDE/>
        <w:autoSpaceDN/>
        <w:bidi w:val="0"/>
        <w:snapToGrid/>
        <w:spacing w:line="360" w:lineRule="auto"/>
        <w:ind w:firstLine="0" w:firstLineChars="0"/>
        <w:textAlignment w:val="auto"/>
        <w:rPr>
          <w:highlight w:val="none"/>
        </w:rPr>
      </w:pPr>
      <w:bookmarkStart w:id="356" w:name="_Toc13993"/>
      <w:bookmarkStart w:id="357" w:name="_Toc15036"/>
      <w:bookmarkStart w:id="358" w:name="_Toc13691"/>
      <w:bookmarkStart w:id="359" w:name="_Toc152042323"/>
      <w:bookmarkStart w:id="360" w:name="_Toc18254"/>
      <w:bookmarkStart w:id="361" w:name="_Toc152045547"/>
      <w:bookmarkStart w:id="362" w:name="_Toc7818"/>
      <w:bookmarkStart w:id="363" w:name="_Toc51288208"/>
      <w:bookmarkStart w:id="364" w:name="_Toc247513971"/>
      <w:bookmarkStart w:id="365" w:name="_Toc144974515"/>
      <w:bookmarkStart w:id="366" w:name="_Toc24740"/>
      <w:bookmarkStart w:id="367" w:name="_Toc28580"/>
      <w:bookmarkStart w:id="368" w:name="_Toc247527572"/>
      <w:bookmarkStart w:id="369" w:name="_Toc7705"/>
      <w:bookmarkStart w:id="370" w:name="_Toc29321"/>
      <w:bookmarkStart w:id="371" w:name="_Toc28860"/>
      <w:r>
        <w:rPr>
          <w:rFonts w:hint="eastAsia"/>
          <w:highlight w:val="none"/>
        </w:rPr>
        <w:t xml:space="preserve">3.1 </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rFonts w:hint="eastAsia" w:ascii="宋体" w:hAnsi="宋体" w:cs="宋体"/>
          <w:color w:val="auto"/>
        </w:rPr>
        <w:t>投标文件由</w:t>
      </w:r>
      <w:r>
        <w:rPr>
          <w:rFonts w:hint="eastAsia" w:ascii="宋体" w:hAnsi="宋体" w:cs="宋体"/>
          <w:color w:val="auto"/>
          <w:lang w:val="en-US" w:eastAsia="zh-CN"/>
        </w:rPr>
        <w:t>投标文件（含</w:t>
      </w:r>
      <w:r>
        <w:rPr>
          <w:rFonts w:hint="eastAsia" w:ascii="宋体" w:hAnsi="宋体" w:cs="宋体"/>
          <w:color w:val="auto"/>
        </w:rPr>
        <w:t>资格审查文件</w:t>
      </w:r>
      <w:r>
        <w:rPr>
          <w:rFonts w:hint="eastAsia" w:ascii="宋体" w:hAnsi="宋体" w:cs="宋体"/>
          <w:color w:val="auto"/>
          <w:lang w:eastAsia="zh-CN"/>
        </w:rPr>
        <w:t>）</w:t>
      </w:r>
      <w:r>
        <w:rPr>
          <w:rFonts w:hint="eastAsia" w:ascii="宋体" w:hAnsi="宋体" w:cs="宋体"/>
          <w:color w:val="auto"/>
        </w:rPr>
        <w:t>、工程总承包实施方案文件（含投标报价）两部分组成，各部分投标文件应分别编制。如招标文件没有格式规定的，由投标人自行编制。</w:t>
      </w:r>
    </w:p>
    <w:p>
      <w:pPr>
        <w:pageBreakBefore w:val="0"/>
        <w:widowControl w:val="0"/>
        <w:kinsoku/>
        <w:wordWrap/>
        <w:overflowPunct/>
        <w:topLinePunct w:val="0"/>
        <w:autoSpaceDE/>
        <w:autoSpaceDN/>
        <w:bidi w:val="0"/>
        <w:snapToGrid w:val="0"/>
        <w:spacing w:line="400" w:lineRule="exact"/>
        <w:textAlignment w:val="auto"/>
        <w:rPr>
          <w:highlight w:val="none"/>
        </w:rPr>
      </w:pPr>
      <w:r>
        <w:rPr>
          <w:rFonts w:hint="eastAsia"/>
          <w:highlight w:val="none"/>
        </w:rPr>
        <w:t>　　3.1.1 投标文件应包括下列内容：</w:t>
      </w:r>
    </w:p>
    <w:p>
      <w:pPr>
        <w:pageBreakBefore w:val="0"/>
        <w:widowControl w:val="0"/>
        <w:kinsoku/>
        <w:wordWrap/>
        <w:overflowPunct/>
        <w:topLinePunct w:val="0"/>
        <w:autoSpaceDE/>
        <w:autoSpaceDN/>
        <w:bidi w:val="0"/>
        <w:adjustRightInd w:val="0"/>
        <w:snapToGrid w:val="0"/>
        <w:spacing w:line="400" w:lineRule="exact"/>
        <w:ind w:firstLine="359" w:firstLineChars="171"/>
        <w:textAlignment w:val="auto"/>
        <w:rPr>
          <w:rFonts w:hint="eastAsia" w:ascii="宋体" w:hAnsi="宋体" w:cs="宋体"/>
          <w:color w:val="auto"/>
          <w:highlight w:val="none"/>
          <w:u w:val="single"/>
        </w:rPr>
      </w:pPr>
      <w:r>
        <w:rPr>
          <w:rFonts w:hint="eastAsia" w:ascii="宋体" w:hAnsi="宋体" w:cs="宋体"/>
          <w:color w:val="auto"/>
          <w:highlight w:val="none"/>
          <w:u w:val="single"/>
        </w:rPr>
        <w:t>（1）投标文件（含资格审查文件）；</w:t>
      </w:r>
    </w:p>
    <w:p>
      <w:pPr>
        <w:pageBreakBefore w:val="0"/>
        <w:widowControl w:val="0"/>
        <w:kinsoku/>
        <w:wordWrap/>
        <w:overflowPunct/>
        <w:topLinePunct w:val="0"/>
        <w:autoSpaceDE/>
        <w:autoSpaceDN/>
        <w:bidi w:val="0"/>
        <w:adjustRightInd w:val="0"/>
        <w:snapToGrid w:val="0"/>
        <w:spacing w:line="400" w:lineRule="exact"/>
        <w:ind w:firstLine="359" w:firstLineChars="171"/>
        <w:textAlignment w:val="auto"/>
        <w:rPr>
          <w:rFonts w:hint="eastAsia" w:ascii="宋体" w:hAnsi="宋体" w:eastAsia="宋体" w:cs="宋体"/>
          <w:color w:val="auto"/>
          <w:sz w:val="21"/>
          <w:szCs w:val="22"/>
          <w:highlight w:val="none"/>
          <w:u w:val="none"/>
          <w:lang w:val="en-US" w:eastAsia="zh-CN" w:bidi="ar-SA"/>
        </w:rPr>
      </w:pPr>
      <w:r>
        <w:rPr>
          <w:rFonts w:hint="eastAsia" w:ascii="宋体" w:hAnsi="宋体" w:cs="宋体"/>
          <w:color w:val="auto"/>
          <w:highlight w:val="none"/>
          <w:u w:val="single"/>
        </w:rPr>
        <w:t>（2）工程总承包实施方案（含投标报价）</w:t>
      </w:r>
      <w:r>
        <w:rPr>
          <w:rFonts w:hint="eastAsia" w:ascii="宋体" w:hAnsi="宋体" w:cs="宋体"/>
          <w:color w:val="auto"/>
          <w:highlight w:val="none"/>
          <w:u w:val="single"/>
          <w:lang w:eastAsia="zh-CN"/>
        </w:rPr>
        <w:t>；</w:t>
      </w:r>
    </w:p>
    <w:p>
      <w:pPr>
        <w:pageBreakBefore w:val="0"/>
        <w:widowControl w:val="0"/>
        <w:kinsoku/>
        <w:wordWrap/>
        <w:overflowPunct/>
        <w:topLinePunct w:val="0"/>
        <w:autoSpaceDE/>
        <w:autoSpaceDN/>
        <w:bidi w:val="0"/>
        <w:snapToGrid w:val="0"/>
        <w:spacing w:line="400" w:lineRule="exact"/>
        <w:ind w:firstLine="359" w:firstLineChars="171"/>
        <w:textAlignment w:val="auto"/>
        <w:rPr>
          <w:highlight w:val="none"/>
        </w:rPr>
      </w:pPr>
      <w:r>
        <w:rPr>
          <w:rFonts w:hint="eastAsia"/>
          <w:highlight w:val="none"/>
        </w:rPr>
        <w:t>3.1.2 投标人须知前附表规定不接受联合体投标的，或投标人没有组成联合体的，投标文件不包括本章第3.1.1目所指的联合体协议书。</w:t>
      </w:r>
    </w:p>
    <w:p>
      <w:pPr>
        <w:pageBreakBefore w:val="0"/>
        <w:widowControl w:val="0"/>
        <w:kinsoku/>
        <w:wordWrap/>
        <w:overflowPunct/>
        <w:topLinePunct w:val="0"/>
        <w:autoSpaceDE/>
        <w:autoSpaceDN/>
        <w:bidi w:val="0"/>
        <w:snapToGrid w:val="0"/>
        <w:spacing w:line="400" w:lineRule="exact"/>
        <w:textAlignment w:val="auto"/>
        <w:rPr>
          <w:highlight w:val="none"/>
        </w:rPr>
      </w:pPr>
      <w:bookmarkStart w:id="372" w:name="_Toc152045548"/>
      <w:bookmarkStart w:id="373" w:name="_Toc8057"/>
      <w:bookmarkStart w:id="374" w:name="_Toc247527573"/>
      <w:bookmarkStart w:id="375" w:name="_Toc10300"/>
      <w:bookmarkStart w:id="376" w:name="_Toc32176"/>
      <w:bookmarkStart w:id="377" w:name="_Toc10560"/>
      <w:bookmarkStart w:id="378" w:name="_Toc247513972"/>
      <w:bookmarkStart w:id="379" w:name="_Toc7369"/>
      <w:bookmarkStart w:id="380" w:name="_Toc15518"/>
      <w:bookmarkStart w:id="381" w:name="_Toc10030"/>
      <w:bookmarkStart w:id="382" w:name="_Toc177"/>
      <w:bookmarkStart w:id="383" w:name="_Toc6008"/>
      <w:bookmarkStart w:id="384" w:name="_Toc8988"/>
      <w:bookmarkStart w:id="385" w:name="_Toc152042324"/>
      <w:bookmarkStart w:id="386" w:name="_Toc144974516"/>
      <w:bookmarkStart w:id="387" w:name="_Toc51288209"/>
      <w:r>
        <w:rPr>
          <w:rFonts w:hint="eastAsia"/>
          <w:highlight w:val="none"/>
        </w:rPr>
        <w:t>3.2 投标报价</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3.2.1 投标人应按第七章“投标文件格式”的要求填写价格清单。</w:t>
      </w:r>
    </w:p>
    <w:p>
      <w:pPr>
        <w:pageBreakBefore w:val="0"/>
        <w:widowControl w:val="0"/>
        <w:kinsoku/>
        <w:wordWrap/>
        <w:overflowPunct/>
        <w:topLinePunct w:val="0"/>
        <w:autoSpaceDE/>
        <w:autoSpaceDN/>
        <w:bidi w:val="0"/>
        <w:snapToGrid w:val="0"/>
        <w:spacing w:line="400" w:lineRule="exact"/>
        <w:ind w:firstLine="420" w:firstLineChars="200"/>
        <w:textAlignment w:val="auto"/>
        <w:rPr>
          <w:szCs w:val="21"/>
          <w:highlight w:val="none"/>
        </w:rPr>
      </w:pPr>
      <w:r>
        <w:rPr>
          <w:rFonts w:hint="eastAsia"/>
          <w:highlight w:val="none"/>
        </w:rPr>
        <w:t xml:space="preserve">3.2.2 </w:t>
      </w:r>
      <w:r>
        <w:rPr>
          <w:rFonts w:hint="eastAsia"/>
          <w:szCs w:val="21"/>
          <w:highlight w:val="none"/>
        </w:rPr>
        <w:t>投标人应充分了解施工场地的</w:t>
      </w:r>
      <w:r>
        <w:rPr>
          <w:szCs w:val="21"/>
          <w:highlight w:val="none"/>
        </w:rPr>
        <w:t>位置、周边</w:t>
      </w:r>
      <w:r>
        <w:rPr>
          <w:rFonts w:hint="eastAsia"/>
          <w:szCs w:val="21"/>
          <w:highlight w:val="none"/>
        </w:rPr>
        <w:t>环境</w:t>
      </w:r>
      <w:r>
        <w:rPr>
          <w:szCs w:val="21"/>
          <w:highlight w:val="none"/>
        </w:rPr>
        <w:t>、道路、装卸、保管、安装限制</w:t>
      </w:r>
      <w:r>
        <w:rPr>
          <w:rFonts w:hint="eastAsia"/>
          <w:szCs w:val="21"/>
          <w:highlight w:val="none"/>
        </w:rPr>
        <w:t>以</w:t>
      </w:r>
      <w:r>
        <w:rPr>
          <w:szCs w:val="21"/>
          <w:highlight w:val="none"/>
        </w:rPr>
        <w:t>及影响</w:t>
      </w:r>
      <w:r>
        <w:rPr>
          <w:rFonts w:hint="eastAsia"/>
          <w:szCs w:val="21"/>
          <w:highlight w:val="none"/>
        </w:rPr>
        <w:t>投标报价的其他要素。投标人</w:t>
      </w:r>
      <w:r>
        <w:rPr>
          <w:szCs w:val="21"/>
          <w:highlight w:val="none"/>
        </w:rPr>
        <w:t>根据</w:t>
      </w:r>
      <w:r>
        <w:rPr>
          <w:rFonts w:hint="eastAsia"/>
          <w:szCs w:val="21"/>
          <w:highlight w:val="none"/>
        </w:rPr>
        <w:t>投标</w:t>
      </w:r>
      <w:r>
        <w:rPr>
          <w:szCs w:val="21"/>
          <w:highlight w:val="none"/>
        </w:rPr>
        <w:t>设计</w:t>
      </w:r>
      <w:r>
        <w:rPr>
          <w:rFonts w:hint="eastAsia"/>
          <w:szCs w:val="21"/>
          <w:highlight w:val="none"/>
        </w:rPr>
        <w:t>，结合</w:t>
      </w:r>
      <w:r>
        <w:rPr>
          <w:szCs w:val="21"/>
          <w:highlight w:val="none"/>
        </w:rPr>
        <w:t>市场情况进行投标报价。</w:t>
      </w:r>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3.2.3 投标人在投标截止时间前修改投标函中的投标报价总额，应同时修改投标文件“价格清单”中的相应报价，投标报价总额为各分项金额之和。此修改须符合本章第4.3款的有关要求。</w:t>
      </w:r>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3.2.4 招标人设有最高投标限价的，投标人的投标报价不得超过最高投标限价，最高投标限价或其计算方法在投标人须知前附表中载明。</w:t>
      </w:r>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3.2.5 投标报价的其他要求见投标人须知前附表。</w:t>
      </w:r>
    </w:p>
    <w:p>
      <w:pPr>
        <w:pageBreakBefore w:val="0"/>
        <w:widowControl w:val="0"/>
        <w:kinsoku/>
        <w:wordWrap/>
        <w:overflowPunct/>
        <w:topLinePunct w:val="0"/>
        <w:autoSpaceDE/>
        <w:autoSpaceDN/>
        <w:bidi w:val="0"/>
        <w:snapToGrid w:val="0"/>
        <w:spacing w:line="400" w:lineRule="exact"/>
        <w:textAlignment w:val="auto"/>
        <w:rPr>
          <w:highlight w:val="none"/>
        </w:rPr>
      </w:pPr>
      <w:bookmarkStart w:id="388" w:name="_Toc15856"/>
      <w:bookmarkStart w:id="389" w:name="_Toc19002"/>
      <w:bookmarkStart w:id="390" w:name="_Toc152042325"/>
      <w:bookmarkStart w:id="391" w:name="_Toc30782"/>
      <w:bookmarkStart w:id="392" w:name="_Toc10606"/>
      <w:bookmarkStart w:id="393" w:name="_Toc152045549"/>
      <w:bookmarkStart w:id="394" w:name="_Toc14175"/>
      <w:bookmarkStart w:id="395" w:name="_Toc51288210"/>
      <w:bookmarkStart w:id="396" w:name="_Toc247527574"/>
      <w:bookmarkStart w:id="397" w:name="_Toc247513973"/>
      <w:bookmarkStart w:id="398" w:name="_Toc28195"/>
      <w:bookmarkStart w:id="399" w:name="_Toc23370"/>
      <w:bookmarkStart w:id="400" w:name="_Toc9083"/>
      <w:bookmarkStart w:id="401" w:name="_Toc29319"/>
      <w:bookmarkStart w:id="402" w:name="_Toc5149"/>
      <w:bookmarkStart w:id="403" w:name="_Toc144974517"/>
      <w:r>
        <w:rPr>
          <w:rFonts w:hint="eastAsia"/>
          <w:highlight w:val="none"/>
        </w:rPr>
        <w:t>3.3 投标有效期</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3.3.1 投标有效期</w:t>
      </w:r>
      <w:r>
        <w:rPr>
          <w:rFonts w:hint="eastAsia"/>
          <w:highlight w:val="none"/>
          <w:u w:val="single"/>
        </w:rPr>
        <w:t>按须知前附表的规定</w:t>
      </w:r>
      <w:r>
        <w:rPr>
          <w:rFonts w:hint="eastAsia"/>
          <w:highlight w:val="none"/>
        </w:rPr>
        <w:t>。</w:t>
      </w:r>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3.3.2 在投标有效期内，投标人撤销或修改其投标文件的，应承担招标文件和法律规定的责任。</w:t>
      </w:r>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ageBreakBefore w:val="0"/>
        <w:widowControl w:val="0"/>
        <w:kinsoku/>
        <w:wordWrap/>
        <w:overflowPunct/>
        <w:topLinePunct w:val="0"/>
        <w:autoSpaceDE/>
        <w:autoSpaceDN/>
        <w:bidi w:val="0"/>
        <w:snapToGrid w:val="0"/>
        <w:spacing w:line="400" w:lineRule="exact"/>
        <w:textAlignment w:val="auto"/>
        <w:rPr>
          <w:highlight w:val="none"/>
        </w:rPr>
      </w:pPr>
      <w:bookmarkStart w:id="404" w:name="_Toc27674"/>
      <w:bookmarkStart w:id="405" w:name="_Toc24311"/>
      <w:bookmarkStart w:id="406" w:name="_Toc28727"/>
      <w:bookmarkStart w:id="407" w:name="_Toc152042326"/>
      <w:bookmarkStart w:id="408" w:name="_Toc51288211"/>
      <w:bookmarkStart w:id="409" w:name="_Toc247527575"/>
      <w:bookmarkStart w:id="410" w:name="_Toc144974518"/>
      <w:bookmarkStart w:id="411" w:name="_Toc5311"/>
      <w:bookmarkStart w:id="412" w:name="_Toc18550"/>
      <w:bookmarkStart w:id="413" w:name="_Toc247513974"/>
      <w:bookmarkStart w:id="414" w:name="_Toc16663"/>
      <w:bookmarkStart w:id="415" w:name="_Toc152045550"/>
      <w:bookmarkStart w:id="416" w:name="_Toc12560"/>
      <w:bookmarkStart w:id="417" w:name="_Toc28115"/>
      <w:bookmarkStart w:id="418" w:name="_Toc23919"/>
      <w:bookmarkStart w:id="419" w:name="_Toc32442"/>
      <w:r>
        <w:rPr>
          <w:rFonts w:hint="eastAsia"/>
          <w:highlight w:val="none"/>
        </w:rPr>
        <w:t>3.4 投标保证金</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3.4.1 投标人在递交投标文件的同时，应按投标人须知前附表规定的金额、担保形式和第七章“投标文件格式”规定的投标保证金格式递交投标保证金，并作为其投标文件的组成部分。联合体投标的，其投标保证金由牵头方递交，并应符合投标人须知前附表的规定。</w:t>
      </w:r>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3.4.2 投标人不按本章第3.4.1项要求提交投标保证金的，评标委员会将否决其投标。</w:t>
      </w:r>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3.4.3 招标人与中标人签订合同后5日内，向未中标的投标人和中标人退还投标保证金。</w:t>
      </w:r>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3.4.4 有下列情形之一的，投标保证金将不予退还：</w:t>
      </w:r>
    </w:p>
    <w:p>
      <w:pPr>
        <w:pageBreakBefore w:val="0"/>
        <w:widowControl w:val="0"/>
        <w:kinsoku/>
        <w:wordWrap/>
        <w:overflowPunct/>
        <w:topLinePunct w:val="0"/>
        <w:autoSpaceDE/>
        <w:autoSpaceDN/>
        <w:bidi w:val="0"/>
        <w:snapToGrid w:val="0"/>
        <w:spacing w:line="400" w:lineRule="exact"/>
        <w:ind w:firstLine="315" w:firstLineChars="150"/>
        <w:textAlignment w:val="auto"/>
        <w:rPr>
          <w:highlight w:val="none"/>
        </w:rPr>
      </w:pPr>
      <w:r>
        <w:rPr>
          <w:rFonts w:hint="eastAsia"/>
          <w:highlight w:val="none"/>
        </w:rPr>
        <w:t>（1）投标人在规定的投标有效期内撤销或修改其投标文件；</w:t>
      </w:r>
    </w:p>
    <w:p>
      <w:pPr>
        <w:pageBreakBefore w:val="0"/>
        <w:widowControl w:val="0"/>
        <w:kinsoku/>
        <w:wordWrap/>
        <w:overflowPunct/>
        <w:topLinePunct w:val="0"/>
        <w:autoSpaceDE/>
        <w:autoSpaceDN/>
        <w:bidi w:val="0"/>
        <w:snapToGrid w:val="0"/>
        <w:spacing w:line="400" w:lineRule="exact"/>
        <w:ind w:firstLine="315" w:firstLineChars="150"/>
        <w:textAlignment w:val="auto"/>
        <w:rPr>
          <w:highlight w:val="none"/>
        </w:rPr>
      </w:pPr>
      <w:r>
        <w:rPr>
          <w:rFonts w:hint="eastAsia"/>
          <w:highlight w:val="none"/>
        </w:rPr>
        <w:t>（2）中标人在收到中标通知书后，无正当理由拒签合同或未按招标文件规定提交履约担保。</w:t>
      </w:r>
    </w:p>
    <w:p>
      <w:pPr>
        <w:pageBreakBefore w:val="0"/>
        <w:widowControl w:val="0"/>
        <w:kinsoku/>
        <w:wordWrap/>
        <w:overflowPunct/>
        <w:topLinePunct w:val="0"/>
        <w:autoSpaceDE/>
        <w:autoSpaceDN/>
        <w:bidi w:val="0"/>
        <w:snapToGrid w:val="0"/>
        <w:spacing w:line="400" w:lineRule="exact"/>
        <w:textAlignment w:val="auto"/>
        <w:rPr>
          <w:highlight w:val="none"/>
        </w:rPr>
      </w:pPr>
      <w:bookmarkStart w:id="420" w:name="_Toc247513976"/>
      <w:bookmarkStart w:id="421" w:name="_Toc5836"/>
      <w:bookmarkStart w:id="422" w:name="_Toc51288212"/>
      <w:bookmarkStart w:id="423" w:name="_Toc13218"/>
      <w:bookmarkStart w:id="424" w:name="_Toc144974520"/>
      <w:bookmarkStart w:id="425" w:name="_Toc904"/>
      <w:bookmarkStart w:id="426" w:name="_Toc17864"/>
      <w:bookmarkStart w:id="427" w:name="_Toc22371"/>
      <w:bookmarkStart w:id="428" w:name="_Toc27876"/>
      <w:bookmarkStart w:id="429" w:name="_Toc29759"/>
      <w:bookmarkStart w:id="430" w:name="_Toc1884"/>
      <w:bookmarkStart w:id="431" w:name="_Toc152042328"/>
      <w:bookmarkStart w:id="432" w:name="_Toc152045552"/>
      <w:bookmarkStart w:id="433" w:name="_Toc8224"/>
      <w:bookmarkStart w:id="434" w:name="_Toc25985"/>
      <w:bookmarkStart w:id="435" w:name="_Toc247527577"/>
      <w:r>
        <w:rPr>
          <w:rFonts w:hint="eastAsia"/>
          <w:highlight w:val="none"/>
        </w:rPr>
        <w:t>3.5 资格审查资料</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pPr>
        <w:pageBreakBefore w:val="0"/>
        <w:widowControl w:val="0"/>
        <w:kinsoku/>
        <w:wordWrap/>
        <w:overflowPunct/>
        <w:topLinePunct w:val="0"/>
        <w:autoSpaceDE/>
        <w:autoSpaceDN/>
        <w:bidi w:val="0"/>
        <w:snapToGrid w:val="0"/>
        <w:spacing w:line="400" w:lineRule="exact"/>
        <w:ind w:firstLine="420" w:firstLineChars="200"/>
        <w:textAlignment w:val="auto"/>
        <w:rPr>
          <w:bCs/>
          <w:highlight w:val="none"/>
        </w:rPr>
      </w:pPr>
      <w:r>
        <w:rPr>
          <w:rFonts w:hint="eastAsia"/>
          <w:bCs/>
          <w:highlight w:val="none"/>
        </w:rPr>
        <w:t>本项目采用电子化资格后审，由评标委员会负责对投标人的资格进行审查，评标时只对通过资格审查的投标人进行下一阶段的评审。</w:t>
      </w:r>
    </w:p>
    <w:p>
      <w:pPr>
        <w:pageBreakBefore w:val="0"/>
        <w:widowControl w:val="0"/>
        <w:kinsoku/>
        <w:wordWrap/>
        <w:overflowPunct/>
        <w:topLinePunct w:val="0"/>
        <w:autoSpaceDE/>
        <w:autoSpaceDN/>
        <w:bidi w:val="0"/>
        <w:snapToGrid w:val="0"/>
        <w:spacing w:line="400" w:lineRule="exact"/>
        <w:ind w:firstLine="420" w:firstLineChars="200"/>
        <w:textAlignment w:val="auto"/>
        <w:rPr>
          <w:bCs/>
          <w:color w:val="auto"/>
          <w:highlight w:val="none"/>
        </w:rPr>
      </w:pPr>
      <w:r>
        <w:rPr>
          <w:rFonts w:hint="eastAsia"/>
          <w:bCs/>
          <w:highlight w:val="none"/>
        </w:rPr>
        <w:t>资审合格后，投标人的资格发生变化而不满足投标人合格条件，在发出中标通知书前，资格问题仍未解决的，招标人将取消其中标资格。</w:t>
      </w:r>
    </w:p>
    <w:p>
      <w:pPr>
        <w:pageBreakBefore w:val="0"/>
        <w:widowControl w:val="0"/>
        <w:kinsoku/>
        <w:wordWrap/>
        <w:overflowPunct/>
        <w:topLinePunct w:val="0"/>
        <w:autoSpaceDE/>
        <w:autoSpaceDN/>
        <w:bidi w:val="0"/>
        <w:snapToGrid w:val="0"/>
        <w:spacing w:line="400" w:lineRule="exact"/>
        <w:textAlignment w:val="auto"/>
        <w:rPr>
          <w:highlight w:val="none"/>
        </w:rPr>
      </w:pPr>
      <w:bookmarkStart w:id="436" w:name="_Toc152045553"/>
      <w:bookmarkStart w:id="437" w:name="_Toc51288213"/>
      <w:bookmarkStart w:id="438" w:name="_Toc24167"/>
      <w:bookmarkStart w:id="439" w:name="_Toc247513977"/>
      <w:bookmarkStart w:id="440" w:name="_Toc1518"/>
      <w:bookmarkStart w:id="441" w:name="_Toc144974521"/>
      <w:bookmarkStart w:id="442" w:name="_Toc19323"/>
      <w:bookmarkStart w:id="443" w:name="_Toc2526"/>
      <w:bookmarkStart w:id="444" w:name="_Toc1058"/>
      <w:bookmarkStart w:id="445" w:name="_Toc3709"/>
      <w:bookmarkStart w:id="446" w:name="_Toc28175"/>
      <w:bookmarkStart w:id="447" w:name="_Toc247527578"/>
      <w:bookmarkStart w:id="448" w:name="_Toc22291"/>
      <w:bookmarkStart w:id="449" w:name="_Toc152042329"/>
      <w:bookmarkStart w:id="450" w:name="_Toc13842"/>
      <w:bookmarkStart w:id="451" w:name="_Toc10768"/>
      <w:r>
        <w:rPr>
          <w:rFonts w:hint="eastAsia"/>
          <w:highlight w:val="none"/>
        </w:rPr>
        <w:t>3.6 备选投标方案</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ageBreakBefore w:val="0"/>
        <w:widowControl w:val="0"/>
        <w:kinsoku/>
        <w:wordWrap/>
        <w:overflowPunct/>
        <w:topLinePunct w:val="0"/>
        <w:autoSpaceDE/>
        <w:autoSpaceDN/>
        <w:bidi w:val="0"/>
        <w:snapToGrid w:val="0"/>
        <w:spacing w:line="400" w:lineRule="exact"/>
        <w:textAlignment w:val="auto"/>
        <w:rPr>
          <w:highlight w:val="none"/>
        </w:rPr>
      </w:pPr>
      <w:bookmarkStart w:id="452" w:name="_Toc152045554"/>
      <w:bookmarkStart w:id="453" w:name="_Toc15232"/>
      <w:bookmarkStart w:id="454" w:name="_Toc247527579"/>
      <w:bookmarkStart w:id="455" w:name="_Toc5150"/>
      <w:bookmarkStart w:id="456" w:name="_Toc2672"/>
      <w:bookmarkStart w:id="457" w:name="_Toc18430"/>
      <w:bookmarkStart w:id="458" w:name="_Toc247513978"/>
      <w:bookmarkStart w:id="459" w:name="_Toc5224"/>
      <w:bookmarkStart w:id="460" w:name="_Toc144974522"/>
      <w:bookmarkStart w:id="461" w:name="_Toc14561"/>
      <w:bookmarkStart w:id="462" w:name="_Toc8474"/>
      <w:bookmarkStart w:id="463" w:name="_Toc19591"/>
      <w:bookmarkStart w:id="464" w:name="_Toc877"/>
      <w:bookmarkStart w:id="465" w:name="_Toc23878"/>
      <w:bookmarkStart w:id="466" w:name="_Toc51288214"/>
      <w:bookmarkStart w:id="467" w:name="_Toc152042330"/>
      <w:r>
        <w:rPr>
          <w:rFonts w:hint="eastAsia"/>
          <w:highlight w:val="none"/>
        </w:rPr>
        <w:t>3.7 投标文件的编制</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pPr>
        <w:pageBreakBefore w:val="0"/>
        <w:widowControl w:val="0"/>
        <w:kinsoku/>
        <w:wordWrap/>
        <w:overflowPunct/>
        <w:topLinePunct w:val="0"/>
        <w:autoSpaceDE/>
        <w:autoSpaceDN/>
        <w:bidi w:val="0"/>
        <w:snapToGrid w:val="0"/>
        <w:spacing w:line="400" w:lineRule="exact"/>
        <w:ind w:firstLine="420" w:firstLineChars="200"/>
        <w:textAlignment w:val="auto"/>
        <w:rPr>
          <w:rFonts w:ascii="宋体"/>
          <w:szCs w:val="21"/>
          <w:highlight w:val="none"/>
        </w:rPr>
      </w:pPr>
      <w:r>
        <w:rPr>
          <w:rFonts w:hint="eastAsia" w:ascii="宋体"/>
          <w:szCs w:val="21"/>
          <w:highlight w:val="none"/>
        </w:rPr>
        <w:t>3.7.1投标文件应按第四章“投标文件格式”进行编写，如有必要，可以增加附页，作为投标文件的组成部分。</w:t>
      </w:r>
    </w:p>
    <w:p>
      <w:pPr>
        <w:pageBreakBefore w:val="0"/>
        <w:widowControl w:val="0"/>
        <w:kinsoku/>
        <w:wordWrap/>
        <w:overflowPunct/>
        <w:topLinePunct w:val="0"/>
        <w:autoSpaceDE/>
        <w:autoSpaceDN/>
        <w:bidi w:val="0"/>
        <w:snapToGrid w:val="0"/>
        <w:spacing w:line="400" w:lineRule="exact"/>
        <w:ind w:firstLine="420" w:firstLineChars="200"/>
        <w:textAlignment w:val="auto"/>
        <w:rPr>
          <w:rFonts w:ascii="宋体"/>
          <w:szCs w:val="21"/>
          <w:highlight w:val="none"/>
        </w:rPr>
      </w:pPr>
      <w:r>
        <w:rPr>
          <w:rFonts w:hint="eastAsia" w:ascii="宋体"/>
          <w:szCs w:val="21"/>
          <w:highlight w:val="none"/>
        </w:rPr>
        <w:t>3.7.2投标文件的组成按投标人须知前附表规定。</w:t>
      </w:r>
    </w:p>
    <w:p>
      <w:pPr>
        <w:pageBreakBefore w:val="0"/>
        <w:widowControl w:val="0"/>
        <w:kinsoku/>
        <w:wordWrap/>
        <w:overflowPunct/>
        <w:topLinePunct w:val="0"/>
        <w:autoSpaceDE/>
        <w:autoSpaceDN/>
        <w:bidi w:val="0"/>
        <w:snapToGrid w:val="0"/>
        <w:spacing w:line="400" w:lineRule="exact"/>
        <w:ind w:firstLine="422" w:firstLineChars="200"/>
        <w:textAlignment w:val="auto"/>
        <w:rPr>
          <w:highlight w:val="none"/>
        </w:rPr>
      </w:pPr>
      <w:r>
        <w:rPr>
          <w:rFonts w:hint="eastAsia" w:ascii="宋体"/>
          <w:b/>
          <w:highlight w:val="none"/>
        </w:rPr>
        <w:t>3.7.3 投标文件编制要求：</w:t>
      </w:r>
    </w:p>
    <w:p>
      <w:pPr>
        <w:pageBreakBefore w:val="0"/>
        <w:widowControl w:val="0"/>
        <w:kinsoku/>
        <w:wordWrap/>
        <w:overflowPunct/>
        <w:topLinePunct w:val="0"/>
        <w:autoSpaceDE/>
        <w:autoSpaceDN/>
        <w:bidi w:val="0"/>
        <w:snapToGrid w:val="0"/>
        <w:spacing w:line="400" w:lineRule="exact"/>
        <w:ind w:firstLine="420" w:firstLineChars="200"/>
        <w:textAlignment w:val="auto"/>
        <w:rPr>
          <w:rFonts w:ascii="宋体"/>
          <w:highlight w:val="none"/>
          <w:u w:val="single"/>
        </w:rPr>
      </w:pPr>
      <w:r>
        <w:rPr>
          <w:rFonts w:hint="eastAsia" w:ascii="宋体"/>
          <w:highlight w:val="none"/>
          <w:u w:val="single"/>
        </w:rPr>
        <w:t>投标文件</w:t>
      </w:r>
      <w:r>
        <w:rPr>
          <w:rFonts w:hint="eastAsia" w:ascii="宋体" w:cs="宋体"/>
          <w:szCs w:val="21"/>
          <w:highlight w:val="none"/>
          <w:u w:val="single"/>
        </w:rPr>
        <w:t>全部采用电子文档，投标文件所附证书证件均为原件清晰扫描件，并采用单位数字证书，按招标文件要求在相应位置加盖电子印章。</w:t>
      </w:r>
      <w:r>
        <w:rPr>
          <w:rFonts w:hint="eastAsia" w:ascii="宋体" w:cs="宋体"/>
          <w:b/>
          <w:bCs/>
          <w:szCs w:val="21"/>
          <w:highlight w:val="none"/>
          <w:u w:val="single"/>
        </w:rPr>
        <w:t>投标文件中需个人签字或盖章的，应加盖个人电子印章或在线下完成后扫描上传。</w:t>
      </w:r>
      <w:r>
        <w:rPr>
          <w:rFonts w:hint="eastAsia" w:ascii="宋体"/>
          <w:highlight w:val="none"/>
          <w:u w:val="single"/>
        </w:rPr>
        <w:t>投标文件应尽量避免涂改、行间插字或删除。如果出现上述情况，改动之处应加盖单位章或由投标人的法定代表人或其授权的代理人签字</w:t>
      </w:r>
      <w:r>
        <w:rPr>
          <w:rFonts w:hint="eastAsia" w:ascii="宋体"/>
          <w:szCs w:val="21"/>
          <w:highlight w:val="none"/>
          <w:u w:val="single"/>
        </w:rPr>
        <w:t>或盖章</w:t>
      </w:r>
      <w:r>
        <w:rPr>
          <w:rFonts w:hint="eastAsia" w:ascii="宋体"/>
          <w:highlight w:val="none"/>
          <w:u w:val="single"/>
        </w:rPr>
        <w:t>确认。</w:t>
      </w:r>
    </w:p>
    <w:p>
      <w:pPr>
        <w:pageBreakBefore w:val="0"/>
        <w:widowControl w:val="0"/>
        <w:kinsoku/>
        <w:wordWrap/>
        <w:overflowPunct/>
        <w:topLinePunct w:val="0"/>
        <w:autoSpaceDE/>
        <w:autoSpaceDN/>
        <w:bidi w:val="0"/>
        <w:snapToGrid w:val="0"/>
        <w:spacing w:line="400" w:lineRule="exact"/>
        <w:ind w:firstLine="422" w:firstLineChars="200"/>
        <w:textAlignment w:val="auto"/>
        <w:rPr>
          <w:highlight w:val="none"/>
        </w:rPr>
      </w:pPr>
      <w:r>
        <w:rPr>
          <w:rFonts w:hint="eastAsia" w:ascii="宋体"/>
          <w:b/>
          <w:szCs w:val="21"/>
          <w:highlight w:val="none"/>
          <w:u w:val="single"/>
        </w:rPr>
        <w:t>3.7.4如联合体投标的，以上资料除联合体投标协议书需联合体各方分别按要求签字和盖章</w:t>
      </w:r>
      <w:r>
        <w:rPr>
          <w:rFonts w:hint="eastAsia" w:ascii="宋体"/>
          <w:b/>
          <w:szCs w:val="21"/>
          <w:highlight w:val="none"/>
          <w:u w:val="single"/>
          <w:lang w:val="en-US" w:eastAsia="zh-CN"/>
        </w:rPr>
        <w:t>外</w:t>
      </w:r>
      <w:r>
        <w:rPr>
          <w:rFonts w:hint="eastAsia" w:ascii="宋体"/>
          <w:b/>
          <w:szCs w:val="21"/>
          <w:highlight w:val="none"/>
          <w:u w:val="single"/>
          <w:lang w:eastAsia="zh-CN"/>
        </w:rPr>
        <w:t>，</w:t>
      </w:r>
      <w:r>
        <w:rPr>
          <w:rFonts w:hint="eastAsia" w:ascii="宋体"/>
          <w:b/>
          <w:szCs w:val="21"/>
          <w:highlight w:val="none"/>
          <w:u w:val="single"/>
        </w:rPr>
        <w:t>其他资料若需要签字或盖章的均可由联合体</w:t>
      </w:r>
      <w:r>
        <w:rPr>
          <w:rFonts w:hint="eastAsia" w:ascii="宋体"/>
          <w:b/>
          <w:highlight w:val="none"/>
          <w:u w:val="single"/>
          <w:lang w:eastAsia="zh-CN"/>
        </w:rPr>
        <w:t>牵头方</w:t>
      </w:r>
      <w:r>
        <w:rPr>
          <w:rFonts w:hint="eastAsia" w:ascii="宋体"/>
          <w:b/>
          <w:szCs w:val="21"/>
          <w:highlight w:val="none"/>
          <w:u w:val="single"/>
        </w:rPr>
        <w:t>签字或盖章。</w:t>
      </w:r>
      <w:r>
        <w:rPr>
          <w:rFonts w:hint="eastAsia" w:ascii="宋体" w:cs="宋体"/>
          <w:b/>
          <w:bCs/>
          <w:szCs w:val="21"/>
          <w:highlight w:val="none"/>
          <w:u w:val="single"/>
        </w:rPr>
        <w:t>投标文件中需个人签字或盖章的，应加盖个人电子印章或在线下完成后扫描上传。</w:t>
      </w:r>
      <w:r>
        <w:rPr>
          <w:rFonts w:hint="eastAsia" w:ascii="宋体"/>
          <w:b/>
          <w:szCs w:val="21"/>
          <w:highlight w:val="none"/>
          <w:u w:val="single"/>
        </w:rPr>
        <w:t>资审文件、工程总承包实施方案投标文件封面及其他内容及落款中的“投标人”应填写联合体各方的单位全称【格式表示为：(主)XXXX公司(成)XXXX公司】，并由联合体</w:t>
      </w:r>
      <w:r>
        <w:rPr>
          <w:rFonts w:hint="eastAsia" w:ascii="宋体"/>
          <w:b/>
          <w:szCs w:val="21"/>
          <w:highlight w:val="none"/>
          <w:u w:val="single"/>
          <w:lang w:eastAsia="zh-CN"/>
        </w:rPr>
        <w:t>牵头方</w:t>
      </w:r>
      <w:r>
        <w:rPr>
          <w:rFonts w:hint="eastAsia" w:ascii="宋体"/>
          <w:b/>
          <w:szCs w:val="21"/>
          <w:highlight w:val="none"/>
          <w:u w:val="single"/>
        </w:rPr>
        <w:t>签字或盖章即可。</w:t>
      </w:r>
    </w:p>
    <w:p>
      <w:pPr>
        <w:pageBreakBefore w:val="0"/>
        <w:widowControl w:val="0"/>
        <w:kinsoku/>
        <w:wordWrap/>
        <w:overflowPunct/>
        <w:topLinePunct w:val="0"/>
        <w:autoSpaceDE/>
        <w:autoSpaceDN/>
        <w:bidi w:val="0"/>
        <w:snapToGrid w:val="0"/>
        <w:spacing w:line="400" w:lineRule="exact"/>
        <w:textAlignment w:val="auto"/>
        <w:rPr>
          <w:highlight w:val="none"/>
        </w:rPr>
      </w:pPr>
      <w:bookmarkStart w:id="468" w:name="_Toc10370"/>
      <w:bookmarkStart w:id="469" w:name="_Toc247513979"/>
      <w:bookmarkStart w:id="470" w:name="_Toc51288215"/>
      <w:bookmarkStart w:id="471" w:name="_Toc8124"/>
      <w:bookmarkStart w:id="472" w:name="_Toc4388"/>
      <w:bookmarkStart w:id="473" w:name="_Toc2008"/>
      <w:bookmarkStart w:id="474" w:name="_Toc22285"/>
      <w:bookmarkStart w:id="475" w:name="_Toc19007"/>
      <w:bookmarkStart w:id="476" w:name="_Toc9242"/>
      <w:bookmarkStart w:id="477" w:name="_Toc21971"/>
      <w:bookmarkStart w:id="478" w:name="_Toc247527580"/>
      <w:bookmarkStart w:id="479" w:name="_Toc5788"/>
      <w:bookmarkStart w:id="480" w:name="_Toc2000"/>
      <w:bookmarkStart w:id="481" w:name="_Toc152045555"/>
      <w:bookmarkStart w:id="482" w:name="_Toc144974523"/>
      <w:bookmarkStart w:id="483" w:name="_Toc152042331"/>
      <w:r>
        <w:rPr>
          <w:rFonts w:hint="eastAsia"/>
          <w:highlight w:val="none"/>
        </w:rPr>
        <w:t>4</w:t>
      </w:r>
      <w:r>
        <w:rPr>
          <w:highlight w:val="none"/>
        </w:rPr>
        <w:t xml:space="preserve">. </w:t>
      </w:r>
      <w:r>
        <w:rPr>
          <w:rFonts w:hint="eastAsia"/>
          <w:highlight w:val="none"/>
        </w:rPr>
        <w:t>投标</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pPr>
        <w:pageBreakBefore w:val="0"/>
        <w:widowControl w:val="0"/>
        <w:kinsoku/>
        <w:wordWrap/>
        <w:overflowPunct/>
        <w:topLinePunct w:val="0"/>
        <w:autoSpaceDE/>
        <w:autoSpaceDN/>
        <w:bidi w:val="0"/>
        <w:snapToGrid w:val="0"/>
        <w:spacing w:line="400" w:lineRule="exact"/>
        <w:textAlignment w:val="auto"/>
        <w:rPr>
          <w:rFonts w:ascii="宋体" w:cs="宋体"/>
          <w:b/>
          <w:bCs/>
          <w:sz w:val="21"/>
          <w:szCs w:val="21"/>
          <w:highlight w:val="none"/>
          <w:lang w:val="zh-CN"/>
        </w:rPr>
      </w:pPr>
      <w:r>
        <w:rPr>
          <w:rFonts w:hint="eastAsia"/>
          <w:highlight w:val="none"/>
        </w:rPr>
        <w:t xml:space="preserve"> </w:t>
      </w:r>
      <w:bookmarkStart w:id="484" w:name="_Toc24360"/>
      <w:bookmarkStart w:id="485" w:name="_Toc23766"/>
      <w:r>
        <w:rPr>
          <w:rFonts w:hint="eastAsia" w:ascii="宋体" w:cs="宋体"/>
          <w:b/>
          <w:bCs/>
          <w:sz w:val="21"/>
          <w:szCs w:val="21"/>
          <w:highlight w:val="none"/>
          <w:lang w:val="zh-CN"/>
        </w:rPr>
        <w:t>4.</w:t>
      </w:r>
      <w:r>
        <w:rPr>
          <w:rFonts w:hint="eastAsia" w:ascii="宋体" w:cs="宋体"/>
          <w:b/>
          <w:bCs/>
          <w:sz w:val="21"/>
          <w:szCs w:val="21"/>
          <w:highlight w:val="none"/>
        </w:rPr>
        <w:t>1</w:t>
      </w:r>
      <w:r>
        <w:rPr>
          <w:rFonts w:hint="eastAsia" w:ascii="宋体" w:cs="宋体"/>
          <w:b/>
          <w:bCs/>
          <w:sz w:val="21"/>
          <w:szCs w:val="21"/>
          <w:highlight w:val="none"/>
          <w:lang w:val="zh-CN"/>
        </w:rPr>
        <w:t xml:space="preserve"> 投标文件的加密</w:t>
      </w:r>
      <w:bookmarkEnd w:id="484"/>
      <w:bookmarkEnd w:id="485"/>
    </w:p>
    <w:p>
      <w:pPr>
        <w:pageBreakBefore w:val="0"/>
        <w:widowControl w:val="0"/>
        <w:kinsoku/>
        <w:wordWrap/>
        <w:overflowPunct/>
        <w:topLinePunct w:val="0"/>
        <w:autoSpaceDE/>
        <w:autoSpaceDN/>
        <w:bidi w:val="0"/>
        <w:snapToGrid w:val="0"/>
        <w:spacing w:line="400" w:lineRule="exact"/>
        <w:ind w:firstLine="420" w:firstLineChars="200"/>
        <w:textAlignment w:val="auto"/>
        <w:rPr>
          <w:rFonts w:ascii="宋体" w:cs="宋体"/>
          <w:bCs/>
          <w:szCs w:val="21"/>
          <w:highlight w:val="none"/>
        </w:rPr>
      </w:pPr>
      <w:r>
        <w:rPr>
          <w:rFonts w:hint="eastAsia" w:ascii="宋体" w:cs="宋体"/>
          <w:bCs/>
          <w:szCs w:val="21"/>
          <w:highlight w:val="none"/>
        </w:rPr>
        <w:t>4.1.1递交的电子投标文件必须进行加密。按照广州公共资源交易平台关于</w:t>
      </w:r>
      <w:r>
        <w:rPr>
          <w:rFonts w:hint="eastAsia" w:ascii="宋体" w:cs="宋体"/>
          <w:b/>
          <w:bCs/>
          <w:szCs w:val="21"/>
          <w:highlight w:val="none"/>
        </w:rPr>
        <w:t>全流程电子化项目</w:t>
      </w:r>
      <w:r>
        <w:rPr>
          <w:rFonts w:hint="eastAsia" w:ascii="宋体" w:cs="宋体"/>
          <w:bCs/>
          <w:szCs w:val="21"/>
          <w:highlight w:val="none"/>
        </w:rPr>
        <w:t>的相关指南进行操作。</w:t>
      </w:r>
    </w:p>
    <w:p>
      <w:pPr>
        <w:pageBreakBefore w:val="0"/>
        <w:widowControl w:val="0"/>
        <w:kinsoku/>
        <w:wordWrap/>
        <w:overflowPunct/>
        <w:topLinePunct w:val="0"/>
        <w:autoSpaceDE/>
        <w:autoSpaceDN/>
        <w:bidi w:val="0"/>
        <w:snapToGrid w:val="0"/>
        <w:spacing w:line="400" w:lineRule="exact"/>
        <w:ind w:firstLine="420" w:firstLineChars="200"/>
        <w:textAlignment w:val="auto"/>
        <w:rPr>
          <w:rFonts w:ascii="宋体" w:cs="宋体"/>
          <w:b/>
          <w:bCs/>
          <w:szCs w:val="21"/>
          <w:highlight w:val="none"/>
        </w:rPr>
      </w:pPr>
      <w:r>
        <w:rPr>
          <w:rFonts w:hint="eastAsia" w:ascii="宋体" w:cs="宋体"/>
          <w:bCs/>
          <w:szCs w:val="21"/>
          <w:highlight w:val="none"/>
        </w:rPr>
        <w:t>4.1.2</w:t>
      </w:r>
      <w:r>
        <w:rPr>
          <w:rFonts w:hint="eastAsia" w:ascii="宋体" w:cs="宋体"/>
          <w:b/>
          <w:bCs/>
          <w:szCs w:val="21"/>
          <w:highlight w:val="none"/>
        </w:rPr>
        <w:t>未按要求加密的电子投标文件，广州公共资源交易平台将予以拒收。</w:t>
      </w:r>
    </w:p>
    <w:p>
      <w:pPr>
        <w:keepNext/>
        <w:keepLines/>
        <w:pageBreakBefore w:val="0"/>
        <w:widowControl w:val="0"/>
        <w:kinsoku/>
        <w:wordWrap/>
        <w:overflowPunct/>
        <w:topLinePunct w:val="0"/>
        <w:autoSpaceDE/>
        <w:autoSpaceDN/>
        <w:bidi w:val="0"/>
        <w:snapToGrid w:val="0"/>
        <w:spacing w:line="400" w:lineRule="exact"/>
        <w:ind w:firstLine="103" w:firstLineChars="49"/>
        <w:textAlignment w:val="auto"/>
        <w:outlineLvl w:val="2"/>
        <w:rPr>
          <w:rFonts w:ascii="宋体" w:cs="宋体"/>
          <w:b/>
          <w:bCs/>
          <w:sz w:val="21"/>
          <w:szCs w:val="21"/>
          <w:highlight w:val="none"/>
          <w:lang w:val="zh-CN"/>
        </w:rPr>
      </w:pPr>
      <w:bookmarkStart w:id="486" w:name="_Toc12587"/>
      <w:bookmarkStart w:id="487" w:name="_Toc4205"/>
      <w:r>
        <w:rPr>
          <w:rFonts w:hint="eastAsia" w:ascii="宋体" w:cs="宋体"/>
          <w:b/>
          <w:bCs/>
          <w:sz w:val="21"/>
          <w:szCs w:val="21"/>
          <w:highlight w:val="none"/>
          <w:lang w:val="zh-CN"/>
        </w:rPr>
        <w:t>4.</w:t>
      </w:r>
      <w:r>
        <w:rPr>
          <w:rFonts w:hint="eastAsia" w:ascii="宋体" w:cs="宋体"/>
          <w:b/>
          <w:bCs/>
          <w:sz w:val="21"/>
          <w:szCs w:val="21"/>
          <w:highlight w:val="none"/>
        </w:rPr>
        <w:t>2</w:t>
      </w:r>
      <w:r>
        <w:rPr>
          <w:rFonts w:hint="eastAsia" w:ascii="宋体" w:cs="宋体"/>
          <w:b/>
          <w:bCs/>
          <w:sz w:val="21"/>
          <w:szCs w:val="21"/>
          <w:highlight w:val="none"/>
          <w:lang w:val="zh-CN"/>
        </w:rPr>
        <w:t xml:space="preserve"> 投标文件的递交</w:t>
      </w:r>
      <w:bookmarkEnd w:id="486"/>
      <w:bookmarkEnd w:id="487"/>
    </w:p>
    <w:p>
      <w:pPr>
        <w:pageBreakBefore w:val="0"/>
        <w:widowControl w:val="0"/>
        <w:kinsoku/>
        <w:wordWrap/>
        <w:overflowPunct/>
        <w:topLinePunct w:val="0"/>
        <w:autoSpaceDE/>
        <w:autoSpaceDN/>
        <w:bidi w:val="0"/>
        <w:snapToGrid w:val="0"/>
        <w:spacing w:line="400" w:lineRule="exact"/>
        <w:ind w:firstLine="420" w:firstLineChars="200"/>
        <w:textAlignment w:val="auto"/>
        <w:rPr>
          <w:rFonts w:ascii="宋体" w:cs="宋体"/>
          <w:bCs/>
          <w:szCs w:val="21"/>
          <w:highlight w:val="none"/>
        </w:rPr>
      </w:pPr>
      <w:r>
        <w:rPr>
          <w:rFonts w:hint="eastAsia" w:ascii="宋体" w:cs="宋体"/>
          <w:bCs/>
          <w:szCs w:val="21"/>
          <w:highlight w:val="none"/>
        </w:rPr>
        <w:t>4.2.1投标人通过广州公共资源交易平台递交电子投标文件。</w:t>
      </w:r>
    </w:p>
    <w:p>
      <w:pPr>
        <w:pageBreakBefore w:val="0"/>
        <w:widowControl w:val="0"/>
        <w:kinsoku/>
        <w:wordWrap/>
        <w:overflowPunct/>
        <w:topLinePunct w:val="0"/>
        <w:autoSpaceDE/>
        <w:autoSpaceDN/>
        <w:bidi w:val="0"/>
        <w:snapToGrid w:val="0"/>
        <w:spacing w:line="400" w:lineRule="exact"/>
        <w:ind w:firstLine="420" w:firstLineChars="200"/>
        <w:textAlignment w:val="auto"/>
        <w:rPr>
          <w:rFonts w:ascii="宋体" w:cs="宋体"/>
          <w:bCs/>
          <w:szCs w:val="21"/>
          <w:highlight w:val="none"/>
        </w:rPr>
      </w:pPr>
      <w:r>
        <w:rPr>
          <w:rFonts w:hint="eastAsia" w:ascii="宋体" w:cs="宋体"/>
          <w:bCs/>
          <w:szCs w:val="21"/>
          <w:highlight w:val="none"/>
        </w:rPr>
        <w:t>4.2.2投标人完成电子投标文件上传后，广州公共资源交易平台即时向投标人发出递交回执通知。递交时间以递交回执通知载明的传输完成时间为准。</w:t>
      </w:r>
    </w:p>
    <w:p>
      <w:pPr>
        <w:pageBreakBefore w:val="0"/>
        <w:widowControl w:val="0"/>
        <w:kinsoku/>
        <w:wordWrap/>
        <w:overflowPunct/>
        <w:topLinePunct w:val="0"/>
        <w:autoSpaceDE/>
        <w:autoSpaceDN/>
        <w:bidi w:val="0"/>
        <w:snapToGrid w:val="0"/>
        <w:spacing w:line="400" w:lineRule="exact"/>
        <w:ind w:firstLine="420" w:firstLineChars="200"/>
        <w:textAlignment w:val="auto"/>
        <w:rPr>
          <w:rFonts w:ascii="宋体" w:cs="宋体"/>
          <w:bCs/>
          <w:szCs w:val="21"/>
          <w:highlight w:val="none"/>
        </w:rPr>
      </w:pPr>
      <w:r>
        <w:rPr>
          <w:rFonts w:hint="eastAsia" w:ascii="宋体" w:cs="宋体"/>
          <w:bCs/>
          <w:szCs w:val="21"/>
          <w:highlight w:val="none"/>
        </w:rPr>
        <w:t>4.2.3</w:t>
      </w:r>
      <w:r>
        <w:rPr>
          <w:rFonts w:hint="eastAsia" w:ascii="宋体" w:cs="宋体"/>
          <w:b/>
          <w:bCs/>
          <w:szCs w:val="21"/>
          <w:highlight w:val="none"/>
        </w:rPr>
        <w:t>逾期送达的电子投标文件，广州公共资源交易平台将予以拒收</w:t>
      </w:r>
      <w:r>
        <w:rPr>
          <w:rFonts w:hint="eastAsia" w:ascii="宋体" w:cs="宋体"/>
          <w:bCs/>
          <w:szCs w:val="21"/>
          <w:highlight w:val="none"/>
        </w:rPr>
        <w:t>。</w:t>
      </w:r>
    </w:p>
    <w:p>
      <w:pPr>
        <w:pageBreakBefore w:val="0"/>
        <w:widowControl w:val="0"/>
        <w:kinsoku/>
        <w:wordWrap/>
        <w:overflowPunct/>
        <w:topLinePunct w:val="0"/>
        <w:autoSpaceDE/>
        <w:autoSpaceDN/>
        <w:bidi w:val="0"/>
        <w:snapToGrid w:val="0"/>
        <w:spacing w:line="400" w:lineRule="exact"/>
        <w:ind w:firstLine="420" w:firstLineChars="200"/>
        <w:textAlignment w:val="auto"/>
        <w:rPr>
          <w:rFonts w:ascii="宋体" w:cs="宋体"/>
          <w:szCs w:val="21"/>
          <w:highlight w:val="none"/>
          <w:u w:val="single"/>
        </w:rPr>
      </w:pPr>
      <w:r>
        <w:rPr>
          <w:rFonts w:hint="eastAsia" w:ascii="宋体" w:cs="宋体"/>
          <w:szCs w:val="21"/>
          <w:highlight w:val="none"/>
          <w:u w:val="single"/>
        </w:rPr>
        <w:t>4.2.</w:t>
      </w:r>
      <w:r>
        <w:rPr>
          <w:rFonts w:hint="eastAsia" w:ascii="宋体" w:cs="宋体"/>
          <w:szCs w:val="21"/>
          <w:highlight w:val="none"/>
          <w:u w:val="single"/>
          <w:lang w:val="en-US" w:eastAsia="zh-CN"/>
        </w:rPr>
        <w:t>4</w:t>
      </w:r>
      <w:r>
        <w:rPr>
          <w:rFonts w:hint="eastAsia" w:ascii="宋体" w:cs="宋体"/>
          <w:szCs w:val="21"/>
          <w:highlight w:val="none"/>
          <w:u w:val="single"/>
        </w:rPr>
        <w:t>投标截止前，招标人拒绝接收符合条件的投标文件，投标人可向招标监督机构投诉。</w:t>
      </w:r>
    </w:p>
    <w:p>
      <w:pPr>
        <w:pageBreakBefore w:val="0"/>
        <w:widowControl w:val="0"/>
        <w:kinsoku/>
        <w:wordWrap/>
        <w:overflowPunct/>
        <w:topLinePunct w:val="0"/>
        <w:autoSpaceDE/>
        <w:autoSpaceDN/>
        <w:bidi w:val="0"/>
        <w:snapToGrid w:val="0"/>
        <w:spacing w:line="400" w:lineRule="exact"/>
        <w:ind w:firstLine="420" w:firstLineChars="200"/>
        <w:textAlignment w:val="auto"/>
        <w:rPr>
          <w:rFonts w:ascii="宋体" w:cs="宋体"/>
          <w:szCs w:val="21"/>
          <w:highlight w:val="none"/>
          <w:u w:val="single"/>
        </w:rPr>
      </w:pPr>
      <w:r>
        <w:rPr>
          <w:rFonts w:hint="eastAsia" w:ascii="宋体" w:cs="宋体"/>
          <w:szCs w:val="21"/>
          <w:highlight w:val="none"/>
          <w:u w:val="single"/>
        </w:rPr>
        <w:t>4.2.</w:t>
      </w:r>
      <w:r>
        <w:rPr>
          <w:rFonts w:hint="eastAsia" w:ascii="宋体" w:cs="宋体"/>
          <w:szCs w:val="21"/>
          <w:highlight w:val="none"/>
          <w:u w:val="single"/>
          <w:lang w:val="en-US" w:eastAsia="zh-CN"/>
        </w:rPr>
        <w:t>5</w:t>
      </w:r>
      <w:r>
        <w:rPr>
          <w:rFonts w:hint="eastAsia" w:ascii="宋体" w:cs="宋体"/>
          <w:szCs w:val="21"/>
          <w:highlight w:val="none"/>
          <w:u w:val="single"/>
        </w:rPr>
        <w:t>到投标截止时间止，若收到的投标文件少于3家的，本项目招标失败，将依法重新招标。</w:t>
      </w:r>
    </w:p>
    <w:p>
      <w:pPr>
        <w:keepNext/>
        <w:keepLines/>
        <w:pageBreakBefore w:val="0"/>
        <w:widowControl w:val="0"/>
        <w:kinsoku/>
        <w:wordWrap/>
        <w:overflowPunct/>
        <w:topLinePunct w:val="0"/>
        <w:autoSpaceDE/>
        <w:autoSpaceDN/>
        <w:bidi w:val="0"/>
        <w:snapToGrid w:val="0"/>
        <w:spacing w:line="400" w:lineRule="exact"/>
        <w:ind w:firstLine="103" w:firstLineChars="49"/>
        <w:textAlignment w:val="auto"/>
        <w:outlineLvl w:val="2"/>
        <w:rPr>
          <w:rFonts w:ascii="宋体" w:cs="宋体"/>
          <w:b/>
          <w:bCs/>
          <w:sz w:val="21"/>
          <w:szCs w:val="21"/>
          <w:highlight w:val="none"/>
          <w:lang w:val="zh-CN"/>
        </w:rPr>
      </w:pPr>
      <w:bookmarkStart w:id="488" w:name="_Toc21424"/>
      <w:bookmarkStart w:id="489" w:name="_Toc21216"/>
      <w:bookmarkStart w:id="490" w:name="_Toc357089539"/>
      <w:bookmarkStart w:id="491" w:name="_Toc362816508"/>
      <w:r>
        <w:rPr>
          <w:rFonts w:hint="eastAsia" w:ascii="宋体" w:cs="宋体"/>
          <w:b/>
          <w:bCs/>
          <w:sz w:val="21"/>
          <w:szCs w:val="21"/>
          <w:highlight w:val="none"/>
          <w:lang w:val="zh-CN"/>
        </w:rPr>
        <w:t>4.</w:t>
      </w:r>
      <w:r>
        <w:rPr>
          <w:rFonts w:hint="eastAsia" w:ascii="宋体" w:cs="宋体"/>
          <w:b/>
          <w:bCs/>
          <w:sz w:val="21"/>
          <w:szCs w:val="21"/>
          <w:highlight w:val="none"/>
        </w:rPr>
        <w:t>3</w:t>
      </w:r>
      <w:r>
        <w:rPr>
          <w:rFonts w:hint="eastAsia" w:ascii="宋体" w:cs="宋体"/>
          <w:b/>
          <w:bCs/>
          <w:sz w:val="21"/>
          <w:szCs w:val="21"/>
          <w:highlight w:val="none"/>
          <w:lang w:val="zh-CN"/>
        </w:rPr>
        <w:t xml:space="preserve"> 投标文件的修改与撤回</w:t>
      </w:r>
      <w:bookmarkEnd w:id="488"/>
      <w:bookmarkEnd w:id="489"/>
      <w:bookmarkEnd w:id="490"/>
      <w:bookmarkEnd w:id="491"/>
    </w:p>
    <w:p>
      <w:pPr>
        <w:pageBreakBefore w:val="0"/>
        <w:widowControl w:val="0"/>
        <w:kinsoku/>
        <w:wordWrap/>
        <w:overflowPunct/>
        <w:topLinePunct w:val="0"/>
        <w:autoSpaceDE/>
        <w:autoSpaceDN/>
        <w:bidi w:val="0"/>
        <w:snapToGrid w:val="0"/>
        <w:spacing w:line="400" w:lineRule="exact"/>
        <w:ind w:firstLine="420" w:firstLineChars="200"/>
        <w:textAlignment w:val="auto"/>
        <w:rPr>
          <w:rFonts w:ascii="宋体" w:cs="宋体"/>
          <w:highlight w:val="none"/>
        </w:rPr>
      </w:pPr>
      <w:r>
        <w:rPr>
          <w:rFonts w:hint="eastAsia" w:ascii="宋体" w:cs="宋体"/>
          <w:highlight w:val="none"/>
        </w:rPr>
        <w:t>4.3.1 在投标人须知前附表第4.2.2项规定的投标截止时间前，投标人可以修改或撤回已递交的电子投标文件，但应以书面形式通知招标人。</w:t>
      </w:r>
    </w:p>
    <w:p>
      <w:pPr>
        <w:pageBreakBefore w:val="0"/>
        <w:widowControl w:val="0"/>
        <w:kinsoku/>
        <w:wordWrap/>
        <w:overflowPunct/>
        <w:topLinePunct w:val="0"/>
        <w:autoSpaceDE/>
        <w:autoSpaceDN/>
        <w:bidi w:val="0"/>
        <w:snapToGrid w:val="0"/>
        <w:spacing w:line="400" w:lineRule="exact"/>
        <w:ind w:firstLine="420" w:firstLineChars="200"/>
        <w:textAlignment w:val="auto"/>
        <w:rPr>
          <w:rFonts w:ascii="宋体" w:cs="宋体"/>
          <w:highlight w:val="none"/>
        </w:rPr>
      </w:pPr>
      <w:r>
        <w:rPr>
          <w:rFonts w:hint="eastAsia" w:ascii="宋体" w:cs="宋体"/>
          <w:highlight w:val="none"/>
        </w:rPr>
        <w:t>4.3.2 投标人修改或撤回已递交电子投标文件的书面通知应按照本章第3.7.3项的要求签字或盖章。招标人收到书面通知后，向投标人出具签收凭证。</w:t>
      </w:r>
    </w:p>
    <w:p>
      <w:pPr>
        <w:pageBreakBefore w:val="0"/>
        <w:widowControl w:val="0"/>
        <w:kinsoku/>
        <w:wordWrap/>
        <w:overflowPunct/>
        <w:topLinePunct w:val="0"/>
        <w:autoSpaceDE/>
        <w:autoSpaceDN/>
        <w:bidi w:val="0"/>
        <w:snapToGrid w:val="0"/>
        <w:spacing w:line="400" w:lineRule="exact"/>
        <w:ind w:firstLine="420" w:firstLineChars="200"/>
        <w:textAlignment w:val="auto"/>
        <w:rPr>
          <w:rFonts w:ascii="宋体" w:cs="宋体"/>
          <w:highlight w:val="none"/>
          <w:u w:val="single"/>
        </w:rPr>
      </w:pPr>
      <w:r>
        <w:rPr>
          <w:rFonts w:hint="eastAsia" w:ascii="宋体" w:cs="宋体"/>
          <w:highlight w:val="none"/>
          <w:u w:val="single"/>
        </w:rPr>
        <w:t>4.3.3 在投标截止时间之后，投标人不得补充、修改和更换投标文件。</w:t>
      </w:r>
    </w:p>
    <w:p>
      <w:pPr>
        <w:pageBreakBefore w:val="0"/>
        <w:widowControl w:val="0"/>
        <w:kinsoku/>
        <w:wordWrap/>
        <w:overflowPunct/>
        <w:topLinePunct w:val="0"/>
        <w:autoSpaceDE/>
        <w:autoSpaceDN/>
        <w:bidi w:val="0"/>
        <w:snapToGrid w:val="0"/>
        <w:spacing w:line="400" w:lineRule="exact"/>
        <w:ind w:firstLine="420" w:firstLineChars="200"/>
        <w:textAlignment w:val="auto"/>
        <w:rPr>
          <w:rFonts w:ascii="宋体" w:cs="宋体"/>
          <w:highlight w:val="none"/>
          <w:u w:val="single"/>
        </w:rPr>
      </w:pPr>
      <w:r>
        <w:rPr>
          <w:rFonts w:hint="eastAsia" w:ascii="宋体" w:cs="宋体"/>
          <w:highlight w:val="none"/>
          <w:u w:val="single"/>
        </w:rPr>
        <w:t>4.3.4 在投标截止后，投标人在投标文件格式中规定的有效期终止日前，投标人不能撤回投标文件，否则其投标担保将被没收，且招标人有权就其撤回行为报告政府主管部门载入不良信用记录。</w:t>
      </w:r>
    </w:p>
    <w:p>
      <w:pPr>
        <w:pageBreakBefore w:val="0"/>
        <w:widowControl w:val="0"/>
        <w:kinsoku/>
        <w:wordWrap/>
        <w:overflowPunct/>
        <w:topLinePunct w:val="0"/>
        <w:autoSpaceDE/>
        <w:autoSpaceDN/>
        <w:bidi w:val="0"/>
        <w:snapToGrid w:val="0"/>
        <w:spacing w:line="400" w:lineRule="exact"/>
        <w:jc w:val="left"/>
        <w:textAlignment w:val="auto"/>
        <w:rPr>
          <w:rFonts w:ascii="宋体" w:cs="宋体"/>
          <w:strike/>
          <w:szCs w:val="21"/>
          <w:highlight w:val="none"/>
        </w:rPr>
      </w:pPr>
      <w:r>
        <w:rPr>
          <w:rFonts w:hint="eastAsia"/>
          <w:szCs w:val="21"/>
          <w:highlight w:val="none"/>
        </w:rPr>
        <w:t>4.4</w:t>
      </w:r>
      <w:r>
        <w:rPr>
          <w:rFonts w:hint="eastAsia" w:ascii="宋体" w:cs="宋体"/>
          <w:b/>
          <w:szCs w:val="21"/>
          <w:highlight w:val="none"/>
        </w:rPr>
        <w:t xml:space="preserve"> 投标信息录入</w:t>
      </w:r>
    </w:p>
    <w:p>
      <w:pPr>
        <w:pageBreakBefore w:val="0"/>
        <w:widowControl w:val="0"/>
        <w:kinsoku/>
        <w:wordWrap/>
        <w:overflowPunct/>
        <w:topLinePunct w:val="0"/>
        <w:autoSpaceDE/>
        <w:autoSpaceDN/>
        <w:bidi w:val="0"/>
        <w:snapToGrid w:val="0"/>
        <w:spacing w:line="400" w:lineRule="exact"/>
        <w:ind w:firstLine="420" w:firstLineChars="200"/>
        <w:textAlignment w:val="auto"/>
        <w:rPr>
          <w:rFonts w:ascii="宋体" w:cs="宋体"/>
          <w:szCs w:val="21"/>
          <w:highlight w:val="none"/>
        </w:rPr>
      </w:pPr>
      <w:r>
        <w:rPr>
          <w:rFonts w:hint="eastAsia" w:ascii="宋体" w:cs="宋体"/>
          <w:szCs w:val="21"/>
          <w:highlight w:val="none"/>
        </w:rPr>
        <w:t>4.4.1 投标人应在上传电子投标文件前将广州公共资源交易中心交易服务系统要求的相关信息在广州公共资源交易中心交易服务系统中录入完毕。</w:t>
      </w:r>
    </w:p>
    <w:p>
      <w:pPr>
        <w:pageBreakBefore w:val="0"/>
        <w:widowControl w:val="0"/>
        <w:kinsoku/>
        <w:wordWrap/>
        <w:overflowPunct/>
        <w:topLinePunct w:val="0"/>
        <w:autoSpaceDE/>
        <w:autoSpaceDN/>
        <w:bidi w:val="0"/>
        <w:snapToGrid w:val="0"/>
        <w:spacing w:line="400" w:lineRule="exact"/>
        <w:textAlignment w:val="auto"/>
        <w:rPr>
          <w:rFonts w:ascii="宋体" w:cs="宋体"/>
          <w:b/>
          <w:szCs w:val="21"/>
          <w:highlight w:val="none"/>
        </w:rPr>
      </w:pPr>
      <w:r>
        <w:rPr>
          <w:rFonts w:hint="eastAsia" w:ascii="宋体" w:cs="宋体"/>
          <w:szCs w:val="21"/>
          <w:highlight w:val="none"/>
        </w:rPr>
        <w:t>4.5</w:t>
      </w:r>
      <w:r>
        <w:rPr>
          <w:rFonts w:hint="eastAsia" w:ascii="宋体" w:cs="宋体"/>
          <w:b/>
          <w:szCs w:val="21"/>
          <w:highlight w:val="none"/>
        </w:rPr>
        <w:t>投标文件的解密</w:t>
      </w:r>
    </w:p>
    <w:p>
      <w:pPr>
        <w:pageBreakBefore w:val="0"/>
        <w:widowControl w:val="0"/>
        <w:tabs>
          <w:tab w:val="left" w:pos="105"/>
        </w:tabs>
        <w:kinsoku/>
        <w:wordWrap/>
        <w:overflowPunct/>
        <w:topLinePunct w:val="0"/>
        <w:autoSpaceDE/>
        <w:autoSpaceDN/>
        <w:bidi w:val="0"/>
        <w:snapToGrid w:val="0"/>
        <w:spacing w:line="400" w:lineRule="exact"/>
        <w:ind w:firstLine="420" w:firstLineChars="200"/>
        <w:textAlignment w:val="auto"/>
        <w:rPr>
          <w:rFonts w:ascii="宋体" w:cs="宋体"/>
          <w:b/>
          <w:szCs w:val="21"/>
          <w:highlight w:val="none"/>
        </w:rPr>
      </w:pPr>
      <w:r>
        <w:rPr>
          <w:rFonts w:hint="eastAsia" w:ascii="宋体" w:cs="宋体"/>
          <w:szCs w:val="21"/>
          <w:highlight w:val="none"/>
        </w:rPr>
        <w:t>4.5.1</w:t>
      </w:r>
      <w:r>
        <w:rPr>
          <w:rFonts w:hint="eastAsia" w:ascii="宋体" w:cs="宋体"/>
          <w:bCs/>
          <w:szCs w:val="21"/>
          <w:highlight w:val="none"/>
        </w:rPr>
        <w:t>投标人必须在投标须知前附表规定的时间内</w:t>
      </w:r>
      <w:r>
        <w:rPr>
          <w:rFonts w:hint="eastAsia" w:ascii="宋体" w:cs="宋体"/>
          <w:szCs w:val="21"/>
          <w:highlight w:val="none"/>
        </w:rPr>
        <w:t>完成电子投标文件解密。</w:t>
      </w:r>
      <w:r>
        <w:rPr>
          <w:rFonts w:hint="eastAsia" w:ascii="宋体" w:cs="宋体"/>
          <w:b/>
          <w:szCs w:val="21"/>
          <w:highlight w:val="none"/>
        </w:rPr>
        <w:t>超过时间未解密的投标文件将作为放弃投标处理。</w:t>
      </w:r>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ascii="宋体" w:cs="宋体"/>
          <w:bCs/>
          <w:szCs w:val="21"/>
          <w:highlight w:val="none"/>
        </w:rPr>
        <w:t>4.5.2电子投标文件解密应按照广州公共资源交易平台关于</w:t>
      </w:r>
      <w:r>
        <w:rPr>
          <w:rFonts w:hint="eastAsia" w:ascii="宋体" w:cs="宋体"/>
          <w:b/>
          <w:bCs/>
          <w:szCs w:val="21"/>
          <w:highlight w:val="none"/>
        </w:rPr>
        <w:t>全流程电子化项目</w:t>
      </w:r>
      <w:r>
        <w:rPr>
          <w:rFonts w:hint="eastAsia" w:ascii="宋体" w:cs="宋体"/>
          <w:bCs/>
          <w:szCs w:val="21"/>
          <w:highlight w:val="none"/>
        </w:rPr>
        <w:t>的相关指南进行操作。</w:t>
      </w:r>
    </w:p>
    <w:p>
      <w:pPr>
        <w:pageBreakBefore w:val="0"/>
        <w:widowControl w:val="0"/>
        <w:kinsoku/>
        <w:wordWrap/>
        <w:overflowPunct/>
        <w:topLinePunct w:val="0"/>
        <w:autoSpaceDE/>
        <w:autoSpaceDN/>
        <w:bidi w:val="0"/>
        <w:snapToGrid w:val="0"/>
        <w:spacing w:line="400" w:lineRule="exact"/>
        <w:textAlignment w:val="auto"/>
        <w:rPr>
          <w:highlight w:val="none"/>
        </w:rPr>
      </w:pPr>
      <w:bookmarkStart w:id="492" w:name="_Toc152042335"/>
      <w:bookmarkStart w:id="493" w:name="_Toc22752"/>
      <w:bookmarkStart w:id="494" w:name="_Toc1421"/>
      <w:bookmarkStart w:id="495" w:name="_Toc247513983"/>
      <w:bookmarkStart w:id="496" w:name="_Toc11644"/>
      <w:bookmarkStart w:id="497" w:name="_Toc247527584"/>
      <w:bookmarkStart w:id="498" w:name="_Toc7692"/>
      <w:bookmarkStart w:id="499" w:name="_Toc21288"/>
      <w:bookmarkStart w:id="500" w:name="_Toc4763"/>
      <w:bookmarkStart w:id="501" w:name="_Toc51288219"/>
      <w:bookmarkStart w:id="502" w:name="_Toc144974527"/>
      <w:bookmarkStart w:id="503" w:name="_Toc2342"/>
      <w:bookmarkStart w:id="504" w:name="_Toc13539"/>
      <w:bookmarkStart w:id="505" w:name="_Toc32762"/>
      <w:bookmarkStart w:id="506" w:name="_Toc152045559"/>
      <w:bookmarkStart w:id="507" w:name="_Toc14363"/>
      <w:r>
        <w:rPr>
          <w:rFonts w:hint="eastAsia"/>
          <w:highlight w:val="none"/>
        </w:rPr>
        <w:t>5</w:t>
      </w:r>
      <w:r>
        <w:rPr>
          <w:highlight w:val="none"/>
        </w:rPr>
        <w:t>.</w:t>
      </w:r>
      <w:r>
        <w:rPr>
          <w:rFonts w:hint="eastAsia"/>
          <w:highlight w:val="none"/>
        </w:rPr>
        <w:t>开标</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pPr>
        <w:keepNext/>
        <w:keepLines/>
        <w:pageBreakBefore w:val="0"/>
        <w:widowControl w:val="0"/>
        <w:kinsoku/>
        <w:wordWrap/>
        <w:overflowPunct/>
        <w:topLinePunct w:val="0"/>
        <w:autoSpaceDE/>
        <w:autoSpaceDN/>
        <w:bidi w:val="0"/>
        <w:snapToGrid w:val="0"/>
        <w:spacing w:line="400" w:lineRule="exact"/>
        <w:textAlignment w:val="auto"/>
        <w:outlineLvl w:val="2"/>
        <w:rPr>
          <w:rFonts w:ascii="宋体" w:cs="宋体"/>
          <w:b/>
          <w:bCs/>
          <w:szCs w:val="21"/>
          <w:highlight w:val="none"/>
          <w:lang w:val="zh-CN"/>
        </w:rPr>
      </w:pPr>
      <w:bookmarkStart w:id="508" w:name="_Toc24778"/>
      <w:bookmarkStart w:id="509" w:name="_Toc31848"/>
      <w:r>
        <w:rPr>
          <w:rFonts w:hint="eastAsia" w:ascii="宋体" w:cs="宋体"/>
          <w:b/>
          <w:bCs/>
          <w:szCs w:val="21"/>
          <w:highlight w:val="none"/>
          <w:lang w:val="zh-CN"/>
        </w:rPr>
        <w:t>5.1 开标时间和地点</w:t>
      </w:r>
      <w:bookmarkEnd w:id="508"/>
      <w:bookmarkEnd w:id="509"/>
    </w:p>
    <w:p>
      <w:pPr>
        <w:pageBreakBefore w:val="0"/>
        <w:widowControl w:val="0"/>
        <w:kinsoku/>
        <w:wordWrap/>
        <w:overflowPunct/>
        <w:topLinePunct w:val="0"/>
        <w:autoSpaceDE/>
        <w:autoSpaceDN/>
        <w:bidi w:val="0"/>
        <w:snapToGrid w:val="0"/>
        <w:spacing w:line="400" w:lineRule="exact"/>
        <w:ind w:firstLine="420" w:firstLineChars="200"/>
        <w:textAlignment w:val="auto"/>
        <w:rPr>
          <w:rFonts w:ascii="宋体" w:cs="宋体"/>
          <w:highlight w:val="none"/>
        </w:rPr>
      </w:pPr>
      <w:r>
        <w:rPr>
          <w:rFonts w:hint="eastAsia" w:ascii="宋体" w:cs="宋体"/>
          <w:highlight w:val="none"/>
        </w:rPr>
        <w:t>招标人在投标人须知前附表5.1规定的开标时间和地点公开开标，并邀请所有投标人的法定代表人或其委托代理人准时参加。投标人（法定代表人或其委托代理人）可自行决定是否参加开标。投标人不参加的，视为认可开标过程及结果。</w:t>
      </w:r>
    </w:p>
    <w:p>
      <w:pPr>
        <w:keepNext/>
        <w:keepLines/>
        <w:pageBreakBefore w:val="0"/>
        <w:widowControl w:val="0"/>
        <w:kinsoku/>
        <w:wordWrap/>
        <w:overflowPunct/>
        <w:topLinePunct w:val="0"/>
        <w:autoSpaceDE/>
        <w:autoSpaceDN/>
        <w:bidi w:val="0"/>
        <w:snapToGrid w:val="0"/>
        <w:spacing w:line="400" w:lineRule="exact"/>
        <w:textAlignment w:val="auto"/>
        <w:outlineLvl w:val="2"/>
        <w:rPr>
          <w:rFonts w:hint="eastAsia" w:ascii="宋体" w:cs="宋体"/>
          <w:b/>
          <w:bCs/>
          <w:sz w:val="21"/>
          <w:szCs w:val="21"/>
          <w:highlight w:val="none"/>
          <w:u w:val="none"/>
          <w:lang w:val="zh-CN"/>
        </w:rPr>
      </w:pPr>
      <w:bookmarkStart w:id="510" w:name="_Toc923"/>
      <w:bookmarkStart w:id="511" w:name="_Toc25084"/>
      <w:r>
        <w:rPr>
          <w:rFonts w:hint="eastAsia" w:ascii="宋体" w:cs="宋体"/>
          <w:b/>
          <w:bCs/>
          <w:sz w:val="21"/>
          <w:szCs w:val="21"/>
          <w:highlight w:val="none"/>
          <w:u w:val="none"/>
          <w:lang w:val="zh-CN"/>
        </w:rPr>
        <w:t>5.2 开标和评标程序</w:t>
      </w:r>
      <w:bookmarkEnd w:id="510"/>
      <w:bookmarkEnd w:id="511"/>
    </w:p>
    <w:p>
      <w:pPr>
        <w:pageBreakBefore w:val="0"/>
        <w:widowControl w:val="0"/>
        <w:kinsoku/>
        <w:wordWrap/>
        <w:overflowPunct/>
        <w:topLinePunct w:val="0"/>
        <w:autoSpaceDE/>
        <w:autoSpaceDN/>
        <w:bidi w:val="0"/>
        <w:snapToGrid w:val="0"/>
        <w:spacing w:line="400" w:lineRule="exact"/>
        <w:ind w:firstLine="457" w:firstLineChars="218"/>
        <w:textAlignment w:val="auto"/>
        <w:rPr>
          <w:rFonts w:ascii="宋体" w:cs="宋体"/>
          <w:szCs w:val="21"/>
          <w:highlight w:val="none"/>
        </w:rPr>
      </w:pPr>
      <w:r>
        <w:rPr>
          <w:rFonts w:hint="eastAsia" w:ascii="宋体" w:cs="宋体"/>
          <w:szCs w:val="21"/>
          <w:highlight w:val="none"/>
          <w:u w:val="single"/>
        </w:rPr>
        <w:t>5.2.1 招标人按投标人须知前附表第5.1款所规定的时间和地点公开开标，并邀请所有投标人参加。截标后，开标开始时间因故推迟的，</w:t>
      </w:r>
      <w:r>
        <w:rPr>
          <w:rFonts w:hint="eastAsia" w:ascii="宋体" w:cs="宋体"/>
          <w:szCs w:val="21"/>
          <w:highlight w:val="none"/>
          <w:shd w:val="clear" w:color="auto" w:fill="FFFFFF"/>
        </w:rPr>
        <w:t>相关评标信息仍以原递交投标文件截止时间的信息为准</w:t>
      </w:r>
      <w:r>
        <w:rPr>
          <w:rFonts w:hint="eastAsia" w:ascii="宋体" w:cs="宋体"/>
          <w:szCs w:val="21"/>
          <w:highlight w:val="none"/>
        </w:rPr>
        <w:t>。</w:t>
      </w:r>
    </w:p>
    <w:p>
      <w:pPr>
        <w:pageBreakBefore w:val="0"/>
        <w:widowControl w:val="0"/>
        <w:kinsoku/>
        <w:wordWrap/>
        <w:overflowPunct/>
        <w:topLinePunct w:val="0"/>
        <w:autoSpaceDE/>
        <w:autoSpaceDN/>
        <w:bidi w:val="0"/>
        <w:snapToGrid w:val="0"/>
        <w:spacing w:line="400" w:lineRule="exact"/>
        <w:ind w:firstLine="457" w:firstLineChars="218"/>
        <w:textAlignment w:val="auto"/>
        <w:rPr>
          <w:rFonts w:ascii="宋体" w:cs="宋体"/>
          <w:szCs w:val="21"/>
          <w:highlight w:val="none"/>
          <w:u w:val="single"/>
        </w:rPr>
      </w:pPr>
      <w:r>
        <w:rPr>
          <w:rFonts w:hint="eastAsia" w:ascii="宋体" w:cs="宋体"/>
          <w:szCs w:val="21"/>
          <w:highlight w:val="none"/>
          <w:u w:val="single"/>
        </w:rPr>
        <w:t>5.2.2 开标细则</w:t>
      </w:r>
    </w:p>
    <w:p>
      <w:pPr>
        <w:pageBreakBefore w:val="0"/>
        <w:widowControl w:val="0"/>
        <w:kinsoku/>
        <w:wordWrap/>
        <w:overflowPunct/>
        <w:topLinePunct w:val="0"/>
        <w:autoSpaceDE/>
        <w:autoSpaceDN/>
        <w:bidi w:val="0"/>
        <w:snapToGrid w:val="0"/>
        <w:spacing w:line="400" w:lineRule="exact"/>
        <w:ind w:firstLine="457" w:firstLineChars="218"/>
        <w:textAlignment w:val="auto"/>
        <w:rPr>
          <w:rFonts w:ascii="宋体" w:cs="宋体"/>
          <w:szCs w:val="21"/>
          <w:highlight w:val="none"/>
          <w:u w:val="none"/>
        </w:rPr>
      </w:pPr>
      <w:r>
        <w:rPr>
          <w:rFonts w:hint="eastAsia" w:ascii="宋体" w:cs="宋体"/>
          <w:szCs w:val="21"/>
          <w:highlight w:val="none"/>
          <w:u w:val="none"/>
        </w:rPr>
        <w:t>（1）开标由招标人或委托招标代理单位主持。</w:t>
      </w:r>
    </w:p>
    <w:p>
      <w:pPr>
        <w:pageBreakBefore w:val="0"/>
        <w:widowControl w:val="0"/>
        <w:tabs>
          <w:tab w:val="left" w:pos="105"/>
        </w:tabs>
        <w:kinsoku/>
        <w:wordWrap/>
        <w:overflowPunct/>
        <w:topLinePunct w:val="0"/>
        <w:autoSpaceDE/>
        <w:autoSpaceDN/>
        <w:bidi w:val="0"/>
        <w:snapToGrid w:val="0"/>
        <w:spacing w:line="400" w:lineRule="exact"/>
        <w:ind w:firstLine="420" w:firstLineChars="200"/>
        <w:textAlignment w:val="auto"/>
        <w:rPr>
          <w:rFonts w:ascii="宋体" w:cs="宋体"/>
          <w:szCs w:val="21"/>
          <w:highlight w:val="none"/>
        </w:rPr>
      </w:pPr>
      <w:r>
        <w:rPr>
          <w:rFonts w:hint="eastAsia" w:ascii="宋体" w:cs="宋体"/>
          <w:szCs w:val="21"/>
          <w:highlight w:val="none"/>
        </w:rPr>
        <w:t>（2）投标人按照投标人须知前附表的要求，对电子投标文件进行解密，</w:t>
      </w:r>
      <w:r>
        <w:rPr>
          <w:rFonts w:hint="eastAsia" w:ascii="宋体" w:cs="宋体"/>
          <w:b/>
          <w:szCs w:val="21"/>
          <w:highlight w:val="none"/>
        </w:rPr>
        <w:t>超过时间未解密的投标文件将作为放弃投标处理。</w:t>
      </w:r>
    </w:p>
    <w:p>
      <w:pPr>
        <w:pageBreakBefore w:val="0"/>
        <w:widowControl w:val="0"/>
        <w:tabs>
          <w:tab w:val="left" w:pos="105"/>
        </w:tabs>
        <w:kinsoku/>
        <w:wordWrap/>
        <w:overflowPunct/>
        <w:topLinePunct w:val="0"/>
        <w:autoSpaceDE/>
        <w:autoSpaceDN/>
        <w:bidi w:val="0"/>
        <w:snapToGrid w:val="0"/>
        <w:spacing w:line="400" w:lineRule="exact"/>
        <w:ind w:firstLine="420" w:firstLineChars="200"/>
        <w:textAlignment w:val="auto"/>
        <w:rPr>
          <w:rFonts w:ascii="宋体" w:cs="宋体"/>
          <w:szCs w:val="21"/>
          <w:highlight w:val="none"/>
        </w:rPr>
      </w:pPr>
      <w:r>
        <w:rPr>
          <w:rFonts w:hint="eastAsia" w:ascii="宋体" w:cs="宋体"/>
          <w:szCs w:val="21"/>
          <w:highlight w:val="none"/>
        </w:rPr>
        <w:t>（3）招标人在开标开始时间后，使用制作该招标文件的机构业务数字证书对所有投标人电子投标文件进行招标人解密。</w:t>
      </w:r>
    </w:p>
    <w:p>
      <w:pPr>
        <w:pageBreakBefore w:val="0"/>
        <w:widowControl w:val="0"/>
        <w:tabs>
          <w:tab w:val="left" w:pos="105"/>
        </w:tabs>
        <w:kinsoku/>
        <w:wordWrap/>
        <w:overflowPunct/>
        <w:topLinePunct w:val="0"/>
        <w:autoSpaceDE/>
        <w:autoSpaceDN/>
        <w:bidi w:val="0"/>
        <w:snapToGrid w:val="0"/>
        <w:spacing w:line="400" w:lineRule="exact"/>
        <w:ind w:firstLine="420" w:firstLineChars="200"/>
        <w:textAlignment w:val="auto"/>
        <w:rPr>
          <w:rFonts w:ascii="宋体" w:cs="宋体"/>
          <w:szCs w:val="21"/>
          <w:highlight w:val="none"/>
        </w:rPr>
      </w:pPr>
      <w:r>
        <w:rPr>
          <w:rFonts w:hint="eastAsia" w:ascii="宋体" w:cs="宋体"/>
          <w:szCs w:val="21"/>
          <w:highlight w:val="none"/>
        </w:rPr>
        <w:t>（4）招标人完成解密后按开标记录表规定的内容进行唱标。</w:t>
      </w:r>
    </w:p>
    <w:p>
      <w:pPr>
        <w:pageBreakBefore w:val="0"/>
        <w:widowControl w:val="0"/>
        <w:tabs>
          <w:tab w:val="left" w:pos="105"/>
        </w:tabs>
        <w:kinsoku/>
        <w:wordWrap/>
        <w:overflowPunct/>
        <w:topLinePunct w:val="0"/>
        <w:autoSpaceDE/>
        <w:autoSpaceDN/>
        <w:bidi w:val="0"/>
        <w:snapToGrid w:val="0"/>
        <w:spacing w:line="400" w:lineRule="exact"/>
        <w:ind w:firstLine="420" w:firstLineChars="200"/>
        <w:textAlignment w:val="auto"/>
        <w:rPr>
          <w:rFonts w:ascii="宋体" w:cs="宋体"/>
          <w:szCs w:val="21"/>
          <w:highlight w:val="none"/>
        </w:rPr>
      </w:pPr>
      <w:r>
        <w:rPr>
          <w:rFonts w:hint="eastAsia" w:ascii="宋体" w:cs="宋体"/>
          <w:szCs w:val="21"/>
          <w:highlight w:val="none"/>
        </w:rPr>
        <w:t>（5）唱标结束，参与开标的招标人、招标代理、投标人及有关人员对开标记录表进行签字确认。若有关人员不签字的，不影响开标程序。</w:t>
      </w:r>
    </w:p>
    <w:p>
      <w:pPr>
        <w:pageBreakBefore w:val="0"/>
        <w:widowControl w:val="0"/>
        <w:kinsoku/>
        <w:wordWrap/>
        <w:overflowPunct/>
        <w:topLinePunct w:val="0"/>
        <w:autoSpaceDE/>
        <w:autoSpaceDN/>
        <w:bidi w:val="0"/>
        <w:snapToGrid w:val="0"/>
        <w:spacing w:line="400" w:lineRule="exact"/>
        <w:ind w:firstLine="457" w:firstLineChars="218"/>
        <w:textAlignment w:val="auto"/>
        <w:rPr>
          <w:rFonts w:ascii="宋体" w:cs="宋体"/>
          <w:szCs w:val="21"/>
          <w:highlight w:val="none"/>
        </w:rPr>
      </w:pPr>
      <w:r>
        <w:rPr>
          <w:rFonts w:hint="eastAsia" w:ascii="宋体" w:cs="宋体"/>
          <w:szCs w:val="21"/>
          <w:highlight w:val="none"/>
        </w:rPr>
        <w:t>5.2.3开标时，出现下列情形之一的，不参与资格审查和评标：</w:t>
      </w:r>
    </w:p>
    <w:p>
      <w:pPr>
        <w:pageBreakBefore w:val="0"/>
        <w:widowControl w:val="0"/>
        <w:kinsoku/>
        <w:wordWrap/>
        <w:overflowPunct/>
        <w:topLinePunct w:val="0"/>
        <w:autoSpaceDE/>
        <w:autoSpaceDN/>
        <w:bidi w:val="0"/>
        <w:snapToGrid w:val="0"/>
        <w:spacing w:line="400" w:lineRule="exact"/>
        <w:ind w:firstLine="457" w:firstLineChars="218"/>
        <w:textAlignment w:val="auto"/>
        <w:rPr>
          <w:rFonts w:ascii="宋体" w:cs="宋体"/>
          <w:szCs w:val="21"/>
          <w:highlight w:val="none"/>
          <w:u w:val="single"/>
        </w:rPr>
      </w:pPr>
      <w:r>
        <w:rPr>
          <w:rFonts w:hint="eastAsia" w:ascii="宋体" w:cs="宋体"/>
          <w:szCs w:val="21"/>
          <w:highlight w:val="none"/>
          <w:u w:val="single"/>
        </w:rPr>
        <w:t>（1）未按招标文件要求提供投标担保的；</w:t>
      </w:r>
    </w:p>
    <w:p>
      <w:pPr>
        <w:pageBreakBefore w:val="0"/>
        <w:widowControl w:val="0"/>
        <w:kinsoku/>
        <w:wordWrap/>
        <w:overflowPunct/>
        <w:topLinePunct w:val="0"/>
        <w:autoSpaceDE/>
        <w:autoSpaceDN/>
        <w:bidi w:val="0"/>
        <w:snapToGrid w:val="0"/>
        <w:spacing w:line="400" w:lineRule="exact"/>
        <w:ind w:firstLine="457" w:firstLineChars="218"/>
        <w:textAlignment w:val="auto"/>
        <w:rPr>
          <w:rFonts w:ascii="宋体" w:cs="宋体"/>
          <w:szCs w:val="21"/>
          <w:highlight w:val="none"/>
          <w:u w:val="single"/>
        </w:rPr>
      </w:pPr>
      <w:r>
        <w:rPr>
          <w:rFonts w:hint="eastAsia" w:ascii="宋体" w:cs="宋体"/>
          <w:szCs w:val="21"/>
          <w:highlight w:val="none"/>
          <w:u w:val="single"/>
        </w:rPr>
        <w:t>注：1、广州公共资源交易中心代收投标保证金的，其缴纳情况以广州公共资源交易中心数据库记录的信息为准。</w:t>
      </w:r>
    </w:p>
    <w:p>
      <w:pPr>
        <w:pageBreakBefore w:val="0"/>
        <w:widowControl w:val="0"/>
        <w:kinsoku/>
        <w:wordWrap/>
        <w:overflowPunct/>
        <w:topLinePunct w:val="0"/>
        <w:autoSpaceDE/>
        <w:autoSpaceDN/>
        <w:bidi w:val="0"/>
        <w:snapToGrid w:val="0"/>
        <w:spacing w:line="400" w:lineRule="exact"/>
        <w:ind w:firstLine="457" w:firstLineChars="218"/>
        <w:textAlignment w:val="auto"/>
        <w:rPr>
          <w:rFonts w:ascii="宋体" w:cs="宋体"/>
          <w:szCs w:val="21"/>
          <w:highlight w:val="none"/>
          <w:u w:val="single"/>
        </w:rPr>
      </w:pPr>
      <w:r>
        <w:rPr>
          <w:rFonts w:hint="eastAsia" w:ascii="宋体" w:cs="宋体"/>
          <w:szCs w:val="21"/>
          <w:highlight w:val="none"/>
          <w:u w:val="single"/>
        </w:rPr>
        <w:t>2、缴费的操作详见广州公共资源交易中心公布的《投标人基本账户保证金操作指引》。</w:t>
      </w:r>
    </w:p>
    <w:p>
      <w:pPr>
        <w:keepNext/>
        <w:keepLines/>
        <w:pageBreakBefore w:val="0"/>
        <w:widowControl w:val="0"/>
        <w:kinsoku/>
        <w:wordWrap/>
        <w:overflowPunct/>
        <w:topLinePunct w:val="0"/>
        <w:autoSpaceDE/>
        <w:autoSpaceDN/>
        <w:bidi w:val="0"/>
        <w:snapToGrid w:val="0"/>
        <w:spacing w:line="400" w:lineRule="exact"/>
        <w:textAlignment w:val="auto"/>
        <w:outlineLvl w:val="2"/>
        <w:rPr>
          <w:rFonts w:ascii="宋体" w:cs="宋体"/>
          <w:b/>
          <w:bCs/>
          <w:szCs w:val="21"/>
          <w:highlight w:val="none"/>
          <w:lang w:val="zh-CN"/>
        </w:rPr>
      </w:pPr>
      <w:bookmarkStart w:id="512" w:name="_Toc8064"/>
      <w:bookmarkStart w:id="513" w:name="_Toc4958"/>
      <w:r>
        <w:rPr>
          <w:rFonts w:hint="eastAsia" w:ascii="宋体" w:cs="宋体"/>
          <w:b/>
          <w:bCs/>
          <w:szCs w:val="21"/>
          <w:highlight w:val="none"/>
          <w:lang w:val="zh-CN"/>
        </w:rPr>
        <w:t>5.3 开标异议</w:t>
      </w:r>
      <w:bookmarkEnd w:id="512"/>
      <w:bookmarkEnd w:id="513"/>
    </w:p>
    <w:p>
      <w:pPr>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Cs/>
          <w:color w:val="000000"/>
          <w:kern w:val="0"/>
          <w:sz w:val="21"/>
          <w:szCs w:val="21"/>
        </w:rPr>
        <w:t>开标时，投标人代表有权参加现场开标或</w:t>
      </w:r>
      <w:r>
        <w:rPr>
          <w:rFonts w:hint="eastAsia" w:asciiTheme="minorEastAsia" w:hAnsiTheme="minorEastAsia" w:eastAsiaTheme="minorEastAsia" w:cstheme="minorEastAsia"/>
          <w:b/>
          <w:bCs/>
          <w:color w:val="000000"/>
          <w:kern w:val="0"/>
          <w:sz w:val="21"/>
          <w:szCs w:val="21"/>
        </w:rPr>
        <w:t>在线开标</w:t>
      </w:r>
      <w:r>
        <w:rPr>
          <w:rFonts w:hint="eastAsia" w:asciiTheme="minorEastAsia" w:hAnsiTheme="minorEastAsia" w:eastAsiaTheme="minorEastAsia" w:cstheme="minorEastAsia"/>
          <w:bCs/>
          <w:color w:val="000000"/>
          <w:kern w:val="0"/>
          <w:sz w:val="21"/>
          <w:szCs w:val="21"/>
        </w:rPr>
        <w:t>，也可以自主决定不参加开标，若投标人代表对开标过程有异议的，</w:t>
      </w:r>
      <w:r>
        <w:rPr>
          <w:rFonts w:hint="eastAsia" w:asciiTheme="minorEastAsia" w:hAnsiTheme="minorEastAsia" w:eastAsiaTheme="minorEastAsia" w:cstheme="minorEastAsia"/>
          <w:b/>
          <w:bCs/>
          <w:color w:val="000000"/>
          <w:kern w:val="0"/>
          <w:sz w:val="21"/>
          <w:szCs w:val="21"/>
        </w:rPr>
        <w:t>参加现场开标的应当在开标现场提出，同时出示本人身份证原件，招标人应当当场作出答复，并制作记录；参加在线开标的，投标人应通过交易平台在线提出，招标人应通过交易平台答复，答复后方可结束开标。</w:t>
      </w:r>
      <w:bookmarkStart w:id="514" w:name="_Toc144974530"/>
      <w:bookmarkStart w:id="515" w:name="_Toc8932"/>
      <w:bookmarkStart w:id="516" w:name="_Toc247527587"/>
      <w:bookmarkStart w:id="517" w:name="_Toc16346"/>
      <w:bookmarkStart w:id="518" w:name="_Toc152045562"/>
      <w:bookmarkStart w:id="519" w:name="_Toc20043"/>
      <w:bookmarkStart w:id="520" w:name="_Toc23642"/>
      <w:bookmarkStart w:id="521" w:name="_Toc4941"/>
      <w:bookmarkStart w:id="522" w:name="_Toc6338"/>
      <w:bookmarkStart w:id="523" w:name="_Toc152042338"/>
      <w:bookmarkStart w:id="524" w:name="_Toc51288223"/>
      <w:bookmarkStart w:id="525" w:name="_Toc28918"/>
      <w:bookmarkStart w:id="526" w:name="_Toc6807"/>
      <w:bookmarkStart w:id="527" w:name="_Toc27990"/>
      <w:bookmarkStart w:id="528" w:name="_Toc17004"/>
      <w:bookmarkStart w:id="529" w:name="_Toc247513986"/>
    </w:p>
    <w:p>
      <w:pPr>
        <w:pageBreakBefore w:val="0"/>
        <w:widowControl w:val="0"/>
        <w:kinsoku/>
        <w:wordWrap/>
        <w:overflowPunct/>
        <w:topLinePunct w:val="0"/>
        <w:autoSpaceDE/>
        <w:autoSpaceDN/>
        <w:bidi w:val="0"/>
        <w:snapToGrid w:val="0"/>
        <w:spacing w:line="400" w:lineRule="exact"/>
        <w:textAlignment w:val="auto"/>
        <w:rPr>
          <w:highlight w:val="none"/>
        </w:rPr>
      </w:pPr>
      <w:r>
        <w:rPr>
          <w:rFonts w:hint="eastAsia"/>
          <w:highlight w:val="none"/>
        </w:rPr>
        <w:t>6. 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pPr>
        <w:pageBreakBefore w:val="0"/>
        <w:widowControl w:val="0"/>
        <w:kinsoku/>
        <w:wordWrap/>
        <w:overflowPunct/>
        <w:topLinePunct w:val="0"/>
        <w:autoSpaceDE/>
        <w:autoSpaceDN/>
        <w:bidi w:val="0"/>
        <w:snapToGrid w:val="0"/>
        <w:spacing w:line="400" w:lineRule="exact"/>
        <w:textAlignment w:val="auto"/>
        <w:rPr>
          <w:highlight w:val="none"/>
        </w:rPr>
      </w:pPr>
      <w:bookmarkStart w:id="530" w:name="_Toc861"/>
      <w:bookmarkStart w:id="531" w:name="_Toc247513987"/>
      <w:bookmarkStart w:id="532" w:name="_Toc28960"/>
      <w:bookmarkStart w:id="533" w:name="_Toc152045563"/>
      <w:bookmarkStart w:id="534" w:name="_Toc247527588"/>
      <w:bookmarkStart w:id="535" w:name="_Toc7149"/>
      <w:bookmarkStart w:id="536" w:name="_Toc16411"/>
      <w:bookmarkStart w:id="537" w:name="_Toc51288224"/>
      <w:bookmarkStart w:id="538" w:name="_Toc21401"/>
      <w:bookmarkStart w:id="539" w:name="_Toc5387"/>
      <w:bookmarkStart w:id="540" w:name="_Toc16271"/>
      <w:bookmarkStart w:id="541" w:name="_Toc152042339"/>
      <w:bookmarkStart w:id="542" w:name="_Toc27930"/>
      <w:bookmarkStart w:id="543" w:name="_Toc3092"/>
      <w:bookmarkStart w:id="544" w:name="_Toc4119"/>
      <w:bookmarkStart w:id="545" w:name="_Toc144974531"/>
      <w:r>
        <w:rPr>
          <w:rFonts w:hint="eastAsia"/>
          <w:highlight w:val="none"/>
        </w:rPr>
        <w:t>6.1 评标委员会</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6.1.1 评标由招标人依法组建的评标委员会负责。评标委员会由招标人或其委托的招标代理机构熟悉相关业务的代表，以及有关技术、经济等方面的专家组成。</w:t>
      </w:r>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6.1.2 评标委员会成员有下列情形之一的，应当回避：</w:t>
      </w:r>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（1）投标人或投标人主要负责人的近亲属；</w:t>
      </w:r>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（2）项目主管部门或者行政监督部门的人员；</w:t>
      </w:r>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（3）与投标人有经济利益关系，可能影响对投标公正评审的；</w:t>
      </w:r>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（4）曾因在招标、评标以及其他与招标投标有关活动中从事违法行为而受过行政处罚或刑事处罚的；</w:t>
      </w:r>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（5）与投标人有其他利害关系。</w:t>
      </w:r>
    </w:p>
    <w:p>
      <w:pPr>
        <w:pageBreakBefore w:val="0"/>
        <w:widowControl w:val="0"/>
        <w:kinsoku/>
        <w:wordWrap/>
        <w:overflowPunct/>
        <w:topLinePunct w:val="0"/>
        <w:autoSpaceDE/>
        <w:autoSpaceDN/>
        <w:bidi w:val="0"/>
        <w:snapToGrid w:val="0"/>
        <w:spacing w:line="400" w:lineRule="exact"/>
        <w:textAlignment w:val="auto"/>
        <w:rPr>
          <w:highlight w:val="none"/>
        </w:rPr>
      </w:pPr>
      <w:bookmarkStart w:id="546" w:name="_Toc9803"/>
      <w:bookmarkStart w:id="547" w:name="_Toc152045564"/>
      <w:bookmarkStart w:id="548" w:name="_Toc51288225"/>
      <w:bookmarkStart w:id="549" w:name="_Toc152042340"/>
      <w:bookmarkStart w:id="550" w:name="_Toc15677"/>
      <w:bookmarkStart w:id="551" w:name="_Toc17561"/>
      <w:bookmarkStart w:id="552" w:name="_Toc7124"/>
      <w:bookmarkStart w:id="553" w:name="_Toc18146"/>
      <w:bookmarkStart w:id="554" w:name="_Toc27115"/>
      <w:bookmarkStart w:id="555" w:name="_Toc8458"/>
      <w:bookmarkStart w:id="556" w:name="_Toc14975"/>
      <w:bookmarkStart w:id="557" w:name="_Toc247527589"/>
      <w:bookmarkStart w:id="558" w:name="_Toc144974532"/>
      <w:bookmarkStart w:id="559" w:name="_Toc31940"/>
      <w:bookmarkStart w:id="560" w:name="_Toc247513988"/>
      <w:bookmarkStart w:id="561" w:name="_Toc26058"/>
      <w:r>
        <w:rPr>
          <w:rFonts w:hint="eastAsia"/>
          <w:highlight w:val="none"/>
        </w:rPr>
        <w:t>6.2 评标原则</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r>
        <w:rPr>
          <w:highlight w:val="none"/>
        </w:rPr>
        <w:tab/>
      </w:r>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评标活动遵循公平、公正、科学和择优的原则。</w:t>
      </w:r>
    </w:p>
    <w:p>
      <w:pPr>
        <w:pageBreakBefore w:val="0"/>
        <w:widowControl w:val="0"/>
        <w:kinsoku/>
        <w:wordWrap/>
        <w:overflowPunct/>
        <w:topLinePunct w:val="0"/>
        <w:autoSpaceDE/>
        <w:autoSpaceDN/>
        <w:bidi w:val="0"/>
        <w:snapToGrid w:val="0"/>
        <w:spacing w:line="400" w:lineRule="exact"/>
        <w:textAlignment w:val="auto"/>
        <w:rPr>
          <w:highlight w:val="none"/>
        </w:rPr>
      </w:pPr>
      <w:bookmarkStart w:id="562" w:name="_Toc30897"/>
      <w:bookmarkStart w:id="563" w:name="_Toc18700"/>
      <w:bookmarkStart w:id="564" w:name="_Toc152042341"/>
      <w:bookmarkStart w:id="565" w:name="_Toc29219"/>
      <w:bookmarkStart w:id="566" w:name="_Toc15302"/>
      <w:bookmarkStart w:id="567" w:name="_Toc1030"/>
      <w:bookmarkStart w:id="568" w:name="_Toc11139"/>
      <w:bookmarkStart w:id="569" w:name="_Toc22133"/>
      <w:bookmarkStart w:id="570" w:name="_Toc27197"/>
      <w:bookmarkStart w:id="571" w:name="_Toc51288226"/>
      <w:bookmarkStart w:id="572" w:name="_Toc144974533"/>
      <w:bookmarkStart w:id="573" w:name="_Toc21382"/>
      <w:bookmarkStart w:id="574" w:name="_Toc247527590"/>
      <w:bookmarkStart w:id="575" w:name="_Toc247513989"/>
      <w:bookmarkStart w:id="576" w:name="_Toc152045565"/>
      <w:bookmarkStart w:id="577" w:name="_Toc31760"/>
      <w:r>
        <w:rPr>
          <w:rFonts w:hint="eastAsia"/>
          <w:highlight w:val="none"/>
        </w:rPr>
        <w:t>6.3 评标</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评标委员会按照第三章“评标办法”规定的方法、评审因素、标准和程序对投标文件进行评审。第三章“评标办法”没有规定的方法、评审因素和标准，不作为评标依据。</w:t>
      </w:r>
    </w:p>
    <w:p>
      <w:pPr>
        <w:pageBreakBefore w:val="0"/>
        <w:widowControl w:val="0"/>
        <w:kinsoku/>
        <w:wordWrap/>
        <w:overflowPunct/>
        <w:topLinePunct w:val="0"/>
        <w:autoSpaceDE/>
        <w:autoSpaceDN/>
        <w:bidi w:val="0"/>
        <w:snapToGrid w:val="0"/>
        <w:spacing w:line="400" w:lineRule="exact"/>
        <w:textAlignment w:val="auto"/>
        <w:rPr>
          <w:highlight w:val="none"/>
        </w:rPr>
      </w:pPr>
      <w:bookmarkStart w:id="578" w:name="_Toc152045566"/>
      <w:bookmarkStart w:id="579" w:name="_Toc247527591"/>
      <w:bookmarkStart w:id="580" w:name="_Toc152042342"/>
      <w:bookmarkStart w:id="581" w:name="_Toc11195"/>
      <w:bookmarkStart w:id="582" w:name="_Toc7333"/>
      <w:bookmarkStart w:id="583" w:name="_Toc247513990"/>
      <w:bookmarkStart w:id="584" w:name="_Toc7060"/>
      <w:bookmarkStart w:id="585" w:name="_Toc6934"/>
      <w:bookmarkStart w:id="586" w:name="_Toc10463"/>
      <w:bookmarkStart w:id="587" w:name="_Toc3057"/>
      <w:bookmarkStart w:id="588" w:name="_Toc25932"/>
      <w:bookmarkStart w:id="589" w:name="_Toc144974534"/>
      <w:bookmarkStart w:id="590" w:name="_Toc26303"/>
      <w:bookmarkStart w:id="591" w:name="_Toc51288227"/>
      <w:bookmarkStart w:id="592" w:name="_Toc32757"/>
      <w:bookmarkStart w:id="593" w:name="_Toc32687"/>
      <w:r>
        <w:rPr>
          <w:rFonts w:hint="eastAsia"/>
          <w:highlight w:val="none"/>
        </w:rPr>
        <w:t>7. 合同授予</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pPr>
        <w:pageBreakBefore w:val="0"/>
        <w:widowControl w:val="0"/>
        <w:kinsoku/>
        <w:wordWrap/>
        <w:overflowPunct/>
        <w:topLinePunct w:val="0"/>
        <w:autoSpaceDE/>
        <w:autoSpaceDN/>
        <w:bidi w:val="0"/>
        <w:snapToGrid w:val="0"/>
        <w:spacing w:line="400" w:lineRule="exact"/>
        <w:textAlignment w:val="auto"/>
        <w:rPr>
          <w:highlight w:val="none"/>
        </w:rPr>
      </w:pPr>
      <w:bookmarkStart w:id="594" w:name="_Toc152042343"/>
      <w:bookmarkStart w:id="595" w:name="_Toc31037"/>
      <w:bookmarkStart w:id="596" w:name="_Toc4328"/>
      <w:bookmarkStart w:id="597" w:name="_Toc152045567"/>
      <w:bookmarkStart w:id="598" w:name="_Toc13913"/>
      <w:bookmarkStart w:id="599" w:name="_Toc22834"/>
      <w:bookmarkStart w:id="600" w:name="_Toc977"/>
      <w:bookmarkStart w:id="601" w:name="_Toc247527592"/>
      <w:bookmarkStart w:id="602" w:name="_Toc9988"/>
      <w:bookmarkStart w:id="603" w:name="_Toc247513991"/>
      <w:bookmarkStart w:id="604" w:name="_Toc22537"/>
      <w:bookmarkStart w:id="605" w:name="_Toc16458"/>
      <w:bookmarkStart w:id="606" w:name="_Toc51288228"/>
      <w:bookmarkStart w:id="607" w:name="_Toc28945"/>
      <w:bookmarkStart w:id="608" w:name="_Toc12866"/>
      <w:bookmarkStart w:id="609" w:name="_Toc144974535"/>
      <w:r>
        <w:rPr>
          <w:rFonts w:hint="eastAsia"/>
          <w:highlight w:val="none"/>
        </w:rPr>
        <w:t>7.1 定标方式</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除投标人须知前附表规定评标委员会直接确定中标人外，招标人依据评标委员会推荐的中标候选人确定中标人，评标委员会推荐中标候选人的人数见投标人须知前附表。</w:t>
      </w:r>
    </w:p>
    <w:p>
      <w:pPr>
        <w:pageBreakBefore w:val="0"/>
        <w:widowControl w:val="0"/>
        <w:kinsoku/>
        <w:wordWrap/>
        <w:overflowPunct/>
        <w:topLinePunct w:val="0"/>
        <w:autoSpaceDE/>
        <w:autoSpaceDN/>
        <w:bidi w:val="0"/>
        <w:snapToGrid w:val="0"/>
        <w:spacing w:line="400" w:lineRule="exact"/>
        <w:textAlignment w:val="auto"/>
        <w:rPr>
          <w:highlight w:val="none"/>
        </w:rPr>
      </w:pPr>
      <w:bookmarkStart w:id="610" w:name="_Toc9831"/>
      <w:bookmarkStart w:id="611" w:name="_Toc51288229"/>
      <w:bookmarkStart w:id="612" w:name="_Toc10364"/>
      <w:bookmarkStart w:id="613" w:name="_Toc32678"/>
      <w:bookmarkStart w:id="614" w:name="_Toc1494"/>
      <w:bookmarkStart w:id="615" w:name="_Toc5505"/>
      <w:bookmarkStart w:id="616" w:name="_Toc17770"/>
      <w:bookmarkStart w:id="617" w:name="_Toc10186"/>
      <w:bookmarkStart w:id="618" w:name="_Toc8464"/>
      <w:bookmarkStart w:id="619" w:name="_Toc31009"/>
      <w:bookmarkStart w:id="620" w:name="_Toc31655"/>
      <w:r>
        <w:rPr>
          <w:rFonts w:hint="eastAsia"/>
          <w:highlight w:val="none"/>
        </w:rPr>
        <w:t>7.2 中标候选人公示</w:t>
      </w:r>
      <w:bookmarkEnd w:id="610"/>
      <w:bookmarkEnd w:id="611"/>
      <w:bookmarkEnd w:id="612"/>
      <w:bookmarkEnd w:id="613"/>
      <w:bookmarkEnd w:id="614"/>
      <w:bookmarkEnd w:id="615"/>
      <w:bookmarkEnd w:id="616"/>
      <w:bookmarkEnd w:id="617"/>
      <w:bookmarkEnd w:id="618"/>
      <w:bookmarkEnd w:id="619"/>
      <w:bookmarkEnd w:id="620"/>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招标人在投标人须知前附表规定的媒介公示中标候选人。</w:t>
      </w:r>
    </w:p>
    <w:p>
      <w:pPr>
        <w:pageBreakBefore w:val="0"/>
        <w:widowControl w:val="0"/>
        <w:kinsoku/>
        <w:wordWrap/>
        <w:overflowPunct/>
        <w:topLinePunct w:val="0"/>
        <w:autoSpaceDE/>
        <w:autoSpaceDN/>
        <w:bidi w:val="0"/>
        <w:snapToGrid w:val="0"/>
        <w:spacing w:line="400" w:lineRule="exact"/>
        <w:textAlignment w:val="auto"/>
        <w:rPr>
          <w:highlight w:val="none"/>
        </w:rPr>
      </w:pPr>
      <w:bookmarkStart w:id="621" w:name="_Toc152045568"/>
      <w:bookmarkStart w:id="622" w:name="_Toc27867"/>
      <w:bookmarkStart w:id="623" w:name="_Toc144974536"/>
      <w:bookmarkStart w:id="624" w:name="_Toc27994"/>
      <w:bookmarkStart w:id="625" w:name="_Toc10809"/>
      <w:bookmarkStart w:id="626" w:name="_Toc51288230"/>
      <w:bookmarkStart w:id="627" w:name="_Toc21458"/>
      <w:bookmarkStart w:id="628" w:name="_Toc22750"/>
      <w:bookmarkStart w:id="629" w:name="_Toc247513992"/>
      <w:bookmarkStart w:id="630" w:name="_Toc247527593"/>
      <w:bookmarkStart w:id="631" w:name="_Toc5910"/>
      <w:bookmarkStart w:id="632" w:name="_Toc11804"/>
      <w:bookmarkStart w:id="633" w:name="_Toc26032"/>
      <w:bookmarkStart w:id="634" w:name="_Toc4490"/>
      <w:bookmarkStart w:id="635" w:name="_Toc1345"/>
      <w:bookmarkStart w:id="636" w:name="_Toc152042344"/>
      <w:r>
        <w:rPr>
          <w:rFonts w:hint="eastAsia"/>
          <w:highlight w:val="none"/>
        </w:rPr>
        <w:t>7.3 中标通知</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在本章第3.3款规定的投标有效期内，招标人以书面形式向中标人发出中标通知书，同时将中标结果通知未中标的投标人。中标通知书按本章附表格式填写。</w:t>
      </w:r>
    </w:p>
    <w:p>
      <w:pPr>
        <w:pageBreakBefore w:val="0"/>
        <w:widowControl w:val="0"/>
        <w:kinsoku/>
        <w:wordWrap/>
        <w:overflowPunct/>
        <w:topLinePunct w:val="0"/>
        <w:autoSpaceDE/>
        <w:autoSpaceDN/>
        <w:bidi w:val="0"/>
        <w:snapToGrid w:val="0"/>
        <w:spacing w:line="400" w:lineRule="exact"/>
        <w:textAlignment w:val="auto"/>
        <w:rPr>
          <w:highlight w:val="none"/>
        </w:rPr>
      </w:pPr>
      <w:bookmarkStart w:id="637" w:name="_Toc30014"/>
      <w:bookmarkStart w:id="638" w:name="_Toc152045569"/>
      <w:bookmarkStart w:id="639" w:name="_Toc15075"/>
      <w:bookmarkStart w:id="640" w:name="_Toc16274"/>
      <w:bookmarkStart w:id="641" w:name="_Toc26706"/>
      <w:bookmarkStart w:id="642" w:name="_Toc51288231"/>
      <w:bookmarkStart w:id="643" w:name="_Toc144974537"/>
      <w:bookmarkStart w:id="644" w:name="_Toc20709"/>
      <w:bookmarkStart w:id="645" w:name="_Toc273"/>
      <w:bookmarkStart w:id="646" w:name="_Toc152042345"/>
      <w:bookmarkStart w:id="647" w:name="_Toc23180"/>
      <w:bookmarkStart w:id="648" w:name="_Toc247527594"/>
      <w:bookmarkStart w:id="649" w:name="_Toc24441"/>
      <w:bookmarkStart w:id="650" w:name="_Toc25696"/>
      <w:bookmarkStart w:id="651" w:name="_Toc27640"/>
      <w:bookmarkStart w:id="652" w:name="_Toc247513993"/>
      <w:r>
        <w:rPr>
          <w:rFonts w:hint="eastAsia"/>
          <w:highlight w:val="none"/>
        </w:rPr>
        <w:t>7.4 履约担保</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7.4.1 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w:t>
      </w:r>
      <w:r>
        <w:rPr>
          <w:rFonts w:hint="eastAsia"/>
          <w:highlight w:val="none"/>
          <w:u w:val="single"/>
        </w:rPr>
        <w:t>联合体中标的，其履约担保由联合体各方</w:t>
      </w:r>
      <w:r>
        <w:rPr>
          <w:rFonts w:hint="eastAsia"/>
          <w:highlight w:val="none"/>
          <w:u w:val="single"/>
          <w:lang w:val="en-US" w:eastAsia="zh-CN"/>
        </w:rPr>
        <w:t>根据联合体协议分工对应中标合同金额分别</w:t>
      </w:r>
      <w:r>
        <w:rPr>
          <w:rFonts w:hint="eastAsia"/>
          <w:highlight w:val="none"/>
          <w:u w:val="single"/>
        </w:rPr>
        <w:t>提交</w:t>
      </w:r>
      <w:r>
        <w:rPr>
          <w:rFonts w:hint="eastAsia"/>
          <w:highlight w:val="none"/>
        </w:rPr>
        <w:t>。</w:t>
      </w:r>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7.4.2 中标人不能按本章第7.4.1项要求提交履约担保的，视为放弃中标，其投标保证金不予退还，给招标人造成的损失超过投标保证金数额的，中标人还应当对超过部分予以赔偿。</w:t>
      </w:r>
    </w:p>
    <w:p>
      <w:pPr>
        <w:pageBreakBefore w:val="0"/>
        <w:widowControl w:val="0"/>
        <w:kinsoku/>
        <w:wordWrap/>
        <w:overflowPunct/>
        <w:topLinePunct w:val="0"/>
        <w:autoSpaceDE/>
        <w:autoSpaceDN/>
        <w:bidi w:val="0"/>
        <w:snapToGrid w:val="0"/>
        <w:spacing w:line="400" w:lineRule="exact"/>
        <w:textAlignment w:val="auto"/>
        <w:rPr>
          <w:highlight w:val="none"/>
        </w:rPr>
      </w:pPr>
      <w:bookmarkStart w:id="653" w:name="_Toc28122"/>
      <w:bookmarkStart w:id="654" w:name="_Toc12291"/>
      <w:bookmarkStart w:id="655" w:name="_Toc152045570"/>
      <w:bookmarkStart w:id="656" w:name="_Toc26784"/>
      <w:bookmarkStart w:id="657" w:name="_Toc9477"/>
      <w:bookmarkStart w:id="658" w:name="_Toc19972"/>
      <w:bookmarkStart w:id="659" w:name="_Toc51288232"/>
      <w:bookmarkStart w:id="660" w:name="_Toc25156"/>
      <w:bookmarkStart w:id="661" w:name="_Toc144974538"/>
      <w:bookmarkStart w:id="662" w:name="_Toc20916"/>
      <w:bookmarkStart w:id="663" w:name="_Toc20378"/>
      <w:bookmarkStart w:id="664" w:name="_Toc29545"/>
      <w:bookmarkStart w:id="665" w:name="_Toc152042346"/>
      <w:bookmarkStart w:id="666" w:name="_Toc247527595"/>
      <w:bookmarkStart w:id="667" w:name="_Toc247513994"/>
      <w:bookmarkStart w:id="668" w:name="_Toc24298"/>
      <w:r>
        <w:rPr>
          <w:rFonts w:hint="eastAsia"/>
          <w:highlight w:val="none"/>
        </w:rPr>
        <w:t>7.5 签订合同</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7.5.1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7.5.2 发出中标通知书后，招标人无正当理由拒签合同的，招标人向中标人退还投标保证金；给中标人造成损失的，还应当赔偿损失。</w:t>
      </w:r>
    </w:p>
    <w:p>
      <w:pPr>
        <w:pageBreakBefore w:val="0"/>
        <w:widowControl w:val="0"/>
        <w:kinsoku/>
        <w:wordWrap/>
        <w:overflowPunct/>
        <w:topLinePunct w:val="0"/>
        <w:autoSpaceDE/>
        <w:autoSpaceDN/>
        <w:bidi w:val="0"/>
        <w:snapToGrid w:val="0"/>
        <w:spacing w:line="400" w:lineRule="exact"/>
        <w:textAlignment w:val="auto"/>
        <w:rPr>
          <w:highlight w:val="none"/>
        </w:rPr>
      </w:pPr>
      <w:bookmarkStart w:id="669" w:name="_Toc247527596"/>
      <w:bookmarkStart w:id="670" w:name="_Toc247513995"/>
      <w:bookmarkStart w:id="671" w:name="_Toc152045571"/>
      <w:bookmarkStart w:id="672" w:name="_Toc152042347"/>
      <w:bookmarkStart w:id="673" w:name="_Toc144974539"/>
      <w:bookmarkStart w:id="674" w:name="_Toc7836"/>
      <w:bookmarkStart w:id="675" w:name="_Toc10559"/>
      <w:bookmarkStart w:id="676" w:name="_Toc7928"/>
      <w:bookmarkStart w:id="677" w:name="_Toc14081"/>
      <w:bookmarkStart w:id="678" w:name="_Toc17603"/>
      <w:bookmarkStart w:id="679" w:name="_Toc9644"/>
      <w:bookmarkStart w:id="680" w:name="_Toc51288233"/>
      <w:bookmarkStart w:id="681" w:name="_Toc29855"/>
      <w:bookmarkStart w:id="682" w:name="_Toc31351"/>
      <w:bookmarkStart w:id="683" w:name="_Toc23524"/>
      <w:bookmarkStart w:id="684" w:name="_Toc114"/>
      <w:r>
        <w:rPr>
          <w:rFonts w:hint="eastAsia"/>
          <w:highlight w:val="none"/>
        </w:rPr>
        <w:t>8.</w:t>
      </w:r>
      <w:bookmarkEnd w:id="669"/>
      <w:bookmarkEnd w:id="670"/>
      <w:bookmarkEnd w:id="671"/>
      <w:bookmarkEnd w:id="672"/>
      <w:bookmarkEnd w:id="673"/>
      <w:bookmarkStart w:id="685" w:name="_Toc152042350"/>
      <w:bookmarkStart w:id="686" w:name="_Toc247513998"/>
      <w:bookmarkStart w:id="687" w:name="_Toc247527599"/>
      <w:bookmarkStart w:id="688" w:name="_Toc152045574"/>
      <w:bookmarkStart w:id="689" w:name="_Toc144974542"/>
      <w:r>
        <w:rPr>
          <w:rFonts w:hint="eastAsia"/>
          <w:highlight w:val="none"/>
        </w:rPr>
        <w:t xml:space="preserve"> 纪律和监督</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pPr>
        <w:pageBreakBefore w:val="0"/>
        <w:widowControl w:val="0"/>
        <w:kinsoku/>
        <w:wordWrap/>
        <w:overflowPunct/>
        <w:topLinePunct w:val="0"/>
        <w:autoSpaceDE/>
        <w:autoSpaceDN/>
        <w:bidi w:val="0"/>
        <w:snapToGrid w:val="0"/>
        <w:spacing w:line="400" w:lineRule="exact"/>
        <w:textAlignment w:val="auto"/>
        <w:rPr>
          <w:highlight w:val="none"/>
        </w:rPr>
      </w:pPr>
      <w:bookmarkStart w:id="690" w:name="_Toc27423"/>
      <w:bookmarkStart w:id="691" w:name="_Toc16036"/>
      <w:bookmarkStart w:id="692" w:name="_Toc152042351"/>
      <w:bookmarkStart w:id="693" w:name="_Toc3518"/>
      <w:bookmarkStart w:id="694" w:name="_Toc23563"/>
      <w:bookmarkStart w:id="695" w:name="_Toc247513999"/>
      <w:bookmarkStart w:id="696" w:name="_Toc51288234"/>
      <w:bookmarkStart w:id="697" w:name="_Toc29770"/>
      <w:bookmarkStart w:id="698" w:name="_Toc152045575"/>
      <w:bookmarkStart w:id="699" w:name="_Toc247527600"/>
      <w:bookmarkStart w:id="700" w:name="_Toc26915"/>
      <w:bookmarkStart w:id="701" w:name="_Toc29402"/>
      <w:bookmarkStart w:id="702" w:name="_Toc2718"/>
      <w:bookmarkStart w:id="703" w:name="_Toc12404"/>
      <w:bookmarkStart w:id="704" w:name="_Toc144974543"/>
      <w:bookmarkStart w:id="705" w:name="_Toc18838"/>
      <w:r>
        <w:rPr>
          <w:rFonts w:hint="eastAsia"/>
          <w:highlight w:val="none"/>
        </w:rPr>
        <w:t>8.1 对招标人的纪律要求</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招标人不得泄漏招标投标活动中应当保密的情况和资料，不得与投标人串通损害国家利益、社会公共利益或者他人合法权益。</w:t>
      </w:r>
    </w:p>
    <w:p>
      <w:pPr>
        <w:pageBreakBefore w:val="0"/>
        <w:widowControl w:val="0"/>
        <w:kinsoku/>
        <w:wordWrap/>
        <w:overflowPunct/>
        <w:topLinePunct w:val="0"/>
        <w:autoSpaceDE/>
        <w:autoSpaceDN/>
        <w:bidi w:val="0"/>
        <w:snapToGrid w:val="0"/>
        <w:spacing w:line="400" w:lineRule="exact"/>
        <w:textAlignment w:val="auto"/>
        <w:rPr>
          <w:highlight w:val="none"/>
        </w:rPr>
      </w:pPr>
      <w:bookmarkStart w:id="706" w:name="_Toc27938"/>
      <w:bookmarkStart w:id="707" w:name="_Toc51288235"/>
      <w:bookmarkStart w:id="708" w:name="_Toc21895"/>
      <w:bookmarkStart w:id="709" w:name="_Toc5352"/>
      <w:bookmarkStart w:id="710" w:name="_Toc5488"/>
      <w:bookmarkStart w:id="711" w:name="_Toc144974544"/>
      <w:bookmarkStart w:id="712" w:name="_Toc152045576"/>
      <w:bookmarkStart w:id="713" w:name="_Toc357"/>
      <w:bookmarkStart w:id="714" w:name="_Toc2199"/>
      <w:bookmarkStart w:id="715" w:name="_Toc247514000"/>
      <w:bookmarkStart w:id="716" w:name="_Toc6839"/>
      <w:bookmarkStart w:id="717" w:name="_Toc152042352"/>
      <w:bookmarkStart w:id="718" w:name="_Toc21889"/>
      <w:bookmarkStart w:id="719" w:name="_Toc247527601"/>
      <w:bookmarkStart w:id="720" w:name="_Toc8977"/>
      <w:bookmarkStart w:id="721" w:name="_Toc21676"/>
      <w:r>
        <w:rPr>
          <w:rFonts w:hint="eastAsia"/>
          <w:highlight w:val="none"/>
        </w:rPr>
        <w:t>8.2 对投标人的纪律要求</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ageBreakBefore w:val="0"/>
        <w:widowControl w:val="0"/>
        <w:kinsoku/>
        <w:wordWrap/>
        <w:overflowPunct/>
        <w:topLinePunct w:val="0"/>
        <w:autoSpaceDE/>
        <w:autoSpaceDN/>
        <w:bidi w:val="0"/>
        <w:snapToGrid w:val="0"/>
        <w:spacing w:line="400" w:lineRule="exact"/>
        <w:textAlignment w:val="auto"/>
        <w:rPr>
          <w:highlight w:val="none"/>
        </w:rPr>
      </w:pPr>
      <w:bookmarkStart w:id="722" w:name="_Toc152042353"/>
      <w:bookmarkStart w:id="723" w:name="_Toc51288236"/>
      <w:bookmarkStart w:id="724" w:name="_Toc19777"/>
      <w:bookmarkStart w:id="725" w:name="_Toc21839"/>
      <w:bookmarkStart w:id="726" w:name="_Toc11289"/>
      <w:bookmarkStart w:id="727" w:name="_Toc144974545"/>
      <w:bookmarkStart w:id="728" w:name="_Toc7305"/>
      <w:bookmarkStart w:id="729" w:name="_Toc25226"/>
      <w:bookmarkStart w:id="730" w:name="_Toc247514001"/>
      <w:bookmarkStart w:id="731" w:name="_Toc16599"/>
      <w:bookmarkStart w:id="732" w:name="_Toc2806"/>
      <w:bookmarkStart w:id="733" w:name="_Toc152045577"/>
      <w:bookmarkStart w:id="734" w:name="_Toc12965"/>
      <w:bookmarkStart w:id="735" w:name="_Toc27524"/>
      <w:bookmarkStart w:id="736" w:name="_Toc22660"/>
      <w:bookmarkStart w:id="737" w:name="_Toc247527602"/>
      <w:r>
        <w:rPr>
          <w:rFonts w:hint="eastAsia"/>
          <w:highlight w:val="none"/>
        </w:rPr>
        <w:t>8.3 对评标委员会成员的纪律要求</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ageBreakBefore w:val="0"/>
        <w:widowControl w:val="0"/>
        <w:kinsoku/>
        <w:wordWrap/>
        <w:overflowPunct/>
        <w:topLinePunct w:val="0"/>
        <w:autoSpaceDE/>
        <w:autoSpaceDN/>
        <w:bidi w:val="0"/>
        <w:snapToGrid w:val="0"/>
        <w:spacing w:line="400" w:lineRule="exact"/>
        <w:textAlignment w:val="auto"/>
        <w:rPr>
          <w:highlight w:val="none"/>
        </w:rPr>
      </w:pPr>
      <w:bookmarkStart w:id="738" w:name="_Toc964"/>
      <w:bookmarkStart w:id="739" w:name="_Toc22567"/>
      <w:bookmarkStart w:id="740" w:name="_Toc152045578"/>
      <w:bookmarkStart w:id="741" w:name="_Toc8583"/>
      <w:bookmarkStart w:id="742" w:name="_Toc4612"/>
      <w:bookmarkStart w:id="743" w:name="_Toc152042354"/>
      <w:bookmarkStart w:id="744" w:name="_Toc10715"/>
      <w:bookmarkStart w:id="745" w:name="_Toc247514002"/>
      <w:bookmarkStart w:id="746" w:name="_Toc247527603"/>
      <w:bookmarkStart w:id="747" w:name="_Toc51288237"/>
      <w:bookmarkStart w:id="748" w:name="_Toc18424"/>
      <w:bookmarkStart w:id="749" w:name="_Toc6023"/>
      <w:bookmarkStart w:id="750" w:name="_Toc4884"/>
      <w:bookmarkStart w:id="751" w:name="_Toc23349"/>
      <w:bookmarkStart w:id="752" w:name="_Toc7665"/>
      <w:bookmarkStart w:id="753" w:name="_Toc144974546"/>
      <w:r>
        <w:rPr>
          <w:rFonts w:hint="eastAsia"/>
          <w:highlight w:val="none"/>
        </w:rPr>
        <w:t>8.4 对与评标活动有关的工作人员的纪律要求</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bookmarkStart w:id="754" w:name="_Toc152042355"/>
      <w:r>
        <w:rPr>
          <w:rFonts w:hint="eastAsia"/>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754"/>
    </w:p>
    <w:p>
      <w:pPr>
        <w:pageBreakBefore w:val="0"/>
        <w:widowControl w:val="0"/>
        <w:kinsoku/>
        <w:wordWrap/>
        <w:overflowPunct/>
        <w:topLinePunct w:val="0"/>
        <w:autoSpaceDE/>
        <w:autoSpaceDN/>
        <w:bidi w:val="0"/>
        <w:snapToGrid w:val="0"/>
        <w:spacing w:line="400" w:lineRule="exact"/>
        <w:textAlignment w:val="auto"/>
        <w:rPr>
          <w:highlight w:val="none"/>
        </w:rPr>
      </w:pPr>
      <w:bookmarkStart w:id="755" w:name="_Toc152045579"/>
      <w:bookmarkStart w:id="756" w:name="_Toc19179"/>
      <w:bookmarkStart w:id="757" w:name="_Toc20273"/>
      <w:bookmarkStart w:id="758" w:name="_Toc21284"/>
      <w:bookmarkStart w:id="759" w:name="_Toc25553"/>
      <w:bookmarkStart w:id="760" w:name="_Toc1438"/>
      <w:bookmarkStart w:id="761" w:name="_Toc152042356"/>
      <w:bookmarkStart w:id="762" w:name="_Toc16224"/>
      <w:bookmarkStart w:id="763" w:name="_Toc32712"/>
      <w:bookmarkStart w:id="764" w:name="_Toc8307"/>
      <w:bookmarkStart w:id="765" w:name="_Toc13035"/>
      <w:bookmarkStart w:id="766" w:name="_Toc51288238"/>
      <w:bookmarkStart w:id="767" w:name="_Toc247514003"/>
      <w:bookmarkStart w:id="768" w:name="_Toc247527604"/>
      <w:bookmarkStart w:id="769" w:name="_Toc20362"/>
      <w:r>
        <w:rPr>
          <w:rFonts w:hint="eastAsia"/>
          <w:highlight w:val="none"/>
        </w:rPr>
        <w:t>8.5 投诉</w:t>
      </w:r>
      <w:bookmarkEnd w:id="753"/>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pPr>
        <w:pageBreakBefore w:val="0"/>
        <w:widowControl w:val="0"/>
        <w:kinsoku/>
        <w:wordWrap/>
        <w:overflowPunct/>
        <w:topLinePunct w:val="0"/>
        <w:autoSpaceDE/>
        <w:autoSpaceDN/>
        <w:bidi w:val="0"/>
        <w:snapToGrid w:val="0"/>
        <w:spacing w:line="400" w:lineRule="exact"/>
        <w:ind w:firstLine="420" w:firstLineChars="200"/>
        <w:textAlignment w:val="auto"/>
        <w:rPr>
          <w:highlight w:val="none"/>
        </w:rPr>
      </w:pPr>
      <w:r>
        <w:rPr>
          <w:rFonts w:hint="eastAsia"/>
          <w:highlight w:val="none"/>
        </w:rPr>
        <w:t>投标人和其他利害关系人认为本次招标活动违反法律、法规和规章规定的，有权向有关行政监督部门投诉。</w:t>
      </w:r>
    </w:p>
    <w:p>
      <w:pPr>
        <w:pageBreakBefore w:val="0"/>
        <w:widowControl w:val="0"/>
        <w:kinsoku/>
        <w:wordWrap/>
        <w:overflowPunct/>
        <w:topLinePunct w:val="0"/>
        <w:autoSpaceDE/>
        <w:autoSpaceDN/>
        <w:bidi w:val="0"/>
        <w:snapToGrid w:val="0"/>
        <w:spacing w:line="400" w:lineRule="exact"/>
        <w:textAlignment w:val="auto"/>
        <w:rPr>
          <w:highlight w:val="none"/>
        </w:rPr>
      </w:pPr>
      <w:bookmarkStart w:id="770" w:name="_Toc23372"/>
      <w:bookmarkStart w:id="771" w:name="_Toc14860"/>
      <w:bookmarkStart w:id="772" w:name="_Toc10879"/>
      <w:bookmarkStart w:id="773" w:name="_Toc11713"/>
      <w:bookmarkStart w:id="774" w:name="_Toc23905"/>
      <w:bookmarkStart w:id="775" w:name="_Toc29067"/>
      <w:bookmarkStart w:id="776" w:name="_Toc14131"/>
      <w:bookmarkStart w:id="777" w:name="_Toc247514004"/>
      <w:bookmarkStart w:id="778" w:name="_Toc144974547"/>
      <w:bookmarkStart w:id="779" w:name="_Toc247527605"/>
      <w:bookmarkStart w:id="780" w:name="_Toc28377"/>
      <w:bookmarkStart w:id="781" w:name="_Toc152045580"/>
      <w:bookmarkStart w:id="782" w:name="_Toc51288239"/>
      <w:bookmarkStart w:id="783" w:name="_Toc18338"/>
      <w:bookmarkStart w:id="784" w:name="_Toc152042357"/>
      <w:bookmarkStart w:id="785" w:name="_Toc30833"/>
      <w:r>
        <w:rPr>
          <w:rFonts w:hint="eastAsia"/>
          <w:highlight w:val="none"/>
        </w:rPr>
        <w:t>9. 需要补充的其他内容</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pPr>
        <w:pageBreakBefore w:val="0"/>
        <w:widowControl w:val="0"/>
        <w:kinsoku/>
        <w:wordWrap/>
        <w:overflowPunct/>
        <w:topLinePunct w:val="0"/>
        <w:autoSpaceDE/>
        <w:autoSpaceDN/>
        <w:bidi w:val="0"/>
        <w:snapToGrid w:val="0"/>
        <w:spacing w:line="400" w:lineRule="exact"/>
        <w:ind w:firstLine="0" w:firstLineChars="0"/>
        <w:textAlignment w:val="auto"/>
        <w:rPr>
          <w:rFonts w:ascii="宋体" w:hAnsi="宋体"/>
          <w:b/>
          <w:highlight w:val="none"/>
          <w:u w:val="single"/>
        </w:rPr>
      </w:pPr>
      <w:r>
        <w:rPr>
          <w:rFonts w:hint="eastAsia" w:ascii="宋体" w:hAnsi="宋体"/>
          <w:b/>
          <w:highlight w:val="none"/>
          <w:u w:val="single"/>
        </w:rPr>
        <w:t>9</w:t>
      </w:r>
      <w:r>
        <w:rPr>
          <w:rFonts w:ascii="宋体" w:hAnsi="宋体"/>
          <w:b/>
          <w:highlight w:val="none"/>
          <w:u w:val="single"/>
        </w:rPr>
        <w:t>.</w:t>
      </w:r>
      <w:r>
        <w:rPr>
          <w:rFonts w:hint="eastAsia" w:ascii="宋体" w:hAnsi="宋体"/>
          <w:b/>
          <w:highlight w:val="none"/>
          <w:u w:val="single"/>
        </w:rPr>
        <w:t>7</w:t>
      </w:r>
      <w:r>
        <w:rPr>
          <w:rFonts w:ascii="宋体" w:hAnsi="宋体"/>
          <w:b/>
          <w:highlight w:val="none"/>
          <w:u w:val="single"/>
        </w:rPr>
        <w:t>招标代理</w:t>
      </w:r>
      <w:r>
        <w:rPr>
          <w:rFonts w:hint="eastAsia" w:ascii="宋体" w:hAnsi="宋体"/>
          <w:b/>
          <w:highlight w:val="none"/>
          <w:u w:val="single"/>
        </w:rPr>
        <w:t>相关</w:t>
      </w:r>
      <w:r>
        <w:rPr>
          <w:rFonts w:ascii="宋体" w:hAnsi="宋体"/>
          <w:b/>
          <w:highlight w:val="none"/>
          <w:u w:val="single"/>
        </w:rPr>
        <w:t>费用由中标人支付给招标代理机构</w:t>
      </w:r>
      <w:r>
        <w:rPr>
          <w:rFonts w:hint="eastAsia" w:ascii="宋体" w:hAnsi="宋体"/>
          <w:b/>
          <w:highlight w:val="none"/>
          <w:u w:val="single"/>
        </w:rPr>
        <w:t>，具体收费标准详见下表</w:t>
      </w:r>
      <w:r>
        <w:rPr>
          <w:rFonts w:ascii="宋体" w:hAnsi="宋体"/>
          <w:b/>
          <w:highlight w:val="none"/>
          <w:u w:val="single"/>
        </w:rPr>
        <w:t>。</w:t>
      </w:r>
    </w:p>
    <w:p>
      <w:pPr>
        <w:pageBreakBefore w:val="0"/>
        <w:widowControl w:val="0"/>
        <w:kinsoku/>
        <w:wordWrap/>
        <w:overflowPunct/>
        <w:topLinePunct w:val="0"/>
        <w:autoSpaceDE/>
        <w:autoSpaceDN/>
        <w:bidi w:val="0"/>
        <w:snapToGrid w:val="0"/>
        <w:spacing w:line="400" w:lineRule="exact"/>
        <w:ind w:firstLine="420" w:firstLineChars="200"/>
        <w:textAlignment w:val="auto"/>
        <w:rPr>
          <w:rFonts w:ascii="宋体" w:hAnsi="宋体"/>
          <w:highlight w:val="none"/>
        </w:rPr>
      </w:pPr>
      <w:r>
        <w:rPr>
          <w:rFonts w:hint="eastAsia" w:ascii="宋体" w:hAnsi="宋体"/>
          <w:highlight w:val="none"/>
        </w:rPr>
        <w:t>9.7.1中标人应在招标代理机构发出中标结果和《收费通知单》后5个工作日内，一次性向招标代理机构交纳招标代理服务费，其中：</w:t>
      </w:r>
    </w:p>
    <w:p>
      <w:pPr>
        <w:pageBreakBefore w:val="0"/>
        <w:widowControl w:val="0"/>
        <w:kinsoku/>
        <w:wordWrap/>
        <w:overflowPunct/>
        <w:topLinePunct w:val="0"/>
        <w:autoSpaceDE/>
        <w:autoSpaceDN/>
        <w:bidi w:val="0"/>
        <w:snapToGrid w:val="0"/>
        <w:spacing w:line="400" w:lineRule="exact"/>
        <w:ind w:firstLine="420" w:firstLineChars="200"/>
        <w:textAlignment w:val="auto"/>
        <w:rPr>
          <w:rFonts w:ascii="宋体" w:hAnsi="宋体"/>
          <w:highlight w:val="none"/>
        </w:rPr>
      </w:pPr>
      <w:r>
        <w:rPr>
          <w:rFonts w:hint="eastAsia" w:ascii="宋体" w:hAnsi="宋体"/>
          <w:highlight w:val="none"/>
        </w:rPr>
        <w:t>（1）招标文件要求填报投标总价，且招标人和中标人最终按中标总价签订合同的招标的项目，以标包/标段为单位，按中标金额采用差额定率累进法计算；</w:t>
      </w:r>
    </w:p>
    <w:p>
      <w:pPr>
        <w:pageBreakBefore w:val="0"/>
        <w:widowControl w:val="0"/>
        <w:kinsoku/>
        <w:wordWrap/>
        <w:overflowPunct/>
        <w:topLinePunct w:val="0"/>
        <w:autoSpaceDE/>
        <w:autoSpaceDN/>
        <w:bidi w:val="0"/>
        <w:snapToGrid w:val="0"/>
        <w:spacing w:line="400" w:lineRule="exact"/>
        <w:ind w:firstLine="420" w:firstLineChars="200"/>
        <w:textAlignment w:val="auto"/>
        <w:rPr>
          <w:rFonts w:ascii="宋体" w:hAnsi="宋体"/>
          <w:highlight w:val="none"/>
        </w:rPr>
      </w:pPr>
      <w:r>
        <w:rPr>
          <w:rFonts w:hint="eastAsia" w:ascii="宋体" w:hAnsi="宋体"/>
          <w:highlight w:val="none"/>
        </w:rPr>
        <w:t>（2）招标文件要求填报投标单价或投标费率，且招标人和中标人最终签订的框架合同、暂估价合同等非总价合同的招标项目，按招标公告或招标文件公布的项目估算金额，以标包/标段为单位，采用差额定率累进法计算。</w:t>
      </w:r>
    </w:p>
    <w:p>
      <w:pPr>
        <w:pageBreakBefore w:val="0"/>
        <w:widowControl w:val="0"/>
        <w:kinsoku/>
        <w:wordWrap/>
        <w:overflowPunct/>
        <w:topLinePunct w:val="0"/>
        <w:autoSpaceDE/>
        <w:autoSpaceDN/>
        <w:bidi w:val="0"/>
        <w:snapToGrid w:val="0"/>
        <w:spacing w:line="400" w:lineRule="exact"/>
        <w:ind w:firstLine="420" w:firstLineChars="200"/>
        <w:textAlignment w:val="auto"/>
        <w:rPr>
          <w:rFonts w:ascii="宋体" w:hAnsi="宋体"/>
          <w:highlight w:val="none"/>
        </w:rPr>
      </w:pPr>
      <w:r>
        <w:rPr>
          <w:rFonts w:hint="eastAsia" w:ascii="宋体" w:hAnsi="宋体"/>
          <w:highlight w:val="none"/>
        </w:rPr>
        <w:t>招标人按招标文件约定和中标比例进行分配订单合同，中标人不得以招标代理服务费按暂定价或招标概算金额进行计费而要求招标人分配订单合同金额，中标人在投标报价中自行考虑招标服务费等成本和承担履约的所有风险。</w:t>
      </w:r>
    </w:p>
    <w:p>
      <w:pPr>
        <w:spacing w:before="156" w:after="156"/>
        <w:ind w:firstLine="138"/>
        <w:jc w:val="center"/>
        <w:rPr>
          <w:highlight w:val="none"/>
        </w:rPr>
      </w:pPr>
      <w:r>
        <w:rPr>
          <w:rFonts w:hint="eastAsia"/>
          <w:highlight w:val="none"/>
        </w:rPr>
        <w:t>招标代理服务费收费标准（费率）</w:t>
      </w:r>
    </w:p>
    <w:tbl>
      <w:tblPr>
        <w:tblStyle w:val="16"/>
        <w:tblW w:w="841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1"/>
        <w:gridCol w:w="2650"/>
        <w:gridCol w:w="1734"/>
        <w:gridCol w:w="1700"/>
        <w:gridCol w:w="16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i w:val="0"/>
                <w:iCs w:val="0"/>
                <w:color w:val="auto"/>
                <w:sz w:val="21"/>
                <w:szCs w:val="21"/>
                <w:highlight w:val="none"/>
                <w:u w:val="none"/>
                <w:lang w:val="en-US" w:eastAsia="zh-CN"/>
              </w:rPr>
            </w:pPr>
          </w:p>
        </w:tc>
        <w:tc>
          <w:tcPr>
            <w:tcW w:w="26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计费基数（万元）</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rPr>
              <w:t>货物</w:t>
            </w:r>
          </w:p>
        </w:tc>
        <w:tc>
          <w:tcPr>
            <w:tcW w:w="1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rPr>
              <w:t>服务</w:t>
            </w:r>
          </w:p>
        </w:tc>
        <w:tc>
          <w:tcPr>
            <w:tcW w:w="16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rPr>
              <w:t>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711" w:type="dxa"/>
            <w:tcBorders>
              <w:top w:val="single" w:color="auto" w:sz="4" w:space="0"/>
              <w:left w:val="single" w:color="auto" w:sz="4" w:space="0"/>
              <w:bottom w:val="single" w:color="auto" w:sz="4" w:space="0"/>
              <w:right w:val="single" w:color="auto" w:sz="4" w:space="0"/>
            </w:tcBorders>
            <w:vAlign w:val="top"/>
          </w:tcPr>
          <w:p>
            <w:pPr>
              <w:widowControl/>
              <w:spacing w:before="75" w:after="75"/>
              <w:jc w:val="center"/>
              <w:rPr>
                <w:rFonts w:hint="eastAsia" w:asciiTheme="minorEastAsia" w:hAnsiTheme="minorEastAsia" w:eastAsiaTheme="minorEastAsia" w:cstheme="minorEastAsia"/>
                <w:i w:val="0"/>
                <w:iCs w:val="0"/>
                <w:color w:val="auto"/>
                <w:kern w:val="0"/>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rPr>
              <w:t>A1</w:t>
            </w:r>
          </w:p>
        </w:tc>
        <w:tc>
          <w:tcPr>
            <w:tcW w:w="26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rPr>
              <w:t>100以下</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rPr>
              <w:t>1.35%</w:t>
            </w:r>
          </w:p>
        </w:tc>
        <w:tc>
          <w:tcPr>
            <w:tcW w:w="1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rPr>
              <w:t>1.35%</w:t>
            </w:r>
          </w:p>
        </w:tc>
        <w:tc>
          <w:tcPr>
            <w:tcW w:w="16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rPr>
              <w:t>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711" w:type="dxa"/>
            <w:tcBorders>
              <w:top w:val="single" w:color="auto" w:sz="4" w:space="0"/>
              <w:left w:val="single" w:color="auto" w:sz="4" w:space="0"/>
              <w:bottom w:val="single" w:color="auto" w:sz="4" w:space="0"/>
              <w:right w:val="single" w:color="auto" w:sz="4" w:space="0"/>
            </w:tcBorders>
            <w:vAlign w:val="top"/>
          </w:tcPr>
          <w:p>
            <w:pPr>
              <w:widowControl/>
              <w:spacing w:before="75" w:after="75"/>
              <w:jc w:val="center"/>
              <w:rPr>
                <w:rFonts w:hint="eastAsia" w:asciiTheme="minorEastAsia" w:hAnsiTheme="minorEastAsia" w:eastAsiaTheme="minorEastAsia" w:cstheme="minorEastAsia"/>
                <w:i w:val="0"/>
                <w:iCs w:val="0"/>
                <w:color w:val="auto"/>
                <w:kern w:val="0"/>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rPr>
              <w:t>A2</w:t>
            </w:r>
          </w:p>
        </w:tc>
        <w:tc>
          <w:tcPr>
            <w:tcW w:w="26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rPr>
              <w:t>100-500</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rPr>
              <w:t>0.99%</w:t>
            </w:r>
          </w:p>
        </w:tc>
        <w:tc>
          <w:tcPr>
            <w:tcW w:w="1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rPr>
              <w:t>0.72%</w:t>
            </w:r>
          </w:p>
        </w:tc>
        <w:tc>
          <w:tcPr>
            <w:tcW w:w="16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rPr>
              <w:t>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711" w:type="dxa"/>
            <w:tcBorders>
              <w:top w:val="single" w:color="auto" w:sz="4" w:space="0"/>
              <w:left w:val="single" w:color="auto" w:sz="4" w:space="0"/>
              <w:bottom w:val="single" w:color="auto" w:sz="4" w:space="0"/>
              <w:right w:val="single" w:color="auto" w:sz="4" w:space="0"/>
            </w:tcBorders>
            <w:vAlign w:val="top"/>
          </w:tcPr>
          <w:p>
            <w:pPr>
              <w:widowControl/>
              <w:spacing w:before="75" w:after="75"/>
              <w:jc w:val="center"/>
              <w:rPr>
                <w:rFonts w:hint="eastAsia" w:asciiTheme="minorEastAsia" w:hAnsiTheme="minorEastAsia" w:eastAsiaTheme="minorEastAsia" w:cstheme="minorEastAsia"/>
                <w:i w:val="0"/>
                <w:iCs w:val="0"/>
                <w:color w:val="auto"/>
                <w:kern w:val="0"/>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rPr>
              <w:t>A3</w:t>
            </w:r>
          </w:p>
        </w:tc>
        <w:tc>
          <w:tcPr>
            <w:tcW w:w="26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rPr>
              <w:t>500-1000</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rPr>
              <w:t>0.768%</w:t>
            </w:r>
          </w:p>
        </w:tc>
        <w:tc>
          <w:tcPr>
            <w:tcW w:w="1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rPr>
              <w:t>0.432%</w:t>
            </w:r>
          </w:p>
        </w:tc>
        <w:tc>
          <w:tcPr>
            <w:tcW w:w="16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rPr>
              <w:t>0.528%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711" w:type="dxa"/>
            <w:tcBorders>
              <w:top w:val="single" w:color="auto" w:sz="4" w:space="0"/>
              <w:left w:val="single" w:color="auto" w:sz="4" w:space="0"/>
              <w:bottom w:val="single" w:color="auto" w:sz="4" w:space="0"/>
              <w:right w:val="single" w:color="auto" w:sz="4" w:space="0"/>
            </w:tcBorders>
            <w:vAlign w:val="top"/>
          </w:tcPr>
          <w:p>
            <w:pPr>
              <w:widowControl/>
              <w:spacing w:before="75" w:after="75"/>
              <w:jc w:val="center"/>
              <w:rPr>
                <w:rFonts w:hint="eastAsia" w:asciiTheme="minorEastAsia" w:hAnsiTheme="minorEastAsia" w:eastAsiaTheme="minorEastAsia" w:cstheme="minorEastAsia"/>
                <w:i w:val="0"/>
                <w:iCs w:val="0"/>
                <w:color w:val="auto"/>
                <w:kern w:val="0"/>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rPr>
              <w:t>A4</w:t>
            </w:r>
          </w:p>
        </w:tc>
        <w:tc>
          <w:tcPr>
            <w:tcW w:w="26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rPr>
              <w:t>1000-5000</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rPr>
              <w:t>0.480%</w:t>
            </w:r>
          </w:p>
        </w:tc>
        <w:tc>
          <w:tcPr>
            <w:tcW w:w="1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rPr>
              <w:t>0.240%</w:t>
            </w:r>
          </w:p>
        </w:tc>
        <w:tc>
          <w:tcPr>
            <w:tcW w:w="16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rPr>
              <w:t>0.336%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711" w:type="dxa"/>
            <w:tcBorders>
              <w:top w:val="single" w:color="auto" w:sz="4" w:space="0"/>
              <w:left w:val="single" w:color="auto" w:sz="4" w:space="0"/>
              <w:bottom w:val="single" w:color="auto" w:sz="4" w:space="0"/>
              <w:right w:val="single" w:color="auto" w:sz="4" w:space="0"/>
            </w:tcBorders>
            <w:vAlign w:val="top"/>
          </w:tcPr>
          <w:p>
            <w:pPr>
              <w:widowControl/>
              <w:spacing w:before="75" w:after="75"/>
              <w:jc w:val="center"/>
              <w:rPr>
                <w:rFonts w:hint="eastAsia" w:asciiTheme="minorEastAsia" w:hAnsiTheme="minorEastAsia" w:eastAsiaTheme="minorEastAsia" w:cstheme="minorEastAsia"/>
                <w:i w:val="0"/>
                <w:iCs w:val="0"/>
                <w:color w:val="auto"/>
                <w:kern w:val="0"/>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rPr>
              <w:t>A5</w:t>
            </w:r>
          </w:p>
        </w:tc>
        <w:tc>
          <w:tcPr>
            <w:tcW w:w="26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rPr>
              <w:t>5000-10000</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rPr>
              <w:t>0.240%</w:t>
            </w:r>
          </w:p>
        </w:tc>
        <w:tc>
          <w:tcPr>
            <w:tcW w:w="1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rPr>
              <w:t>0.096%</w:t>
            </w:r>
          </w:p>
        </w:tc>
        <w:tc>
          <w:tcPr>
            <w:tcW w:w="16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rPr>
              <w:t>0.192%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711" w:type="dxa"/>
            <w:tcBorders>
              <w:top w:val="single" w:color="auto" w:sz="4" w:space="0"/>
              <w:left w:val="single" w:color="auto" w:sz="4" w:space="0"/>
              <w:bottom w:val="single" w:color="auto" w:sz="4" w:space="0"/>
              <w:right w:val="single" w:color="auto" w:sz="4" w:space="0"/>
            </w:tcBorders>
            <w:vAlign w:val="top"/>
          </w:tcPr>
          <w:p>
            <w:pPr>
              <w:widowControl/>
              <w:spacing w:before="75" w:after="75"/>
              <w:jc w:val="center"/>
              <w:rPr>
                <w:rFonts w:hint="eastAsia" w:asciiTheme="minorEastAsia" w:hAnsiTheme="minorEastAsia" w:eastAsiaTheme="minorEastAsia" w:cstheme="minorEastAsia"/>
                <w:i w:val="0"/>
                <w:iCs w:val="0"/>
                <w:color w:val="auto"/>
                <w:kern w:val="0"/>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rPr>
              <w:t>A6</w:t>
            </w:r>
          </w:p>
        </w:tc>
        <w:tc>
          <w:tcPr>
            <w:tcW w:w="26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rPr>
              <w:t>10000-100000</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rPr>
              <w:t>0.048%</w:t>
            </w:r>
          </w:p>
        </w:tc>
        <w:tc>
          <w:tcPr>
            <w:tcW w:w="1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rPr>
              <w:t>0.048%</w:t>
            </w:r>
          </w:p>
        </w:tc>
        <w:tc>
          <w:tcPr>
            <w:tcW w:w="16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rPr>
              <w:t>0.048%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711" w:type="dxa"/>
            <w:tcBorders>
              <w:top w:val="single" w:color="auto" w:sz="4" w:space="0"/>
              <w:left w:val="single" w:color="auto" w:sz="4" w:space="0"/>
              <w:bottom w:val="single" w:color="auto" w:sz="4" w:space="0"/>
              <w:right w:val="single" w:color="auto" w:sz="4" w:space="0"/>
            </w:tcBorders>
            <w:vAlign w:val="top"/>
          </w:tcPr>
          <w:p>
            <w:pPr>
              <w:widowControl/>
              <w:spacing w:before="75" w:after="75"/>
              <w:jc w:val="center"/>
              <w:rPr>
                <w:rFonts w:hint="eastAsia" w:asciiTheme="minorEastAsia" w:hAnsiTheme="minorEastAsia" w:eastAsiaTheme="minorEastAsia" w:cstheme="minorEastAsia"/>
                <w:i w:val="0"/>
                <w:iCs w:val="0"/>
                <w:color w:val="auto"/>
                <w:kern w:val="0"/>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rPr>
              <w:t>A7</w:t>
            </w:r>
          </w:p>
        </w:tc>
        <w:tc>
          <w:tcPr>
            <w:tcW w:w="26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rPr>
              <w:t>100000以上</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rPr>
              <w:t>0.0096%</w:t>
            </w:r>
          </w:p>
        </w:tc>
        <w:tc>
          <w:tcPr>
            <w:tcW w:w="1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rPr>
              <w:t>0.0096%</w:t>
            </w:r>
          </w:p>
        </w:tc>
        <w:tc>
          <w:tcPr>
            <w:tcW w:w="16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rPr>
              <w:t>0.0096%</w:t>
            </w:r>
          </w:p>
        </w:tc>
      </w:tr>
    </w:tbl>
    <w:p>
      <w:pPr>
        <w:spacing w:line="400" w:lineRule="exact"/>
        <w:rPr>
          <w:highlight w:val="none"/>
        </w:rPr>
      </w:pPr>
      <w:r>
        <w:rPr>
          <w:rFonts w:hint="eastAsia"/>
          <w:highlight w:val="none"/>
        </w:rPr>
        <w:t>需要补充的其他内容：见投标人须知前附表。</w:t>
      </w:r>
    </w:p>
    <w:p>
      <w:pPr>
        <w:rPr>
          <w:highlight w:val="none"/>
        </w:rPr>
      </w:pPr>
      <w:bookmarkStart w:id="786" w:name="_Toc10726"/>
      <w:bookmarkStart w:id="787" w:name="_Toc27898"/>
      <w:bookmarkStart w:id="788" w:name="_Toc19994"/>
      <w:bookmarkStart w:id="789" w:name="_Toc11059"/>
      <w:bookmarkStart w:id="790" w:name="_Toc51288240"/>
      <w:bookmarkStart w:id="791" w:name="_Toc14894"/>
      <w:bookmarkStart w:id="792" w:name="_Toc607"/>
      <w:bookmarkStart w:id="793" w:name="_Toc16843"/>
      <w:bookmarkStart w:id="794" w:name="_Toc16219"/>
      <w:bookmarkStart w:id="795" w:name="_Toc30772"/>
      <w:bookmarkStart w:id="796" w:name="_Toc26388"/>
      <w:r>
        <w:rPr>
          <w:rFonts w:hint="eastAsia"/>
          <w:highlight w:val="none"/>
        </w:rPr>
        <w:t>10. 电子招标投标</w:t>
      </w:r>
      <w:bookmarkEnd w:id="786"/>
      <w:bookmarkEnd w:id="787"/>
      <w:bookmarkEnd w:id="788"/>
      <w:bookmarkEnd w:id="789"/>
      <w:bookmarkEnd w:id="790"/>
      <w:bookmarkEnd w:id="791"/>
      <w:bookmarkEnd w:id="792"/>
      <w:bookmarkEnd w:id="793"/>
      <w:bookmarkEnd w:id="794"/>
      <w:bookmarkEnd w:id="795"/>
      <w:bookmarkEnd w:id="796"/>
    </w:p>
    <w:p>
      <w:pPr>
        <w:spacing w:line="360" w:lineRule="auto"/>
        <w:ind w:firstLine="420" w:firstLineChars="200"/>
        <w:rPr>
          <w:rFonts w:ascii="宋体" w:cs="宋体"/>
          <w:szCs w:val="21"/>
          <w:highlight w:val="none"/>
        </w:rPr>
      </w:pPr>
      <w:r>
        <w:rPr>
          <w:rFonts w:hint="eastAsia" w:ascii="宋体" w:cs="宋体"/>
          <w:szCs w:val="21"/>
          <w:highlight w:val="none"/>
        </w:rPr>
        <w:t>本项目采用电子投标。有关</w:t>
      </w:r>
      <w:r>
        <w:rPr>
          <w:rFonts w:hint="eastAsia" w:ascii="宋体" w:cs="宋体"/>
          <w:b/>
          <w:szCs w:val="21"/>
          <w:highlight w:val="none"/>
        </w:rPr>
        <w:t>全流程电子化项目</w:t>
      </w:r>
      <w:r>
        <w:rPr>
          <w:rFonts w:hint="eastAsia" w:ascii="宋体" w:cs="宋体"/>
          <w:szCs w:val="21"/>
          <w:highlight w:val="none"/>
        </w:rPr>
        <w:t>的相关操作指南可自行在广州公共资源交易中心网站相关栏目下载，路径为广州公共资源交易中心网站&gt;服务指南&gt;系统帮助。</w:t>
      </w:r>
    </w:p>
    <w:p>
      <w:pPr>
        <w:keepNext/>
        <w:keepLines/>
        <w:spacing w:line="360" w:lineRule="auto"/>
        <w:outlineLvl w:val="1"/>
        <w:rPr>
          <w:rFonts w:ascii="Arial" w:hAnsi="Arial" w:eastAsia="黑体"/>
          <w:b/>
          <w:bCs/>
          <w:sz w:val="21"/>
          <w:szCs w:val="21"/>
          <w:highlight w:val="none"/>
        </w:rPr>
      </w:pPr>
      <w:bookmarkStart w:id="797" w:name="_Toc2810"/>
      <w:bookmarkStart w:id="798" w:name="_Toc14254"/>
      <w:r>
        <w:rPr>
          <w:rFonts w:hint="eastAsia" w:ascii="Arial" w:hAnsi="Arial" w:eastAsia="黑体"/>
          <w:b/>
          <w:bCs/>
          <w:sz w:val="21"/>
          <w:szCs w:val="21"/>
          <w:highlight w:val="none"/>
        </w:rPr>
        <w:t>11. 评标应急预案</w:t>
      </w:r>
      <w:bookmarkEnd w:id="797"/>
      <w:bookmarkEnd w:id="798"/>
    </w:p>
    <w:p>
      <w:pPr>
        <w:snapToGrid w:val="0"/>
        <w:spacing w:line="360" w:lineRule="auto"/>
        <w:rPr>
          <w:rFonts w:ascii="宋体" w:cs="宋体"/>
          <w:highlight w:val="none"/>
          <w:u w:val="single"/>
        </w:rPr>
      </w:pPr>
      <w:r>
        <w:rPr>
          <w:rFonts w:hint="eastAsia" w:ascii="宋体" w:cs="宋体"/>
          <w:highlight w:val="none"/>
          <w:u w:val="single"/>
        </w:rPr>
        <w:t>11.1电子招标投标解密失败及突发情况的补救: 见投标人须知前附表。</w:t>
      </w:r>
    </w:p>
    <w:p>
      <w:pPr>
        <w:snapToGrid w:val="0"/>
        <w:spacing w:line="360" w:lineRule="auto"/>
        <w:rPr>
          <w:rFonts w:ascii="宋体" w:cs="宋体"/>
          <w:szCs w:val="21"/>
          <w:highlight w:val="none"/>
          <w:u w:val="single"/>
        </w:rPr>
      </w:pPr>
      <w:r>
        <w:rPr>
          <w:rFonts w:hint="eastAsia" w:ascii="宋体" w:cs="宋体"/>
          <w:highlight w:val="none"/>
          <w:u w:val="single"/>
        </w:rPr>
        <w:t>11.2</w:t>
      </w:r>
      <w:r>
        <w:rPr>
          <w:rFonts w:hint="eastAsia" w:ascii="宋体" w:cs="宋体"/>
          <w:szCs w:val="21"/>
          <w:highlight w:val="none"/>
          <w:u w:val="single"/>
        </w:rPr>
        <w:t>在评标过程中，当采用全流程电子化通用型开评标系统发生评审故障时，若广州公共资源交易中心当天可解除评审故障，则继续采用电子评标系统评标；若广州公共资源交易中心当天无法解除评审故障，则评标委员会依据电子投标文件对未完成的评标活动采用手动评审，提交包含已完成电子评审成果在内的纸质评标报告。评审故障以广州公共资源交易中心的认定为准。当广州公共资源交易中心的系统维护人员在评标室告知评标委员会当天无法解除评审故障后，评标委员会即可对未完成的评标活动启动手动评审。</w:t>
      </w:r>
    </w:p>
    <w:p>
      <w:pPr>
        <w:rPr>
          <w:highlight w:val="none"/>
        </w:rPr>
      </w:pPr>
      <w:r>
        <w:rPr>
          <w:rFonts w:hint="eastAsia" w:ascii="宋体" w:cs="宋体"/>
          <w:szCs w:val="21"/>
          <w:highlight w:val="none"/>
          <w:u w:val="single"/>
        </w:rPr>
        <w:t>11.3在电子评标过程中，无论遇到任何系统异常或故障，评标委员会均应出具评标报告。</w:t>
      </w:r>
    </w:p>
    <w:p>
      <w:pPr>
        <w:rPr>
          <w:highlight w:val="none"/>
        </w:rPr>
        <w:sectPr>
          <w:footerReference r:id="rId5" w:type="default"/>
          <w:pgSz w:w="11906" w:h="16838"/>
          <w:pgMar w:top="1440" w:right="1800" w:bottom="1440" w:left="1800" w:header="851" w:footer="992" w:gutter="0"/>
          <w:pgNumType w:fmt="decimal"/>
          <w:cols w:space="425" w:num="1"/>
          <w:docGrid w:type="lines" w:linePitch="312" w:charSpace="0"/>
        </w:sectPr>
      </w:pPr>
    </w:p>
    <w:p>
      <w:pPr>
        <w:rPr>
          <w:rFonts w:ascii="宋体"/>
          <w:highlight w:val="none"/>
        </w:rPr>
      </w:pPr>
      <w:r>
        <w:rPr>
          <w:szCs w:val="21"/>
          <w:highlight w:val="none"/>
        </w:rPr>
        <w:t xml:space="preserve">    </w:t>
      </w:r>
      <w:bookmarkStart w:id="799" w:name="_Toc23767"/>
      <w:r>
        <w:rPr>
          <w:rFonts w:hint="eastAsia" w:ascii="宋体"/>
          <w:highlight w:val="none"/>
        </w:rPr>
        <w:t>附件一：开标记录表</w:t>
      </w:r>
      <w:bookmarkEnd w:id="799"/>
    </w:p>
    <w:p>
      <w:pPr>
        <w:spacing w:line="400" w:lineRule="exact"/>
        <w:jc w:val="center"/>
        <w:rPr>
          <w:rFonts w:ascii="宋体"/>
          <w:sz w:val="28"/>
          <w:szCs w:val="28"/>
          <w:highlight w:val="cyan"/>
        </w:rPr>
      </w:pPr>
      <w:r>
        <w:rPr>
          <w:rFonts w:hint="eastAsia" w:ascii="宋体"/>
          <w:sz w:val="28"/>
          <w:szCs w:val="28"/>
          <w:highlight w:val="none"/>
          <w:u w:val="single"/>
        </w:rPr>
        <w:t xml:space="preserve">        （项目名称）</w:t>
      </w:r>
      <w:r>
        <w:rPr>
          <w:rFonts w:hint="eastAsia" w:ascii="宋体"/>
          <w:sz w:val="28"/>
          <w:szCs w:val="28"/>
          <w:highlight w:val="none"/>
        </w:rPr>
        <w:t>招标开标记录表</w:t>
      </w:r>
    </w:p>
    <w:p>
      <w:pPr>
        <w:spacing w:line="360" w:lineRule="auto"/>
        <w:ind w:right="420"/>
        <w:jc w:val="right"/>
        <w:rPr>
          <w:rFonts w:ascii="宋体"/>
          <w:highlight w:val="none"/>
        </w:rPr>
      </w:pPr>
      <w:r>
        <w:rPr>
          <w:rFonts w:hint="eastAsia"/>
          <w:highlight w:val="none"/>
        </w:rPr>
        <w:t>开标时间：</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r>
        <w:rPr>
          <w:rFonts w:hint="eastAsia"/>
          <w:highlight w:val="none"/>
          <w:u w:val="single"/>
        </w:rPr>
        <w:t xml:space="preserve">      </w:t>
      </w:r>
      <w:r>
        <w:rPr>
          <w:rFonts w:hint="eastAsia"/>
          <w:highlight w:val="none"/>
        </w:rPr>
        <w:t>时</w:t>
      </w:r>
      <w:r>
        <w:rPr>
          <w:rFonts w:hint="eastAsia"/>
          <w:highlight w:val="none"/>
          <w:u w:val="single"/>
        </w:rPr>
        <w:t xml:space="preserve">      </w:t>
      </w:r>
      <w:r>
        <w:rPr>
          <w:rFonts w:hint="eastAsia"/>
          <w:highlight w:val="none"/>
        </w:rPr>
        <w:t>分</w:t>
      </w:r>
    </w:p>
    <w:tbl>
      <w:tblPr>
        <w:tblStyle w:val="16"/>
        <w:tblW w:w="93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339"/>
        <w:gridCol w:w="496"/>
        <w:gridCol w:w="525"/>
        <w:gridCol w:w="475"/>
        <w:gridCol w:w="487"/>
        <w:gridCol w:w="485"/>
        <w:gridCol w:w="475"/>
        <w:gridCol w:w="550"/>
        <w:gridCol w:w="466"/>
        <w:gridCol w:w="600"/>
        <w:gridCol w:w="817"/>
        <w:gridCol w:w="792"/>
        <w:gridCol w:w="758"/>
        <w:gridCol w:w="817"/>
        <w:gridCol w:w="691"/>
        <w:gridCol w:w="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9" w:hRule="atLeast"/>
          <w:jc w:val="center"/>
        </w:trPr>
        <w:tc>
          <w:tcPr>
            <w:tcW w:w="339" w:type="dxa"/>
            <w:vMerge w:val="restart"/>
            <w:vAlign w:val="center"/>
          </w:tcPr>
          <w:p>
            <w:pPr>
              <w:spacing w:line="240" w:lineRule="auto"/>
              <w:jc w:val="center"/>
              <w:rPr>
                <w:rFonts w:ascii="宋体"/>
                <w:sz w:val="18"/>
                <w:szCs w:val="18"/>
                <w:highlight w:val="none"/>
              </w:rPr>
            </w:pPr>
            <w:r>
              <w:rPr>
                <w:rFonts w:hint="eastAsia" w:ascii="宋体"/>
                <w:sz w:val="18"/>
                <w:szCs w:val="18"/>
                <w:highlight w:val="none"/>
              </w:rPr>
              <w:t>序号</w:t>
            </w:r>
          </w:p>
        </w:tc>
        <w:tc>
          <w:tcPr>
            <w:tcW w:w="496" w:type="dxa"/>
            <w:vMerge w:val="restart"/>
            <w:vAlign w:val="center"/>
          </w:tcPr>
          <w:p>
            <w:pPr>
              <w:spacing w:line="240" w:lineRule="auto"/>
              <w:jc w:val="center"/>
              <w:rPr>
                <w:rFonts w:ascii="宋体"/>
                <w:sz w:val="18"/>
                <w:szCs w:val="18"/>
                <w:highlight w:val="none"/>
              </w:rPr>
            </w:pPr>
            <w:r>
              <w:rPr>
                <w:rFonts w:hint="eastAsia" w:ascii="宋体"/>
                <w:sz w:val="18"/>
                <w:szCs w:val="18"/>
                <w:highlight w:val="none"/>
              </w:rPr>
              <w:t>投标人名称</w:t>
            </w:r>
          </w:p>
        </w:tc>
        <w:tc>
          <w:tcPr>
            <w:tcW w:w="525" w:type="dxa"/>
            <w:vMerge w:val="restart"/>
            <w:vAlign w:val="center"/>
          </w:tcPr>
          <w:p>
            <w:pPr>
              <w:spacing w:line="240" w:lineRule="auto"/>
              <w:jc w:val="center"/>
              <w:rPr>
                <w:rFonts w:ascii="宋体"/>
                <w:sz w:val="18"/>
                <w:szCs w:val="18"/>
                <w:highlight w:val="none"/>
              </w:rPr>
            </w:pPr>
            <w:r>
              <w:rPr>
                <w:rFonts w:hint="eastAsia" w:ascii="宋体"/>
                <w:sz w:val="18"/>
                <w:szCs w:val="18"/>
                <w:highlight w:val="none"/>
              </w:rPr>
              <w:t>投标文件递交情况</w:t>
            </w:r>
          </w:p>
        </w:tc>
        <w:tc>
          <w:tcPr>
            <w:tcW w:w="475" w:type="dxa"/>
            <w:vMerge w:val="restart"/>
            <w:vAlign w:val="center"/>
          </w:tcPr>
          <w:p>
            <w:pPr>
              <w:spacing w:line="240" w:lineRule="auto"/>
              <w:jc w:val="center"/>
              <w:rPr>
                <w:rFonts w:ascii="宋体"/>
                <w:sz w:val="18"/>
                <w:szCs w:val="18"/>
                <w:highlight w:val="none"/>
              </w:rPr>
            </w:pPr>
            <w:r>
              <w:rPr>
                <w:rFonts w:hint="eastAsia" w:ascii="宋体"/>
                <w:sz w:val="18"/>
                <w:szCs w:val="18"/>
                <w:highlight w:val="none"/>
              </w:rPr>
              <w:t>投标文件解密情况</w:t>
            </w:r>
          </w:p>
        </w:tc>
        <w:tc>
          <w:tcPr>
            <w:tcW w:w="487" w:type="dxa"/>
            <w:vMerge w:val="restart"/>
            <w:vAlign w:val="center"/>
          </w:tcPr>
          <w:p>
            <w:pPr>
              <w:spacing w:line="240" w:lineRule="auto"/>
              <w:jc w:val="center"/>
              <w:rPr>
                <w:rFonts w:ascii="宋体"/>
                <w:sz w:val="18"/>
                <w:szCs w:val="18"/>
                <w:highlight w:val="none"/>
              </w:rPr>
            </w:pPr>
            <w:r>
              <w:rPr>
                <w:rFonts w:hint="eastAsia" w:ascii="宋体"/>
                <w:sz w:val="18"/>
                <w:szCs w:val="18"/>
                <w:highlight w:val="none"/>
              </w:rPr>
              <w:t>投标保证金金额</w:t>
            </w:r>
          </w:p>
        </w:tc>
        <w:tc>
          <w:tcPr>
            <w:tcW w:w="485" w:type="dxa"/>
            <w:vMerge w:val="restart"/>
            <w:vAlign w:val="center"/>
          </w:tcPr>
          <w:p>
            <w:pPr>
              <w:spacing w:line="240" w:lineRule="auto"/>
              <w:jc w:val="center"/>
              <w:rPr>
                <w:highlight w:val="none"/>
              </w:rPr>
            </w:pPr>
            <w:r>
              <w:rPr>
                <w:rFonts w:hint="eastAsia" w:ascii="宋体"/>
                <w:sz w:val="18"/>
                <w:szCs w:val="18"/>
                <w:highlight w:val="none"/>
              </w:rPr>
              <w:t>项目负责人</w:t>
            </w:r>
          </w:p>
        </w:tc>
        <w:tc>
          <w:tcPr>
            <w:tcW w:w="475" w:type="dxa"/>
            <w:vMerge w:val="restart"/>
            <w:vAlign w:val="center"/>
          </w:tcPr>
          <w:p>
            <w:pPr>
              <w:spacing w:line="240" w:lineRule="auto"/>
              <w:jc w:val="center"/>
              <w:rPr>
                <w:rFonts w:ascii="宋体"/>
                <w:sz w:val="18"/>
                <w:szCs w:val="18"/>
                <w:highlight w:val="none"/>
              </w:rPr>
            </w:pPr>
            <w:r>
              <w:rPr>
                <w:rFonts w:hint="eastAsia" w:ascii="宋体"/>
                <w:sz w:val="18"/>
                <w:szCs w:val="18"/>
                <w:highlight w:val="none"/>
              </w:rPr>
              <w:t>设计负责人</w:t>
            </w:r>
          </w:p>
        </w:tc>
        <w:tc>
          <w:tcPr>
            <w:tcW w:w="550" w:type="dxa"/>
            <w:vMerge w:val="restart"/>
            <w:vAlign w:val="center"/>
          </w:tcPr>
          <w:p>
            <w:pPr>
              <w:spacing w:line="240" w:lineRule="auto"/>
              <w:jc w:val="center"/>
              <w:rPr>
                <w:rFonts w:hint="eastAsia" w:ascii="宋体"/>
                <w:sz w:val="18"/>
                <w:szCs w:val="18"/>
                <w:highlight w:val="none"/>
              </w:rPr>
            </w:pPr>
            <w:r>
              <w:rPr>
                <w:rFonts w:hint="eastAsia" w:ascii="宋体"/>
                <w:sz w:val="18"/>
                <w:szCs w:val="18"/>
                <w:highlight w:val="none"/>
              </w:rPr>
              <w:t>施工负责人</w:t>
            </w:r>
          </w:p>
        </w:tc>
        <w:tc>
          <w:tcPr>
            <w:tcW w:w="466" w:type="dxa"/>
            <w:vMerge w:val="restart"/>
            <w:vAlign w:val="center"/>
          </w:tcPr>
          <w:p>
            <w:pPr>
              <w:spacing w:line="240" w:lineRule="auto"/>
              <w:jc w:val="center"/>
              <w:rPr>
                <w:rFonts w:ascii="宋体"/>
                <w:sz w:val="18"/>
                <w:szCs w:val="18"/>
                <w:highlight w:val="none"/>
              </w:rPr>
            </w:pPr>
            <w:r>
              <w:rPr>
                <w:rFonts w:hint="eastAsia" w:ascii="宋体"/>
                <w:sz w:val="18"/>
                <w:szCs w:val="18"/>
                <w:highlight w:val="none"/>
              </w:rPr>
              <w:t>专职安全员</w:t>
            </w:r>
          </w:p>
        </w:tc>
        <w:tc>
          <w:tcPr>
            <w:tcW w:w="600" w:type="dxa"/>
            <w:vMerge w:val="restart"/>
            <w:vAlign w:val="center"/>
          </w:tcPr>
          <w:p>
            <w:pPr>
              <w:spacing w:line="240" w:lineRule="auto"/>
              <w:jc w:val="center"/>
              <w:rPr>
                <w:rFonts w:ascii="宋体"/>
                <w:sz w:val="18"/>
                <w:szCs w:val="18"/>
                <w:highlight w:val="none"/>
              </w:rPr>
            </w:pPr>
            <w:r>
              <w:rPr>
                <w:rFonts w:hint="eastAsia" w:ascii="宋体"/>
                <w:sz w:val="18"/>
                <w:szCs w:val="18"/>
                <w:highlight w:val="none"/>
              </w:rPr>
              <w:t>投标总报价</w:t>
            </w:r>
          </w:p>
          <w:p>
            <w:pPr>
              <w:spacing w:line="240" w:lineRule="auto"/>
              <w:jc w:val="center"/>
              <w:rPr>
                <w:rFonts w:ascii="宋体"/>
                <w:sz w:val="18"/>
                <w:szCs w:val="18"/>
                <w:highlight w:val="none"/>
              </w:rPr>
            </w:pPr>
            <w:r>
              <w:rPr>
                <w:rFonts w:hint="eastAsia" w:ascii="宋体"/>
                <w:sz w:val="18"/>
                <w:szCs w:val="18"/>
                <w:highlight w:val="none"/>
              </w:rPr>
              <w:t>（元）</w:t>
            </w:r>
          </w:p>
        </w:tc>
        <w:tc>
          <w:tcPr>
            <w:tcW w:w="2367" w:type="dxa"/>
            <w:gridSpan w:val="3"/>
            <w:vAlign w:val="center"/>
          </w:tcPr>
          <w:p>
            <w:pPr>
              <w:spacing w:line="240" w:lineRule="auto"/>
              <w:jc w:val="center"/>
              <w:rPr>
                <w:rFonts w:hint="eastAsia" w:ascii="宋体"/>
                <w:sz w:val="18"/>
                <w:szCs w:val="18"/>
                <w:highlight w:val="none"/>
              </w:rPr>
            </w:pPr>
            <w:r>
              <w:rPr>
                <w:rFonts w:hint="eastAsia" w:ascii="宋体"/>
                <w:sz w:val="18"/>
                <w:szCs w:val="18"/>
                <w:highlight w:val="none"/>
              </w:rPr>
              <w:t>其中</w:t>
            </w:r>
          </w:p>
        </w:tc>
        <w:tc>
          <w:tcPr>
            <w:tcW w:w="817" w:type="dxa"/>
            <w:vMerge w:val="restart"/>
            <w:vAlign w:val="center"/>
          </w:tcPr>
          <w:p>
            <w:pPr>
              <w:spacing w:line="240" w:lineRule="auto"/>
              <w:jc w:val="center"/>
              <w:rPr>
                <w:rFonts w:hint="eastAsia" w:ascii="宋体" w:cs="Times New Roman"/>
                <w:sz w:val="18"/>
                <w:szCs w:val="18"/>
                <w:highlight w:val="none"/>
              </w:rPr>
            </w:pPr>
            <w:r>
              <w:rPr>
                <w:rFonts w:hint="eastAsia" w:ascii="宋体" w:cs="Times New Roman"/>
                <w:sz w:val="18"/>
                <w:szCs w:val="18"/>
                <w:highlight w:val="none"/>
              </w:rPr>
              <w:t>质量标准</w:t>
            </w:r>
          </w:p>
        </w:tc>
        <w:tc>
          <w:tcPr>
            <w:tcW w:w="691" w:type="dxa"/>
            <w:vMerge w:val="restart"/>
            <w:vAlign w:val="center"/>
          </w:tcPr>
          <w:p>
            <w:pPr>
              <w:spacing w:line="240" w:lineRule="auto"/>
              <w:jc w:val="center"/>
              <w:rPr>
                <w:rFonts w:ascii="宋体"/>
                <w:sz w:val="18"/>
                <w:szCs w:val="18"/>
                <w:highlight w:val="none"/>
              </w:rPr>
            </w:pPr>
            <w:r>
              <w:rPr>
                <w:rFonts w:hint="eastAsia" w:ascii="宋体"/>
                <w:sz w:val="18"/>
                <w:szCs w:val="18"/>
                <w:highlight w:val="none"/>
              </w:rPr>
              <w:t>工期</w:t>
            </w:r>
          </w:p>
        </w:tc>
        <w:tc>
          <w:tcPr>
            <w:tcW w:w="557" w:type="dxa"/>
            <w:vMerge w:val="restart"/>
            <w:vAlign w:val="center"/>
          </w:tcPr>
          <w:p>
            <w:pPr>
              <w:spacing w:line="240" w:lineRule="auto"/>
              <w:jc w:val="center"/>
              <w:rPr>
                <w:rFonts w:ascii="宋体"/>
                <w:sz w:val="18"/>
                <w:szCs w:val="18"/>
                <w:highlight w:val="none"/>
              </w:rPr>
            </w:pPr>
            <w:r>
              <w:rPr>
                <w:rFonts w:hint="eastAsia" w:ascii="宋体"/>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12" w:hRule="atLeast"/>
          <w:jc w:val="center"/>
        </w:trPr>
        <w:tc>
          <w:tcPr>
            <w:tcW w:w="339" w:type="dxa"/>
            <w:vMerge w:val="continue"/>
            <w:vAlign w:val="center"/>
          </w:tcPr>
          <w:p>
            <w:pPr>
              <w:spacing w:line="240" w:lineRule="auto"/>
              <w:jc w:val="center"/>
              <w:rPr>
                <w:rFonts w:hint="eastAsia" w:ascii="宋体"/>
                <w:sz w:val="18"/>
                <w:szCs w:val="18"/>
                <w:highlight w:val="none"/>
              </w:rPr>
            </w:pPr>
          </w:p>
        </w:tc>
        <w:tc>
          <w:tcPr>
            <w:tcW w:w="496" w:type="dxa"/>
            <w:vMerge w:val="continue"/>
            <w:vAlign w:val="center"/>
          </w:tcPr>
          <w:p>
            <w:pPr>
              <w:spacing w:line="240" w:lineRule="auto"/>
              <w:jc w:val="center"/>
              <w:rPr>
                <w:rFonts w:hint="eastAsia" w:ascii="宋体"/>
                <w:sz w:val="18"/>
                <w:szCs w:val="18"/>
                <w:highlight w:val="none"/>
              </w:rPr>
            </w:pPr>
          </w:p>
        </w:tc>
        <w:tc>
          <w:tcPr>
            <w:tcW w:w="525" w:type="dxa"/>
            <w:vMerge w:val="continue"/>
            <w:vAlign w:val="center"/>
          </w:tcPr>
          <w:p>
            <w:pPr>
              <w:spacing w:line="240" w:lineRule="auto"/>
              <w:jc w:val="center"/>
              <w:rPr>
                <w:rFonts w:hint="eastAsia" w:ascii="宋体"/>
                <w:sz w:val="18"/>
                <w:szCs w:val="18"/>
                <w:highlight w:val="none"/>
              </w:rPr>
            </w:pPr>
          </w:p>
        </w:tc>
        <w:tc>
          <w:tcPr>
            <w:tcW w:w="475" w:type="dxa"/>
            <w:vMerge w:val="continue"/>
            <w:vAlign w:val="center"/>
          </w:tcPr>
          <w:p>
            <w:pPr>
              <w:spacing w:line="240" w:lineRule="auto"/>
              <w:jc w:val="center"/>
              <w:rPr>
                <w:rFonts w:hint="eastAsia" w:ascii="宋体"/>
                <w:sz w:val="18"/>
                <w:szCs w:val="18"/>
                <w:highlight w:val="none"/>
              </w:rPr>
            </w:pPr>
          </w:p>
        </w:tc>
        <w:tc>
          <w:tcPr>
            <w:tcW w:w="487" w:type="dxa"/>
            <w:vMerge w:val="continue"/>
            <w:vAlign w:val="center"/>
          </w:tcPr>
          <w:p>
            <w:pPr>
              <w:spacing w:line="240" w:lineRule="auto"/>
              <w:jc w:val="center"/>
              <w:rPr>
                <w:rFonts w:hint="eastAsia" w:ascii="宋体"/>
                <w:sz w:val="18"/>
                <w:szCs w:val="18"/>
                <w:highlight w:val="none"/>
              </w:rPr>
            </w:pPr>
          </w:p>
        </w:tc>
        <w:tc>
          <w:tcPr>
            <w:tcW w:w="485" w:type="dxa"/>
            <w:vMerge w:val="continue"/>
            <w:vAlign w:val="center"/>
          </w:tcPr>
          <w:p>
            <w:pPr>
              <w:spacing w:line="240" w:lineRule="auto"/>
              <w:jc w:val="center"/>
              <w:rPr>
                <w:rFonts w:hint="eastAsia" w:ascii="宋体"/>
                <w:sz w:val="18"/>
                <w:szCs w:val="18"/>
                <w:highlight w:val="none"/>
              </w:rPr>
            </w:pPr>
          </w:p>
        </w:tc>
        <w:tc>
          <w:tcPr>
            <w:tcW w:w="475" w:type="dxa"/>
            <w:vMerge w:val="continue"/>
            <w:vAlign w:val="center"/>
          </w:tcPr>
          <w:p>
            <w:pPr>
              <w:spacing w:line="240" w:lineRule="auto"/>
              <w:jc w:val="center"/>
              <w:rPr>
                <w:rFonts w:hint="eastAsia" w:ascii="宋体"/>
                <w:sz w:val="18"/>
                <w:szCs w:val="18"/>
                <w:highlight w:val="none"/>
              </w:rPr>
            </w:pPr>
          </w:p>
        </w:tc>
        <w:tc>
          <w:tcPr>
            <w:tcW w:w="550" w:type="dxa"/>
            <w:vMerge w:val="continue"/>
            <w:vAlign w:val="center"/>
          </w:tcPr>
          <w:p>
            <w:pPr>
              <w:spacing w:line="240" w:lineRule="auto"/>
              <w:jc w:val="center"/>
              <w:rPr>
                <w:rFonts w:hint="eastAsia" w:ascii="宋体"/>
                <w:sz w:val="18"/>
                <w:szCs w:val="18"/>
                <w:highlight w:val="none"/>
              </w:rPr>
            </w:pPr>
          </w:p>
        </w:tc>
        <w:tc>
          <w:tcPr>
            <w:tcW w:w="466" w:type="dxa"/>
            <w:vMerge w:val="continue"/>
            <w:vAlign w:val="center"/>
          </w:tcPr>
          <w:p>
            <w:pPr>
              <w:spacing w:line="240" w:lineRule="auto"/>
              <w:jc w:val="center"/>
              <w:rPr>
                <w:rFonts w:hint="eastAsia" w:ascii="宋体"/>
                <w:sz w:val="18"/>
                <w:szCs w:val="18"/>
                <w:highlight w:val="none"/>
              </w:rPr>
            </w:pPr>
          </w:p>
        </w:tc>
        <w:tc>
          <w:tcPr>
            <w:tcW w:w="600" w:type="dxa"/>
            <w:vMerge w:val="continue"/>
            <w:vAlign w:val="center"/>
          </w:tcPr>
          <w:p>
            <w:pPr>
              <w:spacing w:line="240" w:lineRule="auto"/>
              <w:jc w:val="center"/>
              <w:rPr>
                <w:rFonts w:hint="eastAsia" w:ascii="宋体"/>
                <w:sz w:val="18"/>
                <w:szCs w:val="18"/>
                <w:highlight w:val="none"/>
              </w:rPr>
            </w:pPr>
          </w:p>
        </w:tc>
        <w:tc>
          <w:tcPr>
            <w:tcW w:w="817" w:type="dxa"/>
            <w:vAlign w:val="center"/>
          </w:tcPr>
          <w:p>
            <w:pPr>
              <w:spacing w:line="240" w:lineRule="auto"/>
              <w:jc w:val="center"/>
              <w:rPr>
                <w:rFonts w:hint="eastAsia" w:ascii="宋体"/>
                <w:sz w:val="18"/>
                <w:szCs w:val="18"/>
                <w:highlight w:val="none"/>
              </w:rPr>
            </w:pPr>
            <w:r>
              <w:rPr>
                <w:rFonts w:hint="eastAsia" w:ascii="宋体"/>
                <w:sz w:val="18"/>
                <w:szCs w:val="18"/>
                <w:highlight w:val="none"/>
                <w:lang w:val="en-US" w:eastAsia="zh-CN"/>
              </w:rPr>
              <w:t>建安</w:t>
            </w:r>
            <w:r>
              <w:rPr>
                <w:rFonts w:hint="eastAsia" w:ascii="宋体"/>
                <w:sz w:val="18"/>
                <w:szCs w:val="18"/>
                <w:highlight w:val="none"/>
              </w:rPr>
              <w:t>费报价（元）</w:t>
            </w:r>
          </w:p>
        </w:tc>
        <w:tc>
          <w:tcPr>
            <w:tcW w:w="792" w:type="dxa"/>
            <w:vAlign w:val="center"/>
          </w:tcPr>
          <w:p>
            <w:pPr>
              <w:spacing w:line="240" w:lineRule="auto"/>
              <w:jc w:val="center"/>
              <w:rPr>
                <w:rFonts w:hint="eastAsia" w:ascii="宋体"/>
                <w:sz w:val="18"/>
                <w:szCs w:val="18"/>
                <w:highlight w:val="none"/>
              </w:rPr>
            </w:pPr>
            <w:r>
              <w:rPr>
                <w:rFonts w:hint="eastAsia" w:ascii="宋体"/>
                <w:sz w:val="18"/>
                <w:szCs w:val="18"/>
                <w:highlight w:val="none"/>
              </w:rPr>
              <w:t>设计费报价（元）</w:t>
            </w:r>
          </w:p>
        </w:tc>
        <w:tc>
          <w:tcPr>
            <w:tcW w:w="758" w:type="dxa"/>
            <w:vAlign w:val="center"/>
          </w:tcPr>
          <w:p>
            <w:pPr>
              <w:spacing w:line="240" w:lineRule="auto"/>
              <w:jc w:val="center"/>
              <w:rPr>
                <w:rFonts w:hint="eastAsia" w:ascii="宋体" w:cs="Times New Roman"/>
                <w:sz w:val="18"/>
                <w:szCs w:val="18"/>
                <w:highlight w:val="none"/>
                <w:lang w:val="en-US" w:eastAsia="zh-CN"/>
              </w:rPr>
            </w:pPr>
            <w:r>
              <w:rPr>
                <w:rFonts w:hint="eastAsia" w:ascii="宋体" w:hAnsi="Times New Roman" w:eastAsia="宋体" w:cs="Times New Roman"/>
                <w:bCs w:val="0"/>
                <w:color w:val="auto"/>
                <w:kern w:val="0"/>
                <w:sz w:val="18"/>
                <w:szCs w:val="18"/>
                <w:highlight w:val="none"/>
              </w:rPr>
              <w:t>其他费</w:t>
            </w:r>
            <w:r>
              <w:rPr>
                <w:rFonts w:hint="eastAsia" w:ascii="宋体" w:hAnsi="Times New Roman" w:cs="Times New Roman"/>
                <w:bCs w:val="0"/>
                <w:color w:val="auto"/>
                <w:kern w:val="0"/>
                <w:sz w:val="18"/>
                <w:szCs w:val="18"/>
                <w:highlight w:val="none"/>
                <w:lang w:val="en-US" w:eastAsia="zh-CN"/>
              </w:rPr>
              <w:t>报价（元）</w:t>
            </w:r>
          </w:p>
        </w:tc>
        <w:tc>
          <w:tcPr>
            <w:tcW w:w="817" w:type="dxa"/>
            <w:vMerge w:val="continue"/>
            <w:vAlign w:val="center"/>
          </w:tcPr>
          <w:p>
            <w:pPr>
              <w:spacing w:line="240" w:lineRule="auto"/>
              <w:jc w:val="center"/>
              <w:rPr>
                <w:rFonts w:hint="eastAsia" w:ascii="宋体" w:cs="Times New Roman"/>
                <w:sz w:val="18"/>
                <w:szCs w:val="18"/>
                <w:highlight w:val="none"/>
              </w:rPr>
            </w:pPr>
          </w:p>
        </w:tc>
        <w:tc>
          <w:tcPr>
            <w:tcW w:w="691" w:type="dxa"/>
            <w:vMerge w:val="continue"/>
            <w:vAlign w:val="center"/>
          </w:tcPr>
          <w:p>
            <w:pPr>
              <w:spacing w:line="240" w:lineRule="auto"/>
              <w:jc w:val="center"/>
              <w:rPr>
                <w:rFonts w:hint="eastAsia" w:ascii="宋体"/>
                <w:sz w:val="18"/>
                <w:szCs w:val="18"/>
                <w:highlight w:val="none"/>
              </w:rPr>
            </w:pPr>
          </w:p>
        </w:tc>
        <w:tc>
          <w:tcPr>
            <w:tcW w:w="557" w:type="dxa"/>
            <w:vMerge w:val="continue"/>
            <w:vAlign w:val="center"/>
          </w:tcPr>
          <w:p>
            <w:pPr>
              <w:spacing w:line="240" w:lineRule="auto"/>
              <w:jc w:val="center"/>
              <w:rPr>
                <w:rFonts w:hint="eastAsia" w:asci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339" w:type="dxa"/>
          </w:tcPr>
          <w:p>
            <w:pPr>
              <w:spacing w:line="240" w:lineRule="auto"/>
              <w:rPr>
                <w:rFonts w:ascii="宋体"/>
                <w:szCs w:val="21"/>
                <w:highlight w:val="none"/>
              </w:rPr>
            </w:pPr>
          </w:p>
        </w:tc>
        <w:tc>
          <w:tcPr>
            <w:tcW w:w="496" w:type="dxa"/>
          </w:tcPr>
          <w:p>
            <w:pPr>
              <w:spacing w:line="240" w:lineRule="auto"/>
              <w:rPr>
                <w:rFonts w:ascii="宋体"/>
                <w:szCs w:val="21"/>
                <w:highlight w:val="none"/>
              </w:rPr>
            </w:pPr>
          </w:p>
        </w:tc>
        <w:tc>
          <w:tcPr>
            <w:tcW w:w="525" w:type="dxa"/>
          </w:tcPr>
          <w:p>
            <w:pPr>
              <w:spacing w:line="240" w:lineRule="auto"/>
              <w:rPr>
                <w:rFonts w:ascii="宋体"/>
                <w:szCs w:val="21"/>
                <w:highlight w:val="none"/>
              </w:rPr>
            </w:pPr>
          </w:p>
        </w:tc>
        <w:tc>
          <w:tcPr>
            <w:tcW w:w="475" w:type="dxa"/>
          </w:tcPr>
          <w:p>
            <w:pPr>
              <w:spacing w:line="240" w:lineRule="auto"/>
              <w:rPr>
                <w:rFonts w:ascii="宋体"/>
                <w:szCs w:val="21"/>
                <w:highlight w:val="none"/>
              </w:rPr>
            </w:pPr>
          </w:p>
        </w:tc>
        <w:tc>
          <w:tcPr>
            <w:tcW w:w="487" w:type="dxa"/>
          </w:tcPr>
          <w:p>
            <w:pPr>
              <w:spacing w:line="240" w:lineRule="auto"/>
              <w:rPr>
                <w:rFonts w:ascii="宋体"/>
                <w:szCs w:val="21"/>
                <w:highlight w:val="none"/>
              </w:rPr>
            </w:pPr>
          </w:p>
        </w:tc>
        <w:tc>
          <w:tcPr>
            <w:tcW w:w="485" w:type="dxa"/>
          </w:tcPr>
          <w:p>
            <w:pPr>
              <w:spacing w:line="240" w:lineRule="auto"/>
              <w:rPr>
                <w:rFonts w:ascii="宋体"/>
                <w:szCs w:val="21"/>
                <w:highlight w:val="none"/>
              </w:rPr>
            </w:pPr>
          </w:p>
        </w:tc>
        <w:tc>
          <w:tcPr>
            <w:tcW w:w="475" w:type="dxa"/>
          </w:tcPr>
          <w:p>
            <w:pPr>
              <w:spacing w:line="240" w:lineRule="auto"/>
              <w:rPr>
                <w:rFonts w:ascii="宋体"/>
                <w:szCs w:val="21"/>
                <w:highlight w:val="none"/>
              </w:rPr>
            </w:pPr>
          </w:p>
        </w:tc>
        <w:tc>
          <w:tcPr>
            <w:tcW w:w="550" w:type="dxa"/>
          </w:tcPr>
          <w:p>
            <w:pPr>
              <w:spacing w:line="240" w:lineRule="auto"/>
              <w:rPr>
                <w:rFonts w:ascii="宋体"/>
                <w:szCs w:val="21"/>
                <w:highlight w:val="none"/>
              </w:rPr>
            </w:pPr>
          </w:p>
        </w:tc>
        <w:tc>
          <w:tcPr>
            <w:tcW w:w="466" w:type="dxa"/>
          </w:tcPr>
          <w:p>
            <w:pPr>
              <w:spacing w:line="240" w:lineRule="auto"/>
              <w:rPr>
                <w:rFonts w:ascii="宋体"/>
                <w:szCs w:val="21"/>
                <w:highlight w:val="none"/>
              </w:rPr>
            </w:pPr>
          </w:p>
        </w:tc>
        <w:tc>
          <w:tcPr>
            <w:tcW w:w="600" w:type="dxa"/>
          </w:tcPr>
          <w:p>
            <w:pPr>
              <w:spacing w:line="240" w:lineRule="auto"/>
              <w:rPr>
                <w:rFonts w:ascii="宋体"/>
                <w:szCs w:val="21"/>
                <w:highlight w:val="none"/>
              </w:rPr>
            </w:pPr>
          </w:p>
        </w:tc>
        <w:tc>
          <w:tcPr>
            <w:tcW w:w="817" w:type="dxa"/>
          </w:tcPr>
          <w:p>
            <w:pPr>
              <w:spacing w:line="240" w:lineRule="auto"/>
              <w:rPr>
                <w:rFonts w:ascii="宋体"/>
                <w:szCs w:val="21"/>
                <w:highlight w:val="none"/>
              </w:rPr>
            </w:pPr>
          </w:p>
        </w:tc>
        <w:tc>
          <w:tcPr>
            <w:tcW w:w="792" w:type="dxa"/>
          </w:tcPr>
          <w:p>
            <w:pPr>
              <w:spacing w:line="240" w:lineRule="auto"/>
              <w:jc w:val="center"/>
              <w:rPr>
                <w:rFonts w:ascii="宋体"/>
                <w:szCs w:val="21"/>
                <w:highlight w:val="none"/>
              </w:rPr>
            </w:pPr>
          </w:p>
        </w:tc>
        <w:tc>
          <w:tcPr>
            <w:tcW w:w="758" w:type="dxa"/>
          </w:tcPr>
          <w:p>
            <w:pPr>
              <w:spacing w:line="240" w:lineRule="auto"/>
              <w:jc w:val="center"/>
              <w:rPr>
                <w:rFonts w:ascii="宋体"/>
                <w:szCs w:val="21"/>
                <w:highlight w:val="none"/>
              </w:rPr>
            </w:pPr>
          </w:p>
        </w:tc>
        <w:tc>
          <w:tcPr>
            <w:tcW w:w="817" w:type="dxa"/>
          </w:tcPr>
          <w:p>
            <w:pPr>
              <w:spacing w:line="240" w:lineRule="auto"/>
              <w:jc w:val="center"/>
              <w:rPr>
                <w:rFonts w:ascii="宋体"/>
                <w:szCs w:val="21"/>
                <w:highlight w:val="none"/>
              </w:rPr>
            </w:pPr>
          </w:p>
        </w:tc>
        <w:tc>
          <w:tcPr>
            <w:tcW w:w="691" w:type="dxa"/>
          </w:tcPr>
          <w:p>
            <w:pPr>
              <w:spacing w:line="240" w:lineRule="auto"/>
              <w:jc w:val="center"/>
              <w:rPr>
                <w:rFonts w:ascii="宋体"/>
                <w:szCs w:val="21"/>
                <w:highlight w:val="none"/>
              </w:rPr>
            </w:pPr>
          </w:p>
        </w:tc>
        <w:tc>
          <w:tcPr>
            <w:tcW w:w="557" w:type="dxa"/>
            <w:vAlign w:val="center"/>
          </w:tcPr>
          <w:p>
            <w:pPr>
              <w:spacing w:line="240" w:lineRule="auto"/>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339" w:type="dxa"/>
          </w:tcPr>
          <w:p>
            <w:pPr>
              <w:spacing w:line="240" w:lineRule="auto"/>
              <w:rPr>
                <w:rFonts w:ascii="宋体"/>
                <w:szCs w:val="21"/>
                <w:highlight w:val="none"/>
              </w:rPr>
            </w:pPr>
          </w:p>
        </w:tc>
        <w:tc>
          <w:tcPr>
            <w:tcW w:w="496" w:type="dxa"/>
          </w:tcPr>
          <w:p>
            <w:pPr>
              <w:spacing w:line="240" w:lineRule="auto"/>
              <w:rPr>
                <w:rFonts w:ascii="宋体"/>
                <w:szCs w:val="21"/>
                <w:highlight w:val="none"/>
              </w:rPr>
            </w:pPr>
          </w:p>
        </w:tc>
        <w:tc>
          <w:tcPr>
            <w:tcW w:w="525" w:type="dxa"/>
          </w:tcPr>
          <w:p>
            <w:pPr>
              <w:spacing w:line="240" w:lineRule="auto"/>
              <w:rPr>
                <w:rFonts w:ascii="宋体"/>
                <w:szCs w:val="21"/>
                <w:highlight w:val="none"/>
              </w:rPr>
            </w:pPr>
          </w:p>
        </w:tc>
        <w:tc>
          <w:tcPr>
            <w:tcW w:w="475" w:type="dxa"/>
          </w:tcPr>
          <w:p>
            <w:pPr>
              <w:spacing w:line="240" w:lineRule="auto"/>
              <w:rPr>
                <w:rFonts w:ascii="宋体"/>
                <w:szCs w:val="21"/>
                <w:highlight w:val="none"/>
              </w:rPr>
            </w:pPr>
          </w:p>
        </w:tc>
        <w:tc>
          <w:tcPr>
            <w:tcW w:w="487" w:type="dxa"/>
          </w:tcPr>
          <w:p>
            <w:pPr>
              <w:spacing w:line="240" w:lineRule="auto"/>
              <w:rPr>
                <w:rFonts w:ascii="宋体"/>
                <w:szCs w:val="21"/>
                <w:highlight w:val="none"/>
              </w:rPr>
            </w:pPr>
          </w:p>
        </w:tc>
        <w:tc>
          <w:tcPr>
            <w:tcW w:w="485" w:type="dxa"/>
          </w:tcPr>
          <w:p>
            <w:pPr>
              <w:spacing w:line="240" w:lineRule="auto"/>
              <w:rPr>
                <w:rFonts w:ascii="宋体"/>
                <w:szCs w:val="21"/>
                <w:highlight w:val="none"/>
              </w:rPr>
            </w:pPr>
          </w:p>
        </w:tc>
        <w:tc>
          <w:tcPr>
            <w:tcW w:w="475" w:type="dxa"/>
          </w:tcPr>
          <w:p>
            <w:pPr>
              <w:spacing w:line="240" w:lineRule="auto"/>
              <w:rPr>
                <w:rFonts w:ascii="宋体"/>
                <w:szCs w:val="21"/>
                <w:highlight w:val="none"/>
              </w:rPr>
            </w:pPr>
          </w:p>
        </w:tc>
        <w:tc>
          <w:tcPr>
            <w:tcW w:w="550" w:type="dxa"/>
          </w:tcPr>
          <w:p>
            <w:pPr>
              <w:spacing w:line="240" w:lineRule="auto"/>
              <w:rPr>
                <w:rFonts w:ascii="宋体"/>
                <w:szCs w:val="21"/>
                <w:highlight w:val="none"/>
              </w:rPr>
            </w:pPr>
          </w:p>
        </w:tc>
        <w:tc>
          <w:tcPr>
            <w:tcW w:w="466" w:type="dxa"/>
          </w:tcPr>
          <w:p>
            <w:pPr>
              <w:spacing w:line="240" w:lineRule="auto"/>
              <w:rPr>
                <w:rFonts w:ascii="宋体"/>
                <w:szCs w:val="21"/>
                <w:highlight w:val="none"/>
              </w:rPr>
            </w:pPr>
          </w:p>
        </w:tc>
        <w:tc>
          <w:tcPr>
            <w:tcW w:w="600" w:type="dxa"/>
          </w:tcPr>
          <w:p>
            <w:pPr>
              <w:spacing w:line="240" w:lineRule="auto"/>
              <w:rPr>
                <w:rFonts w:ascii="宋体"/>
                <w:szCs w:val="21"/>
                <w:highlight w:val="none"/>
              </w:rPr>
            </w:pPr>
          </w:p>
        </w:tc>
        <w:tc>
          <w:tcPr>
            <w:tcW w:w="817" w:type="dxa"/>
          </w:tcPr>
          <w:p>
            <w:pPr>
              <w:spacing w:line="240" w:lineRule="auto"/>
              <w:rPr>
                <w:rFonts w:ascii="宋体"/>
                <w:szCs w:val="21"/>
                <w:highlight w:val="none"/>
              </w:rPr>
            </w:pPr>
          </w:p>
        </w:tc>
        <w:tc>
          <w:tcPr>
            <w:tcW w:w="792" w:type="dxa"/>
          </w:tcPr>
          <w:p>
            <w:pPr>
              <w:spacing w:line="240" w:lineRule="auto"/>
              <w:jc w:val="center"/>
              <w:rPr>
                <w:rFonts w:ascii="宋体"/>
                <w:szCs w:val="21"/>
                <w:highlight w:val="none"/>
              </w:rPr>
            </w:pPr>
          </w:p>
        </w:tc>
        <w:tc>
          <w:tcPr>
            <w:tcW w:w="758" w:type="dxa"/>
          </w:tcPr>
          <w:p>
            <w:pPr>
              <w:spacing w:line="240" w:lineRule="auto"/>
              <w:jc w:val="center"/>
              <w:rPr>
                <w:rFonts w:ascii="宋体"/>
                <w:szCs w:val="21"/>
                <w:highlight w:val="none"/>
              </w:rPr>
            </w:pPr>
          </w:p>
        </w:tc>
        <w:tc>
          <w:tcPr>
            <w:tcW w:w="817" w:type="dxa"/>
          </w:tcPr>
          <w:p>
            <w:pPr>
              <w:spacing w:line="240" w:lineRule="auto"/>
              <w:jc w:val="center"/>
              <w:rPr>
                <w:rFonts w:ascii="宋体"/>
                <w:szCs w:val="21"/>
                <w:highlight w:val="none"/>
              </w:rPr>
            </w:pPr>
          </w:p>
        </w:tc>
        <w:tc>
          <w:tcPr>
            <w:tcW w:w="691" w:type="dxa"/>
          </w:tcPr>
          <w:p>
            <w:pPr>
              <w:spacing w:line="240" w:lineRule="auto"/>
              <w:jc w:val="center"/>
              <w:rPr>
                <w:rFonts w:ascii="宋体"/>
                <w:szCs w:val="21"/>
                <w:highlight w:val="none"/>
              </w:rPr>
            </w:pPr>
          </w:p>
        </w:tc>
        <w:tc>
          <w:tcPr>
            <w:tcW w:w="557" w:type="dxa"/>
            <w:vAlign w:val="center"/>
          </w:tcPr>
          <w:p>
            <w:pPr>
              <w:spacing w:line="240" w:lineRule="auto"/>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339" w:type="dxa"/>
          </w:tcPr>
          <w:p>
            <w:pPr>
              <w:spacing w:line="240" w:lineRule="auto"/>
              <w:rPr>
                <w:rFonts w:ascii="宋体"/>
                <w:szCs w:val="21"/>
                <w:highlight w:val="none"/>
              </w:rPr>
            </w:pPr>
          </w:p>
        </w:tc>
        <w:tc>
          <w:tcPr>
            <w:tcW w:w="496" w:type="dxa"/>
          </w:tcPr>
          <w:p>
            <w:pPr>
              <w:spacing w:line="240" w:lineRule="auto"/>
              <w:rPr>
                <w:rFonts w:ascii="宋体"/>
                <w:szCs w:val="21"/>
                <w:highlight w:val="none"/>
              </w:rPr>
            </w:pPr>
          </w:p>
        </w:tc>
        <w:tc>
          <w:tcPr>
            <w:tcW w:w="525" w:type="dxa"/>
          </w:tcPr>
          <w:p>
            <w:pPr>
              <w:spacing w:line="240" w:lineRule="auto"/>
              <w:rPr>
                <w:rFonts w:ascii="宋体"/>
                <w:szCs w:val="21"/>
                <w:highlight w:val="none"/>
              </w:rPr>
            </w:pPr>
          </w:p>
        </w:tc>
        <w:tc>
          <w:tcPr>
            <w:tcW w:w="475" w:type="dxa"/>
          </w:tcPr>
          <w:p>
            <w:pPr>
              <w:spacing w:line="240" w:lineRule="auto"/>
              <w:rPr>
                <w:rFonts w:ascii="宋体"/>
                <w:szCs w:val="21"/>
                <w:highlight w:val="none"/>
              </w:rPr>
            </w:pPr>
          </w:p>
        </w:tc>
        <w:tc>
          <w:tcPr>
            <w:tcW w:w="487" w:type="dxa"/>
          </w:tcPr>
          <w:p>
            <w:pPr>
              <w:spacing w:line="240" w:lineRule="auto"/>
              <w:rPr>
                <w:rFonts w:ascii="宋体"/>
                <w:szCs w:val="21"/>
                <w:highlight w:val="none"/>
              </w:rPr>
            </w:pPr>
          </w:p>
        </w:tc>
        <w:tc>
          <w:tcPr>
            <w:tcW w:w="485" w:type="dxa"/>
          </w:tcPr>
          <w:p>
            <w:pPr>
              <w:spacing w:line="240" w:lineRule="auto"/>
              <w:rPr>
                <w:rFonts w:ascii="宋体"/>
                <w:szCs w:val="21"/>
                <w:highlight w:val="none"/>
              </w:rPr>
            </w:pPr>
          </w:p>
        </w:tc>
        <w:tc>
          <w:tcPr>
            <w:tcW w:w="475" w:type="dxa"/>
          </w:tcPr>
          <w:p>
            <w:pPr>
              <w:spacing w:line="240" w:lineRule="auto"/>
              <w:rPr>
                <w:rFonts w:ascii="宋体"/>
                <w:szCs w:val="21"/>
                <w:highlight w:val="none"/>
              </w:rPr>
            </w:pPr>
          </w:p>
        </w:tc>
        <w:tc>
          <w:tcPr>
            <w:tcW w:w="550" w:type="dxa"/>
          </w:tcPr>
          <w:p>
            <w:pPr>
              <w:spacing w:line="240" w:lineRule="auto"/>
              <w:rPr>
                <w:rFonts w:ascii="宋体"/>
                <w:szCs w:val="21"/>
                <w:highlight w:val="none"/>
              </w:rPr>
            </w:pPr>
          </w:p>
        </w:tc>
        <w:tc>
          <w:tcPr>
            <w:tcW w:w="466" w:type="dxa"/>
          </w:tcPr>
          <w:p>
            <w:pPr>
              <w:spacing w:line="240" w:lineRule="auto"/>
              <w:rPr>
                <w:rFonts w:ascii="宋体"/>
                <w:szCs w:val="21"/>
                <w:highlight w:val="none"/>
              </w:rPr>
            </w:pPr>
          </w:p>
        </w:tc>
        <w:tc>
          <w:tcPr>
            <w:tcW w:w="600" w:type="dxa"/>
          </w:tcPr>
          <w:p>
            <w:pPr>
              <w:spacing w:line="240" w:lineRule="auto"/>
              <w:rPr>
                <w:rFonts w:ascii="宋体"/>
                <w:szCs w:val="21"/>
                <w:highlight w:val="none"/>
              </w:rPr>
            </w:pPr>
          </w:p>
        </w:tc>
        <w:tc>
          <w:tcPr>
            <w:tcW w:w="817" w:type="dxa"/>
          </w:tcPr>
          <w:p>
            <w:pPr>
              <w:spacing w:line="240" w:lineRule="auto"/>
              <w:rPr>
                <w:rFonts w:ascii="宋体"/>
                <w:szCs w:val="21"/>
                <w:highlight w:val="none"/>
              </w:rPr>
            </w:pPr>
          </w:p>
        </w:tc>
        <w:tc>
          <w:tcPr>
            <w:tcW w:w="792" w:type="dxa"/>
          </w:tcPr>
          <w:p>
            <w:pPr>
              <w:spacing w:line="240" w:lineRule="auto"/>
              <w:jc w:val="center"/>
              <w:rPr>
                <w:rFonts w:ascii="宋体"/>
                <w:szCs w:val="21"/>
                <w:highlight w:val="none"/>
              </w:rPr>
            </w:pPr>
          </w:p>
        </w:tc>
        <w:tc>
          <w:tcPr>
            <w:tcW w:w="758" w:type="dxa"/>
          </w:tcPr>
          <w:p>
            <w:pPr>
              <w:spacing w:line="240" w:lineRule="auto"/>
              <w:jc w:val="center"/>
              <w:rPr>
                <w:rFonts w:ascii="宋体"/>
                <w:szCs w:val="21"/>
                <w:highlight w:val="none"/>
              </w:rPr>
            </w:pPr>
          </w:p>
        </w:tc>
        <w:tc>
          <w:tcPr>
            <w:tcW w:w="817" w:type="dxa"/>
          </w:tcPr>
          <w:p>
            <w:pPr>
              <w:spacing w:line="240" w:lineRule="auto"/>
              <w:jc w:val="center"/>
              <w:rPr>
                <w:rFonts w:ascii="宋体"/>
                <w:szCs w:val="21"/>
                <w:highlight w:val="none"/>
              </w:rPr>
            </w:pPr>
          </w:p>
        </w:tc>
        <w:tc>
          <w:tcPr>
            <w:tcW w:w="691" w:type="dxa"/>
          </w:tcPr>
          <w:p>
            <w:pPr>
              <w:spacing w:line="240" w:lineRule="auto"/>
              <w:jc w:val="center"/>
              <w:rPr>
                <w:rFonts w:ascii="宋体"/>
                <w:szCs w:val="21"/>
                <w:highlight w:val="none"/>
              </w:rPr>
            </w:pPr>
          </w:p>
        </w:tc>
        <w:tc>
          <w:tcPr>
            <w:tcW w:w="557" w:type="dxa"/>
            <w:vAlign w:val="center"/>
          </w:tcPr>
          <w:p>
            <w:pPr>
              <w:spacing w:line="240" w:lineRule="auto"/>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339" w:type="dxa"/>
          </w:tcPr>
          <w:p>
            <w:pPr>
              <w:spacing w:line="240" w:lineRule="auto"/>
              <w:rPr>
                <w:rFonts w:ascii="宋体"/>
                <w:szCs w:val="21"/>
                <w:highlight w:val="none"/>
              </w:rPr>
            </w:pPr>
          </w:p>
        </w:tc>
        <w:tc>
          <w:tcPr>
            <w:tcW w:w="496" w:type="dxa"/>
          </w:tcPr>
          <w:p>
            <w:pPr>
              <w:spacing w:line="240" w:lineRule="auto"/>
              <w:rPr>
                <w:rFonts w:ascii="宋体"/>
                <w:szCs w:val="21"/>
                <w:highlight w:val="none"/>
              </w:rPr>
            </w:pPr>
          </w:p>
        </w:tc>
        <w:tc>
          <w:tcPr>
            <w:tcW w:w="525" w:type="dxa"/>
          </w:tcPr>
          <w:p>
            <w:pPr>
              <w:spacing w:line="240" w:lineRule="auto"/>
              <w:rPr>
                <w:rFonts w:ascii="宋体"/>
                <w:szCs w:val="21"/>
                <w:highlight w:val="none"/>
              </w:rPr>
            </w:pPr>
          </w:p>
        </w:tc>
        <w:tc>
          <w:tcPr>
            <w:tcW w:w="475" w:type="dxa"/>
          </w:tcPr>
          <w:p>
            <w:pPr>
              <w:spacing w:line="240" w:lineRule="auto"/>
              <w:rPr>
                <w:rFonts w:ascii="宋体"/>
                <w:szCs w:val="21"/>
                <w:highlight w:val="none"/>
              </w:rPr>
            </w:pPr>
          </w:p>
        </w:tc>
        <w:tc>
          <w:tcPr>
            <w:tcW w:w="487" w:type="dxa"/>
          </w:tcPr>
          <w:p>
            <w:pPr>
              <w:spacing w:line="240" w:lineRule="auto"/>
              <w:rPr>
                <w:rFonts w:ascii="宋体"/>
                <w:szCs w:val="21"/>
                <w:highlight w:val="none"/>
              </w:rPr>
            </w:pPr>
          </w:p>
        </w:tc>
        <w:tc>
          <w:tcPr>
            <w:tcW w:w="485" w:type="dxa"/>
          </w:tcPr>
          <w:p>
            <w:pPr>
              <w:spacing w:line="240" w:lineRule="auto"/>
              <w:rPr>
                <w:rFonts w:ascii="宋体"/>
                <w:szCs w:val="21"/>
                <w:highlight w:val="none"/>
              </w:rPr>
            </w:pPr>
          </w:p>
        </w:tc>
        <w:tc>
          <w:tcPr>
            <w:tcW w:w="475" w:type="dxa"/>
          </w:tcPr>
          <w:p>
            <w:pPr>
              <w:spacing w:line="240" w:lineRule="auto"/>
              <w:rPr>
                <w:rFonts w:ascii="宋体"/>
                <w:szCs w:val="21"/>
                <w:highlight w:val="none"/>
              </w:rPr>
            </w:pPr>
          </w:p>
        </w:tc>
        <w:tc>
          <w:tcPr>
            <w:tcW w:w="550" w:type="dxa"/>
          </w:tcPr>
          <w:p>
            <w:pPr>
              <w:spacing w:line="240" w:lineRule="auto"/>
              <w:rPr>
                <w:rFonts w:ascii="宋体"/>
                <w:szCs w:val="21"/>
                <w:highlight w:val="none"/>
              </w:rPr>
            </w:pPr>
          </w:p>
        </w:tc>
        <w:tc>
          <w:tcPr>
            <w:tcW w:w="466" w:type="dxa"/>
          </w:tcPr>
          <w:p>
            <w:pPr>
              <w:spacing w:line="240" w:lineRule="auto"/>
              <w:rPr>
                <w:rFonts w:ascii="宋体"/>
                <w:szCs w:val="21"/>
                <w:highlight w:val="none"/>
              </w:rPr>
            </w:pPr>
          </w:p>
        </w:tc>
        <w:tc>
          <w:tcPr>
            <w:tcW w:w="600" w:type="dxa"/>
          </w:tcPr>
          <w:p>
            <w:pPr>
              <w:spacing w:line="240" w:lineRule="auto"/>
              <w:rPr>
                <w:rFonts w:ascii="宋体"/>
                <w:szCs w:val="21"/>
                <w:highlight w:val="none"/>
              </w:rPr>
            </w:pPr>
          </w:p>
        </w:tc>
        <w:tc>
          <w:tcPr>
            <w:tcW w:w="817" w:type="dxa"/>
          </w:tcPr>
          <w:p>
            <w:pPr>
              <w:spacing w:line="240" w:lineRule="auto"/>
              <w:rPr>
                <w:rFonts w:ascii="宋体"/>
                <w:szCs w:val="21"/>
                <w:highlight w:val="none"/>
              </w:rPr>
            </w:pPr>
          </w:p>
        </w:tc>
        <w:tc>
          <w:tcPr>
            <w:tcW w:w="792" w:type="dxa"/>
          </w:tcPr>
          <w:p>
            <w:pPr>
              <w:spacing w:line="240" w:lineRule="auto"/>
              <w:jc w:val="center"/>
              <w:rPr>
                <w:rFonts w:ascii="宋体"/>
                <w:szCs w:val="21"/>
                <w:highlight w:val="none"/>
              </w:rPr>
            </w:pPr>
          </w:p>
        </w:tc>
        <w:tc>
          <w:tcPr>
            <w:tcW w:w="758" w:type="dxa"/>
          </w:tcPr>
          <w:p>
            <w:pPr>
              <w:spacing w:line="240" w:lineRule="auto"/>
              <w:jc w:val="center"/>
              <w:rPr>
                <w:rFonts w:ascii="宋体"/>
                <w:szCs w:val="21"/>
                <w:highlight w:val="none"/>
              </w:rPr>
            </w:pPr>
          </w:p>
        </w:tc>
        <w:tc>
          <w:tcPr>
            <w:tcW w:w="817" w:type="dxa"/>
          </w:tcPr>
          <w:p>
            <w:pPr>
              <w:spacing w:line="240" w:lineRule="auto"/>
              <w:jc w:val="center"/>
              <w:rPr>
                <w:rFonts w:ascii="宋体"/>
                <w:szCs w:val="21"/>
                <w:highlight w:val="none"/>
              </w:rPr>
            </w:pPr>
          </w:p>
        </w:tc>
        <w:tc>
          <w:tcPr>
            <w:tcW w:w="691" w:type="dxa"/>
          </w:tcPr>
          <w:p>
            <w:pPr>
              <w:spacing w:line="240" w:lineRule="auto"/>
              <w:jc w:val="center"/>
              <w:rPr>
                <w:rFonts w:ascii="宋体"/>
                <w:szCs w:val="21"/>
                <w:highlight w:val="none"/>
              </w:rPr>
            </w:pPr>
          </w:p>
        </w:tc>
        <w:tc>
          <w:tcPr>
            <w:tcW w:w="557" w:type="dxa"/>
            <w:vAlign w:val="center"/>
          </w:tcPr>
          <w:p>
            <w:pPr>
              <w:spacing w:line="240" w:lineRule="auto"/>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339" w:type="dxa"/>
          </w:tcPr>
          <w:p>
            <w:pPr>
              <w:spacing w:line="240" w:lineRule="auto"/>
              <w:rPr>
                <w:rFonts w:ascii="宋体"/>
                <w:szCs w:val="21"/>
                <w:highlight w:val="none"/>
              </w:rPr>
            </w:pPr>
          </w:p>
        </w:tc>
        <w:tc>
          <w:tcPr>
            <w:tcW w:w="496" w:type="dxa"/>
          </w:tcPr>
          <w:p>
            <w:pPr>
              <w:spacing w:line="240" w:lineRule="auto"/>
              <w:rPr>
                <w:rFonts w:ascii="宋体"/>
                <w:szCs w:val="21"/>
                <w:highlight w:val="none"/>
              </w:rPr>
            </w:pPr>
          </w:p>
        </w:tc>
        <w:tc>
          <w:tcPr>
            <w:tcW w:w="525" w:type="dxa"/>
          </w:tcPr>
          <w:p>
            <w:pPr>
              <w:spacing w:line="240" w:lineRule="auto"/>
              <w:rPr>
                <w:rFonts w:ascii="宋体"/>
                <w:szCs w:val="21"/>
                <w:highlight w:val="none"/>
              </w:rPr>
            </w:pPr>
          </w:p>
        </w:tc>
        <w:tc>
          <w:tcPr>
            <w:tcW w:w="475" w:type="dxa"/>
          </w:tcPr>
          <w:p>
            <w:pPr>
              <w:spacing w:line="240" w:lineRule="auto"/>
              <w:rPr>
                <w:rFonts w:ascii="宋体"/>
                <w:szCs w:val="21"/>
                <w:highlight w:val="none"/>
              </w:rPr>
            </w:pPr>
          </w:p>
        </w:tc>
        <w:tc>
          <w:tcPr>
            <w:tcW w:w="487" w:type="dxa"/>
          </w:tcPr>
          <w:p>
            <w:pPr>
              <w:spacing w:line="240" w:lineRule="auto"/>
              <w:rPr>
                <w:rFonts w:ascii="宋体"/>
                <w:szCs w:val="21"/>
                <w:highlight w:val="none"/>
              </w:rPr>
            </w:pPr>
          </w:p>
        </w:tc>
        <w:tc>
          <w:tcPr>
            <w:tcW w:w="485" w:type="dxa"/>
          </w:tcPr>
          <w:p>
            <w:pPr>
              <w:spacing w:line="240" w:lineRule="auto"/>
              <w:rPr>
                <w:rFonts w:ascii="宋体"/>
                <w:szCs w:val="21"/>
                <w:highlight w:val="none"/>
              </w:rPr>
            </w:pPr>
          </w:p>
        </w:tc>
        <w:tc>
          <w:tcPr>
            <w:tcW w:w="475" w:type="dxa"/>
          </w:tcPr>
          <w:p>
            <w:pPr>
              <w:spacing w:line="240" w:lineRule="auto"/>
              <w:rPr>
                <w:rFonts w:ascii="宋体"/>
                <w:szCs w:val="21"/>
                <w:highlight w:val="none"/>
              </w:rPr>
            </w:pPr>
          </w:p>
        </w:tc>
        <w:tc>
          <w:tcPr>
            <w:tcW w:w="550" w:type="dxa"/>
          </w:tcPr>
          <w:p>
            <w:pPr>
              <w:spacing w:line="240" w:lineRule="auto"/>
              <w:rPr>
                <w:rFonts w:ascii="宋体"/>
                <w:szCs w:val="21"/>
                <w:highlight w:val="none"/>
              </w:rPr>
            </w:pPr>
          </w:p>
        </w:tc>
        <w:tc>
          <w:tcPr>
            <w:tcW w:w="466" w:type="dxa"/>
          </w:tcPr>
          <w:p>
            <w:pPr>
              <w:spacing w:line="240" w:lineRule="auto"/>
              <w:rPr>
                <w:rFonts w:ascii="宋体"/>
                <w:szCs w:val="21"/>
                <w:highlight w:val="none"/>
              </w:rPr>
            </w:pPr>
          </w:p>
        </w:tc>
        <w:tc>
          <w:tcPr>
            <w:tcW w:w="600" w:type="dxa"/>
          </w:tcPr>
          <w:p>
            <w:pPr>
              <w:spacing w:line="240" w:lineRule="auto"/>
              <w:rPr>
                <w:rFonts w:ascii="宋体"/>
                <w:szCs w:val="21"/>
                <w:highlight w:val="none"/>
              </w:rPr>
            </w:pPr>
          </w:p>
        </w:tc>
        <w:tc>
          <w:tcPr>
            <w:tcW w:w="817" w:type="dxa"/>
          </w:tcPr>
          <w:p>
            <w:pPr>
              <w:spacing w:line="240" w:lineRule="auto"/>
              <w:rPr>
                <w:rFonts w:ascii="宋体"/>
                <w:szCs w:val="21"/>
                <w:highlight w:val="none"/>
              </w:rPr>
            </w:pPr>
          </w:p>
        </w:tc>
        <w:tc>
          <w:tcPr>
            <w:tcW w:w="792" w:type="dxa"/>
          </w:tcPr>
          <w:p>
            <w:pPr>
              <w:spacing w:line="240" w:lineRule="auto"/>
              <w:jc w:val="center"/>
              <w:rPr>
                <w:rFonts w:ascii="宋体"/>
                <w:szCs w:val="21"/>
                <w:highlight w:val="none"/>
              </w:rPr>
            </w:pPr>
          </w:p>
        </w:tc>
        <w:tc>
          <w:tcPr>
            <w:tcW w:w="758" w:type="dxa"/>
          </w:tcPr>
          <w:p>
            <w:pPr>
              <w:spacing w:line="240" w:lineRule="auto"/>
              <w:jc w:val="center"/>
              <w:rPr>
                <w:rFonts w:ascii="宋体"/>
                <w:szCs w:val="21"/>
                <w:highlight w:val="none"/>
              </w:rPr>
            </w:pPr>
          </w:p>
        </w:tc>
        <w:tc>
          <w:tcPr>
            <w:tcW w:w="817" w:type="dxa"/>
          </w:tcPr>
          <w:p>
            <w:pPr>
              <w:spacing w:line="240" w:lineRule="auto"/>
              <w:jc w:val="center"/>
              <w:rPr>
                <w:rFonts w:ascii="宋体"/>
                <w:szCs w:val="21"/>
                <w:highlight w:val="none"/>
              </w:rPr>
            </w:pPr>
          </w:p>
        </w:tc>
        <w:tc>
          <w:tcPr>
            <w:tcW w:w="691" w:type="dxa"/>
          </w:tcPr>
          <w:p>
            <w:pPr>
              <w:spacing w:line="240" w:lineRule="auto"/>
              <w:jc w:val="center"/>
              <w:rPr>
                <w:rFonts w:ascii="宋体"/>
                <w:szCs w:val="21"/>
                <w:highlight w:val="none"/>
              </w:rPr>
            </w:pPr>
          </w:p>
        </w:tc>
        <w:tc>
          <w:tcPr>
            <w:tcW w:w="557" w:type="dxa"/>
            <w:vAlign w:val="center"/>
          </w:tcPr>
          <w:p>
            <w:pPr>
              <w:spacing w:line="240" w:lineRule="auto"/>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339" w:type="dxa"/>
          </w:tcPr>
          <w:p>
            <w:pPr>
              <w:spacing w:line="240" w:lineRule="auto"/>
              <w:rPr>
                <w:rFonts w:ascii="宋体"/>
                <w:szCs w:val="21"/>
                <w:highlight w:val="none"/>
              </w:rPr>
            </w:pPr>
          </w:p>
        </w:tc>
        <w:tc>
          <w:tcPr>
            <w:tcW w:w="496" w:type="dxa"/>
          </w:tcPr>
          <w:p>
            <w:pPr>
              <w:spacing w:line="240" w:lineRule="auto"/>
              <w:rPr>
                <w:rFonts w:ascii="宋体"/>
                <w:szCs w:val="21"/>
                <w:highlight w:val="none"/>
              </w:rPr>
            </w:pPr>
          </w:p>
        </w:tc>
        <w:tc>
          <w:tcPr>
            <w:tcW w:w="525" w:type="dxa"/>
          </w:tcPr>
          <w:p>
            <w:pPr>
              <w:spacing w:line="240" w:lineRule="auto"/>
              <w:rPr>
                <w:rFonts w:ascii="宋体"/>
                <w:szCs w:val="21"/>
                <w:highlight w:val="none"/>
              </w:rPr>
            </w:pPr>
          </w:p>
        </w:tc>
        <w:tc>
          <w:tcPr>
            <w:tcW w:w="475" w:type="dxa"/>
          </w:tcPr>
          <w:p>
            <w:pPr>
              <w:spacing w:line="240" w:lineRule="auto"/>
              <w:rPr>
                <w:rFonts w:ascii="宋体"/>
                <w:szCs w:val="21"/>
                <w:highlight w:val="none"/>
              </w:rPr>
            </w:pPr>
          </w:p>
        </w:tc>
        <w:tc>
          <w:tcPr>
            <w:tcW w:w="487" w:type="dxa"/>
          </w:tcPr>
          <w:p>
            <w:pPr>
              <w:spacing w:line="240" w:lineRule="auto"/>
              <w:rPr>
                <w:rFonts w:ascii="宋体"/>
                <w:szCs w:val="21"/>
                <w:highlight w:val="none"/>
              </w:rPr>
            </w:pPr>
          </w:p>
        </w:tc>
        <w:tc>
          <w:tcPr>
            <w:tcW w:w="485" w:type="dxa"/>
          </w:tcPr>
          <w:p>
            <w:pPr>
              <w:spacing w:line="240" w:lineRule="auto"/>
              <w:rPr>
                <w:rFonts w:ascii="宋体"/>
                <w:szCs w:val="21"/>
                <w:highlight w:val="none"/>
              </w:rPr>
            </w:pPr>
          </w:p>
        </w:tc>
        <w:tc>
          <w:tcPr>
            <w:tcW w:w="475" w:type="dxa"/>
          </w:tcPr>
          <w:p>
            <w:pPr>
              <w:spacing w:line="240" w:lineRule="auto"/>
              <w:rPr>
                <w:rFonts w:ascii="宋体"/>
                <w:szCs w:val="21"/>
                <w:highlight w:val="none"/>
              </w:rPr>
            </w:pPr>
          </w:p>
        </w:tc>
        <w:tc>
          <w:tcPr>
            <w:tcW w:w="550" w:type="dxa"/>
          </w:tcPr>
          <w:p>
            <w:pPr>
              <w:spacing w:line="240" w:lineRule="auto"/>
              <w:rPr>
                <w:rFonts w:ascii="宋体"/>
                <w:szCs w:val="21"/>
                <w:highlight w:val="none"/>
              </w:rPr>
            </w:pPr>
          </w:p>
        </w:tc>
        <w:tc>
          <w:tcPr>
            <w:tcW w:w="466" w:type="dxa"/>
          </w:tcPr>
          <w:p>
            <w:pPr>
              <w:spacing w:line="240" w:lineRule="auto"/>
              <w:rPr>
                <w:rFonts w:ascii="宋体"/>
                <w:szCs w:val="21"/>
                <w:highlight w:val="none"/>
              </w:rPr>
            </w:pPr>
          </w:p>
        </w:tc>
        <w:tc>
          <w:tcPr>
            <w:tcW w:w="600" w:type="dxa"/>
          </w:tcPr>
          <w:p>
            <w:pPr>
              <w:spacing w:line="240" w:lineRule="auto"/>
              <w:rPr>
                <w:rFonts w:ascii="宋体"/>
                <w:szCs w:val="21"/>
                <w:highlight w:val="none"/>
              </w:rPr>
            </w:pPr>
          </w:p>
        </w:tc>
        <w:tc>
          <w:tcPr>
            <w:tcW w:w="817" w:type="dxa"/>
          </w:tcPr>
          <w:p>
            <w:pPr>
              <w:spacing w:line="240" w:lineRule="auto"/>
              <w:rPr>
                <w:rFonts w:ascii="宋体"/>
                <w:szCs w:val="21"/>
                <w:highlight w:val="none"/>
              </w:rPr>
            </w:pPr>
          </w:p>
        </w:tc>
        <w:tc>
          <w:tcPr>
            <w:tcW w:w="792" w:type="dxa"/>
          </w:tcPr>
          <w:p>
            <w:pPr>
              <w:spacing w:line="240" w:lineRule="auto"/>
              <w:jc w:val="center"/>
              <w:rPr>
                <w:rFonts w:ascii="宋体"/>
                <w:szCs w:val="21"/>
                <w:highlight w:val="none"/>
              </w:rPr>
            </w:pPr>
          </w:p>
        </w:tc>
        <w:tc>
          <w:tcPr>
            <w:tcW w:w="758" w:type="dxa"/>
          </w:tcPr>
          <w:p>
            <w:pPr>
              <w:spacing w:line="240" w:lineRule="auto"/>
              <w:jc w:val="center"/>
              <w:rPr>
                <w:rFonts w:ascii="宋体"/>
                <w:szCs w:val="21"/>
                <w:highlight w:val="none"/>
              </w:rPr>
            </w:pPr>
          </w:p>
        </w:tc>
        <w:tc>
          <w:tcPr>
            <w:tcW w:w="817" w:type="dxa"/>
          </w:tcPr>
          <w:p>
            <w:pPr>
              <w:spacing w:line="240" w:lineRule="auto"/>
              <w:jc w:val="center"/>
              <w:rPr>
                <w:rFonts w:ascii="宋体"/>
                <w:szCs w:val="21"/>
                <w:highlight w:val="none"/>
              </w:rPr>
            </w:pPr>
          </w:p>
        </w:tc>
        <w:tc>
          <w:tcPr>
            <w:tcW w:w="691" w:type="dxa"/>
          </w:tcPr>
          <w:p>
            <w:pPr>
              <w:spacing w:line="240" w:lineRule="auto"/>
              <w:jc w:val="center"/>
              <w:rPr>
                <w:rFonts w:ascii="宋体"/>
                <w:szCs w:val="21"/>
                <w:highlight w:val="none"/>
              </w:rPr>
            </w:pPr>
          </w:p>
        </w:tc>
        <w:tc>
          <w:tcPr>
            <w:tcW w:w="557" w:type="dxa"/>
            <w:vAlign w:val="center"/>
          </w:tcPr>
          <w:p>
            <w:pPr>
              <w:spacing w:line="240" w:lineRule="auto"/>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339" w:type="dxa"/>
          </w:tcPr>
          <w:p>
            <w:pPr>
              <w:spacing w:line="240" w:lineRule="auto"/>
              <w:rPr>
                <w:rFonts w:ascii="宋体"/>
                <w:szCs w:val="21"/>
                <w:highlight w:val="none"/>
              </w:rPr>
            </w:pPr>
          </w:p>
        </w:tc>
        <w:tc>
          <w:tcPr>
            <w:tcW w:w="496" w:type="dxa"/>
          </w:tcPr>
          <w:p>
            <w:pPr>
              <w:spacing w:line="240" w:lineRule="auto"/>
              <w:rPr>
                <w:rFonts w:ascii="宋体"/>
                <w:szCs w:val="21"/>
                <w:highlight w:val="none"/>
              </w:rPr>
            </w:pPr>
          </w:p>
        </w:tc>
        <w:tc>
          <w:tcPr>
            <w:tcW w:w="525" w:type="dxa"/>
          </w:tcPr>
          <w:p>
            <w:pPr>
              <w:spacing w:line="240" w:lineRule="auto"/>
              <w:rPr>
                <w:rFonts w:ascii="宋体"/>
                <w:szCs w:val="21"/>
                <w:highlight w:val="none"/>
              </w:rPr>
            </w:pPr>
          </w:p>
        </w:tc>
        <w:tc>
          <w:tcPr>
            <w:tcW w:w="475" w:type="dxa"/>
          </w:tcPr>
          <w:p>
            <w:pPr>
              <w:spacing w:line="240" w:lineRule="auto"/>
              <w:rPr>
                <w:rFonts w:ascii="宋体"/>
                <w:szCs w:val="21"/>
                <w:highlight w:val="none"/>
              </w:rPr>
            </w:pPr>
          </w:p>
        </w:tc>
        <w:tc>
          <w:tcPr>
            <w:tcW w:w="487" w:type="dxa"/>
          </w:tcPr>
          <w:p>
            <w:pPr>
              <w:spacing w:line="240" w:lineRule="auto"/>
              <w:rPr>
                <w:rFonts w:ascii="宋体"/>
                <w:szCs w:val="21"/>
                <w:highlight w:val="none"/>
              </w:rPr>
            </w:pPr>
          </w:p>
        </w:tc>
        <w:tc>
          <w:tcPr>
            <w:tcW w:w="485" w:type="dxa"/>
          </w:tcPr>
          <w:p>
            <w:pPr>
              <w:spacing w:line="240" w:lineRule="auto"/>
              <w:rPr>
                <w:rFonts w:ascii="宋体"/>
                <w:szCs w:val="21"/>
                <w:highlight w:val="none"/>
              </w:rPr>
            </w:pPr>
          </w:p>
        </w:tc>
        <w:tc>
          <w:tcPr>
            <w:tcW w:w="475" w:type="dxa"/>
          </w:tcPr>
          <w:p>
            <w:pPr>
              <w:spacing w:line="240" w:lineRule="auto"/>
              <w:rPr>
                <w:rFonts w:ascii="宋体"/>
                <w:szCs w:val="21"/>
                <w:highlight w:val="none"/>
              </w:rPr>
            </w:pPr>
          </w:p>
        </w:tc>
        <w:tc>
          <w:tcPr>
            <w:tcW w:w="550" w:type="dxa"/>
          </w:tcPr>
          <w:p>
            <w:pPr>
              <w:spacing w:line="240" w:lineRule="auto"/>
              <w:rPr>
                <w:rFonts w:ascii="宋体"/>
                <w:szCs w:val="21"/>
                <w:highlight w:val="none"/>
              </w:rPr>
            </w:pPr>
          </w:p>
        </w:tc>
        <w:tc>
          <w:tcPr>
            <w:tcW w:w="466" w:type="dxa"/>
          </w:tcPr>
          <w:p>
            <w:pPr>
              <w:spacing w:line="240" w:lineRule="auto"/>
              <w:rPr>
                <w:rFonts w:ascii="宋体"/>
                <w:szCs w:val="21"/>
                <w:highlight w:val="none"/>
              </w:rPr>
            </w:pPr>
          </w:p>
        </w:tc>
        <w:tc>
          <w:tcPr>
            <w:tcW w:w="600" w:type="dxa"/>
          </w:tcPr>
          <w:p>
            <w:pPr>
              <w:spacing w:line="240" w:lineRule="auto"/>
              <w:rPr>
                <w:rFonts w:ascii="宋体"/>
                <w:szCs w:val="21"/>
                <w:highlight w:val="none"/>
              </w:rPr>
            </w:pPr>
          </w:p>
        </w:tc>
        <w:tc>
          <w:tcPr>
            <w:tcW w:w="817" w:type="dxa"/>
          </w:tcPr>
          <w:p>
            <w:pPr>
              <w:spacing w:line="240" w:lineRule="auto"/>
              <w:rPr>
                <w:rFonts w:ascii="宋体"/>
                <w:szCs w:val="21"/>
                <w:highlight w:val="none"/>
              </w:rPr>
            </w:pPr>
          </w:p>
        </w:tc>
        <w:tc>
          <w:tcPr>
            <w:tcW w:w="792" w:type="dxa"/>
          </w:tcPr>
          <w:p>
            <w:pPr>
              <w:spacing w:line="240" w:lineRule="auto"/>
              <w:jc w:val="center"/>
              <w:rPr>
                <w:rFonts w:ascii="宋体"/>
                <w:szCs w:val="21"/>
                <w:highlight w:val="none"/>
              </w:rPr>
            </w:pPr>
          </w:p>
        </w:tc>
        <w:tc>
          <w:tcPr>
            <w:tcW w:w="758" w:type="dxa"/>
          </w:tcPr>
          <w:p>
            <w:pPr>
              <w:spacing w:line="240" w:lineRule="auto"/>
              <w:jc w:val="center"/>
              <w:rPr>
                <w:rFonts w:ascii="宋体"/>
                <w:szCs w:val="21"/>
                <w:highlight w:val="none"/>
              </w:rPr>
            </w:pPr>
          </w:p>
        </w:tc>
        <w:tc>
          <w:tcPr>
            <w:tcW w:w="817" w:type="dxa"/>
          </w:tcPr>
          <w:p>
            <w:pPr>
              <w:spacing w:line="240" w:lineRule="auto"/>
              <w:jc w:val="center"/>
              <w:rPr>
                <w:rFonts w:ascii="宋体"/>
                <w:szCs w:val="21"/>
                <w:highlight w:val="none"/>
              </w:rPr>
            </w:pPr>
          </w:p>
        </w:tc>
        <w:tc>
          <w:tcPr>
            <w:tcW w:w="691" w:type="dxa"/>
          </w:tcPr>
          <w:p>
            <w:pPr>
              <w:spacing w:line="240" w:lineRule="auto"/>
              <w:jc w:val="center"/>
              <w:rPr>
                <w:rFonts w:ascii="宋体"/>
                <w:szCs w:val="21"/>
                <w:highlight w:val="none"/>
              </w:rPr>
            </w:pPr>
          </w:p>
        </w:tc>
        <w:tc>
          <w:tcPr>
            <w:tcW w:w="557" w:type="dxa"/>
            <w:vAlign w:val="center"/>
          </w:tcPr>
          <w:p>
            <w:pPr>
              <w:spacing w:line="240" w:lineRule="auto"/>
              <w:jc w:val="center"/>
              <w:rPr>
                <w:rFonts w:ascii="宋体"/>
                <w:szCs w:val="21"/>
                <w:highlight w:val="none"/>
              </w:rPr>
            </w:pPr>
          </w:p>
        </w:tc>
      </w:tr>
    </w:tbl>
    <w:p>
      <w:pPr>
        <w:spacing w:line="400" w:lineRule="exact"/>
        <w:ind w:right="420" w:firstLine="3570" w:firstLineChars="1700"/>
        <w:rPr>
          <w:szCs w:val="21"/>
          <w:highlight w:val="none"/>
        </w:rPr>
      </w:pPr>
      <w:r>
        <w:rPr>
          <w:szCs w:val="21"/>
          <w:highlight w:val="none"/>
        </w:rPr>
        <w:t>招标人代表：</w:t>
      </w:r>
      <w:r>
        <w:rPr>
          <w:szCs w:val="21"/>
          <w:highlight w:val="none"/>
          <w:u w:val="single"/>
        </w:rPr>
        <w:t xml:space="preserve">            </w:t>
      </w:r>
      <w:r>
        <w:rPr>
          <w:szCs w:val="21"/>
          <w:highlight w:val="none"/>
        </w:rPr>
        <w:t xml:space="preserve"> 记录人：</w:t>
      </w:r>
      <w:r>
        <w:rPr>
          <w:szCs w:val="21"/>
          <w:highlight w:val="none"/>
          <w:u w:val="single"/>
        </w:rPr>
        <w:t xml:space="preserve">            </w:t>
      </w:r>
      <w:r>
        <w:rPr>
          <w:szCs w:val="21"/>
          <w:highlight w:val="none"/>
        </w:rPr>
        <w:t xml:space="preserve"> 监标人：</w:t>
      </w:r>
      <w:r>
        <w:rPr>
          <w:szCs w:val="21"/>
          <w:highlight w:val="none"/>
          <w:u w:val="single"/>
        </w:rPr>
        <w:t xml:space="preserve">            </w:t>
      </w:r>
      <w:r>
        <w:rPr>
          <w:szCs w:val="21"/>
          <w:highlight w:val="none"/>
        </w:rPr>
        <w:t xml:space="preserve"> </w:t>
      </w:r>
    </w:p>
    <w:p>
      <w:pPr>
        <w:spacing w:line="620" w:lineRule="exact"/>
        <w:rPr>
          <w:rFonts w:ascii="宋体"/>
          <w:szCs w:val="21"/>
          <w:highlight w:val="none"/>
        </w:rPr>
      </w:pPr>
      <w:r>
        <w:rPr>
          <w:szCs w:val="21"/>
          <w:highlight w:val="none"/>
        </w:rPr>
        <w:t xml:space="preserve">                                    </w:t>
      </w:r>
      <w:r>
        <w:rPr>
          <w:rFonts w:hint="eastAsia"/>
          <w:szCs w:val="21"/>
          <w:highlight w:val="none"/>
        </w:rPr>
        <w:t xml:space="preserve">    </w:t>
      </w:r>
      <w:r>
        <w:rPr>
          <w:szCs w:val="21"/>
          <w:highlight w:val="none"/>
          <w:u w:val="single"/>
        </w:rPr>
        <w:t xml:space="preserve"> </w:t>
      </w:r>
      <w:r>
        <w:rPr>
          <w:rFonts w:hint="eastAsia"/>
          <w:highlight w:val="none"/>
          <w:u w:val="single"/>
        </w:rPr>
        <w:t xml:space="preserve">      </w:t>
      </w:r>
      <w:r>
        <w:rPr>
          <w:szCs w:val="21"/>
          <w:highlight w:val="none"/>
        </w:rPr>
        <w:t>年</w:t>
      </w:r>
      <w:r>
        <w:rPr>
          <w:rFonts w:hint="eastAsia"/>
          <w:highlight w:val="none"/>
          <w:u w:val="single"/>
        </w:rPr>
        <w:t xml:space="preserve">      </w:t>
      </w:r>
      <w:r>
        <w:rPr>
          <w:szCs w:val="21"/>
          <w:highlight w:val="none"/>
        </w:rPr>
        <w:t>月</w:t>
      </w:r>
      <w:r>
        <w:rPr>
          <w:rFonts w:hint="eastAsia"/>
          <w:highlight w:val="none"/>
          <w:u w:val="single"/>
        </w:rPr>
        <w:t xml:space="preserve">      </w:t>
      </w:r>
      <w:r>
        <w:rPr>
          <w:szCs w:val="21"/>
          <w:highlight w:val="none"/>
        </w:rPr>
        <w:t>日</w:t>
      </w:r>
    </w:p>
    <w:p>
      <w:pPr>
        <w:rPr>
          <w:rFonts w:ascii="宋体"/>
          <w:position w:val="-2"/>
          <w:szCs w:val="21"/>
          <w:highlight w:val="none"/>
        </w:rPr>
      </w:pPr>
    </w:p>
    <w:p>
      <w:pPr>
        <w:rPr>
          <w:rFonts w:ascii="宋体"/>
          <w:position w:val="-2"/>
          <w:szCs w:val="21"/>
          <w:highlight w:val="none"/>
        </w:rPr>
      </w:pPr>
      <w:r>
        <w:rPr>
          <w:rFonts w:hint="eastAsia" w:ascii="宋体"/>
          <w:position w:val="-2"/>
          <w:szCs w:val="21"/>
          <w:highlight w:val="none"/>
        </w:rPr>
        <w:t>本表仅供参考，具体以开标时的开标记录表为准。</w:t>
      </w:r>
    </w:p>
    <w:p>
      <w:pPr>
        <w:jc w:val="center"/>
        <w:rPr>
          <w:rFonts w:hint="eastAsia"/>
          <w:highlight w:val="none"/>
        </w:rPr>
      </w:pPr>
      <w:bookmarkStart w:id="800" w:name="_Toc144974565"/>
      <w:bookmarkStart w:id="801" w:name="_Toc51288247"/>
      <w:bookmarkStart w:id="802" w:name="_Toc10994"/>
      <w:bookmarkStart w:id="803" w:name="_Toc27661"/>
      <w:bookmarkStart w:id="804" w:name="_Toc14655"/>
      <w:bookmarkStart w:id="805" w:name="_Toc247514022"/>
      <w:bookmarkStart w:id="806" w:name="_Toc152045598"/>
      <w:bookmarkStart w:id="807" w:name="_Toc247527623"/>
      <w:bookmarkStart w:id="808" w:name="_Toc26237"/>
      <w:bookmarkStart w:id="809" w:name="_Toc24447"/>
      <w:bookmarkStart w:id="810" w:name="_Toc152042375"/>
      <w:bookmarkStart w:id="811" w:name="_Toc27358"/>
      <w:bookmarkStart w:id="812" w:name="_Toc19986"/>
      <w:bookmarkStart w:id="813" w:name="_Toc28571"/>
      <w:bookmarkStart w:id="814" w:name="_Toc32682"/>
      <w:bookmarkStart w:id="815" w:name="_Toc16111"/>
    </w:p>
    <w:p>
      <w:pPr>
        <w:jc w:val="center"/>
        <w:rPr>
          <w:rFonts w:hint="eastAsia"/>
          <w:highlight w:val="none"/>
        </w:rPr>
      </w:pPr>
    </w:p>
    <w:p>
      <w:pPr>
        <w:jc w:val="center"/>
        <w:rPr>
          <w:rFonts w:hint="eastAsia"/>
          <w:highlight w:val="none"/>
        </w:rPr>
      </w:pPr>
    </w:p>
    <w:p>
      <w:pPr>
        <w:jc w:val="center"/>
        <w:rPr>
          <w:rFonts w:hint="eastAsia"/>
          <w:highlight w:val="none"/>
        </w:rPr>
      </w:pPr>
    </w:p>
    <w:p>
      <w:pPr>
        <w:jc w:val="center"/>
        <w:rPr>
          <w:rFonts w:hint="eastAsia"/>
          <w:highlight w:val="none"/>
        </w:rPr>
      </w:pPr>
    </w:p>
    <w:p>
      <w:pPr>
        <w:jc w:val="center"/>
        <w:rPr>
          <w:rFonts w:hint="eastAsia"/>
          <w:highlight w:val="none"/>
        </w:rPr>
      </w:pPr>
    </w:p>
    <w:p>
      <w:pPr>
        <w:jc w:val="center"/>
        <w:rPr>
          <w:rFonts w:hint="eastAsia"/>
          <w:highlight w:val="none"/>
        </w:rPr>
      </w:pPr>
    </w:p>
    <w:p>
      <w:pPr>
        <w:jc w:val="center"/>
        <w:rPr>
          <w:rFonts w:hint="eastAsia"/>
          <w:highlight w:val="none"/>
        </w:rPr>
      </w:pPr>
    </w:p>
    <w:p>
      <w:pPr>
        <w:jc w:val="center"/>
        <w:rPr>
          <w:rFonts w:hint="eastAsia"/>
          <w:highlight w:val="none"/>
        </w:rPr>
      </w:pPr>
    </w:p>
    <w:p>
      <w:pPr>
        <w:jc w:val="center"/>
        <w:rPr>
          <w:rFonts w:hint="eastAsia"/>
          <w:highlight w:val="none"/>
        </w:rPr>
      </w:pPr>
    </w:p>
    <w:p>
      <w:pPr>
        <w:jc w:val="center"/>
        <w:rPr>
          <w:rFonts w:hint="eastAsia"/>
          <w:highlight w:val="none"/>
        </w:rPr>
      </w:pPr>
    </w:p>
    <w:p>
      <w:pPr>
        <w:jc w:val="center"/>
        <w:rPr>
          <w:rFonts w:hint="eastAsia"/>
          <w:highlight w:val="none"/>
        </w:rPr>
      </w:pPr>
    </w:p>
    <w:p>
      <w:pPr>
        <w:jc w:val="center"/>
        <w:rPr>
          <w:rFonts w:hint="eastAsia"/>
          <w:highlight w:val="none"/>
        </w:rPr>
      </w:pPr>
    </w:p>
    <w:p>
      <w:pPr>
        <w:jc w:val="center"/>
        <w:rPr>
          <w:rFonts w:hint="eastAsia"/>
          <w:highlight w:val="none"/>
        </w:rPr>
      </w:pPr>
    </w:p>
    <w:p>
      <w:pPr>
        <w:jc w:val="center"/>
        <w:rPr>
          <w:rFonts w:hint="eastAsia"/>
          <w:highlight w:val="none"/>
        </w:rPr>
      </w:pPr>
    </w:p>
    <w:p>
      <w:pPr>
        <w:jc w:val="center"/>
        <w:rPr>
          <w:rFonts w:hint="eastAsia"/>
          <w:highlight w:val="none"/>
        </w:rPr>
      </w:pPr>
    </w:p>
    <w:p>
      <w:pPr>
        <w:jc w:val="center"/>
        <w:rPr>
          <w:rFonts w:hint="eastAsia"/>
          <w:highlight w:val="none"/>
        </w:rPr>
      </w:pPr>
    </w:p>
    <w:p>
      <w:pPr>
        <w:jc w:val="center"/>
        <w:rPr>
          <w:rFonts w:hint="eastAsia"/>
          <w:highlight w:val="none"/>
        </w:rPr>
      </w:pPr>
    </w:p>
    <w:p>
      <w:pPr>
        <w:jc w:val="center"/>
        <w:rPr>
          <w:rFonts w:hint="eastAsia"/>
          <w:highlight w:val="none"/>
        </w:rPr>
      </w:pPr>
    </w:p>
    <w:p>
      <w:pPr>
        <w:jc w:val="center"/>
        <w:rPr>
          <w:rFonts w:hint="eastAsia"/>
          <w:highlight w:val="none"/>
        </w:rPr>
      </w:pPr>
    </w:p>
    <w:p>
      <w:pPr>
        <w:jc w:val="center"/>
        <w:rPr>
          <w:rFonts w:hint="eastAsia"/>
          <w:highlight w:val="none"/>
        </w:rPr>
      </w:pPr>
    </w:p>
    <w:p>
      <w:pPr>
        <w:jc w:val="center"/>
        <w:rPr>
          <w:rFonts w:hint="eastAsia"/>
          <w:highlight w:val="none"/>
        </w:rPr>
      </w:pPr>
    </w:p>
    <w:p>
      <w:pPr>
        <w:jc w:val="center"/>
        <w:rPr>
          <w:rFonts w:hint="eastAsia"/>
          <w:highlight w:val="none"/>
        </w:rPr>
      </w:pPr>
    </w:p>
    <w:p>
      <w:pPr>
        <w:jc w:val="center"/>
        <w:rPr>
          <w:rFonts w:hint="eastAsia"/>
          <w:highlight w:val="none"/>
        </w:rPr>
      </w:pPr>
    </w:p>
    <w:p>
      <w:pPr>
        <w:jc w:val="center"/>
        <w:rPr>
          <w:rFonts w:hint="eastAsia"/>
          <w:highlight w:val="none"/>
        </w:rPr>
      </w:pPr>
    </w:p>
    <w:p>
      <w:pPr>
        <w:jc w:val="center"/>
        <w:rPr>
          <w:rFonts w:hint="eastAsia"/>
          <w:b/>
          <w:bCs/>
          <w:sz w:val="30"/>
          <w:szCs w:val="30"/>
          <w:highlight w:val="none"/>
        </w:rPr>
        <w:sectPr>
          <w:footerReference r:id="rId7" w:type="first"/>
          <w:footerReference r:id="rId6" w:type="default"/>
          <w:pgSz w:w="11906" w:h="16838"/>
          <w:pgMar w:top="1418" w:right="1134" w:bottom="1418" w:left="1134" w:header="851" w:footer="992" w:gutter="0"/>
          <w:pgNumType w:fmt="decimal"/>
          <w:cols w:space="720" w:num="1"/>
          <w:docGrid w:type="lines" w:linePitch="312" w:charSpace="0"/>
        </w:sectPr>
      </w:pPr>
    </w:p>
    <w:p>
      <w:pPr>
        <w:jc w:val="center"/>
        <w:rPr>
          <w:b/>
          <w:bCs/>
          <w:sz w:val="30"/>
          <w:szCs w:val="30"/>
          <w:highlight w:val="none"/>
        </w:rPr>
      </w:pPr>
      <w:r>
        <w:rPr>
          <w:rFonts w:hint="eastAsia"/>
          <w:b/>
          <w:bCs/>
          <w:sz w:val="30"/>
          <w:szCs w:val="30"/>
          <w:highlight w:val="none"/>
        </w:rPr>
        <w:t>第三章 评标办法（综合评估法）</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pPr>
        <w:rPr>
          <w:highlight w:val="none"/>
        </w:rPr>
      </w:pPr>
      <w:bookmarkStart w:id="816" w:name="_Toc152042376"/>
      <w:bookmarkStart w:id="817" w:name="_Toc247527624"/>
      <w:bookmarkStart w:id="818" w:name="_Toc152045599"/>
      <w:bookmarkStart w:id="819" w:name="_Toc144974566"/>
      <w:bookmarkStart w:id="820" w:name="_Toc247514023"/>
    </w:p>
    <w:p>
      <w:pPr>
        <w:rPr>
          <w:highlight w:val="none"/>
        </w:rPr>
      </w:pPr>
      <w:bookmarkStart w:id="821" w:name="_Toc6872"/>
      <w:bookmarkStart w:id="822" w:name="_Toc29367"/>
      <w:bookmarkStart w:id="823" w:name="_Toc22150"/>
      <w:bookmarkStart w:id="824" w:name="_Toc19"/>
      <w:bookmarkStart w:id="825" w:name="_Toc12306"/>
      <w:bookmarkStart w:id="826" w:name="_Toc51288248"/>
      <w:bookmarkStart w:id="827" w:name="_Toc26142"/>
      <w:bookmarkStart w:id="828" w:name="_Toc25436"/>
      <w:bookmarkStart w:id="829" w:name="_Toc12726"/>
      <w:bookmarkStart w:id="830" w:name="_Toc3168"/>
      <w:bookmarkStart w:id="831" w:name="_Toc20886"/>
      <w:r>
        <w:rPr>
          <w:rFonts w:hint="eastAsia"/>
          <w:highlight w:val="none"/>
        </w:rPr>
        <w:t>评标办法前附表</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tbl>
      <w:tblPr>
        <w:tblStyle w:val="16"/>
        <w:tblW w:w="97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77"/>
        <w:gridCol w:w="2378"/>
        <w:gridCol w:w="6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67" w:hRule="atLeast"/>
          <w:tblHeader/>
          <w:jc w:val="center"/>
        </w:trPr>
        <w:tc>
          <w:tcPr>
            <w:tcW w:w="1277" w:type="dxa"/>
            <w:vAlign w:val="center"/>
          </w:tcPr>
          <w:p>
            <w:pPr>
              <w:ind w:firstLine="0"/>
              <w:jc w:val="center"/>
              <w:rPr>
                <w:rFonts w:ascii="宋体" w:hAnsi="宋体"/>
                <w:b/>
                <w:szCs w:val="21"/>
                <w:highlight w:val="none"/>
              </w:rPr>
            </w:pPr>
            <w:r>
              <w:rPr>
                <w:rFonts w:hint="eastAsia" w:ascii="宋体" w:hAnsi="宋体"/>
                <w:b/>
                <w:szCs w:val="21"/>
                <w:highlight w:val="none"/>
              </w:rPr>
              <w:t>条款号</w:t>
            </w:r>
          </w:p>
        </w:tc>
        <w:tc>
          <w:tcPr>
            <w:tcW w:w="2378" w:type="dxa"/>
            <w:vAlign w:val="center"/>
          </w:tcPr>
          <w:p>
            <w:pPr>
              <w:ind w:firstLine="0"/>
              <w:jc w:val="center"/>
              <w:rPr>
                <w:rFonts w:ascii="宋体" w:hAnsi="宋体"/>
                <w:b/>
                <w:szCs w:val="21"/>
                <w:highlight w:val="none"/>
              </w:rPr>
            </w:pPr>
            <w:r>
              <w:rPr>
                <w:rFonts w:hint="eastAsia" w:ascii="宋体" w:hAnsi="宋体"/>
                <w:b/>
                <w:szCs w:val="21"/>
                <w:highlight w:val="none"/>
              </w:rPr>
              <w:t>评审因素</w:t>
            </w:r>
          </w:p>
        </w:tc>
        <w:tc>
          <w:tcPr>
            <w:tcW w:w="6127" w:type="dxa"/>
            <w:vAlign w:val="center"/>
          </w:tcPr>
          <w:p>
            <w:pPr>
              <w:ind w:firstLine="361"/>
              <w:jc w:val="center"/>
              <w:rPr>
                <w:rFonts w:ascii="宋体" w:hAnsi="宋体"/>
                <w:b/>
                <w:szCs w:val="21"/>
                <w:highlight w:val="none"/>
              </w:rPr>
            </w:pPr>
            <w:r>
              <w:rPr>
                <w:rFonts w:hint="eastAsia" w:ascii="宋体" w:hAnsi="宋体"/>
                <w:b/>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81" w:hRule="atLeast"/>
          <w:jc w:val="center"/>
        </w:trPr>
        <w:tc>
          <w:tcPr>
            <w:tcW w:w="1277" w:type="dxa"/>
            <w:vAlign w:val="center"/>
          </w:tcPr>
          <w:p>
            <w:pPr>
              <w:jc w:val="center"/>
              <w:rPr>
                <w:rFonts w:ascii="宋体" w:hAnsi="宋体"/>
                <w:szCs w:val="21"/>
                <w:highlight w:val="none"/>
              </w:rPr>
            </w:pPr>
            <w:r>
              <w:rPr>
                <w:rFonts w:hint="eastAsia" w:ascii="宋体" w:hAnsi="宋体"/>
                <w:szCs w:val="21"/>
                <w:highlight w:val="none"/>
              </w:rPr>
              <w:t>2.1.1</w:t>
            </w:r>
          </w:p>
        </w:tc>
        <w:tc>
          <w:tcPr>
            <w:tcW w:w="2378" w:type="dxa"/>
            <w:vAlign w:val="center"/>
          </w:tcPr>
          <w:p>
            <w:pPr>
              <w:jc w:val="center"/>
              <w:rPr>
                <w:rFonts w:ascii="宋体" w:hAnsi="宋体"/>
                <w:szCs w:val="21"/>
                <w:highlight w:val="none"/>
              </w:rPr>
            </w:pPr>
            <w:r>
              <w:rPr>
                <w:rFonts w:hint="eastAsia" w:ascii="宋体" w:hAnsi="宋体"/>
                <w:szCs w:val="21"/>
                <w:highlight w:val="none"/>
              </w:rPr>
              <w:t>投标文件资格评审表</w:t>
            </w:r>
          </w:p>
        </w:tc>
        <w:tc>
          <w:tcPr>
            <w:tcW w:w="6127" w:type="dxa"/>
            <w:vAlign w:val="center"/>
          </w:tcPr>
          <w:p>
            <w:pPr>
              <w:jc w:val="left"/>
              <w:rPr>
                <w:rFonts w:ascii="宋体" w:hAnsi="宋体"/>
                <w:szCs w:val="21"/>
                <w:highlight w:val="none"/>
              </w:rPr>
            </w:pPr>
            <w:r>
              <w:rPr>
                <w:rFonts w:hint="eastAsia" w:ascii="宋体" w:hAnsi="宋体"/>
                <w:szCs w:val="21"/>
                <w:highlight w:val="none"/>
              </w:rPr>
              <w:t>见附表1《资格审查评审表》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87" w:hRule="atLeast"/>
          <w:jc w:val="center"/>
        </w:trPr>
        <w:tc>
          <w:tcPr>
            <w:tcW w:w="1277" w:type="dxa"/>
            <w:vAlign w:val="center"/>
          </w:tcPr>
          <w:p>
            <w:pPr>
              <w:jc w:val="center"/>
              <w:rPr>
                <w:rFonts w:ascii="宋体" w:hAnsi="宋体"/>
                <w:szCs w:val="21"/>
                <w:highlight w:val="none"/>
              </w:rPr>
            </w:pPr>
            <w:r>
              <w:rPr>
                <w:rFonts w:hint="eastAsia" w:ascii="宋体" w:hAnsi="宋体"/>
                <w:szCs w:val="21"/>
                <w:highlight w:val="none"/>
              </w:rPr>
              <w:t>2.1.2</w:t>
            </w:r>
          </w:p>
        </w:tc>
        <w:tc>
          <w:tcPr>
            <w:tcW w:w="2378" w:type="dxa"/>
            <w:vAlign w:val="center"/>
          </w:tcPr>
          <w:p>
            <w:pPr>
              <w:jc w:val="center"/>
              <w:rPr>
                <w:rFonts w:hint="eastAsia" w:ascii="宋体" w:hAnsi="宋体"/>
                <w:szCs w:val="21"/>
                <w:highlight w:val="none"/>
              </w:rPr>
            </w:pPr>
            <w:r>
              <w:rPr>
                <w:rFonts w:hint="eastAsia" w:ascii="宋体" w:hAnsi="宋体"/>
                <w:szCs w:val="21"/>
                <w:highlight w:val="none"/>
              </w:rPr>
              <w:t>工程总承包实施方案</w:t>
            </w:r>
          </w:p>
          <w:p>
            <w:pPr>
              <w:jc w:val="center"/>
              <w:rPr>
                <w:rFonts w:ascii="宋体" w:hAnsi="宋体"/>
                <w:szCs w:val="21"/>
                <w:highlight w:val="none"/>
              </w:rPr>
            </w:pPr>
            <w:r>
              <w:rPr>
                <w:rFonts w:hint="eastAsia" w:ascii="宋体" w:hAnsi="宋体"/>
                <w:szCs w:val="21"/>
                <w:highlight w:val="none"/>
              </w:rPr>
              <w:t>有效性审查表</w:t>
            </w:r>
          </w:p>
        </w:tc>
        <w:tc>
          <w:tcPr>
            <w:tcW w:w="6127" w:type="dxa"/>
            <w:vAlign w:val="center"/>
          </w:tcPr>
          <w:p>
            <w:pPr>
              <w:jc w:val="left"/>
              <w:rPr>
                <w:rFonts w:ascii="宋体" w:hAnsi="宋体"/>
                <w:szCs w:val="21"/>
                <w:highlight w:val="none"/>
              </w:rPr>
            </w:pPr>
            <w:r>
              <w:rPr>
                <w:rFonts w:hint="eastAsia" w:ascii="宋体" w:hAnsi="宋体"/>
                <w:szCs w:val="21"/>
                <w:highlight w:val="none"/>
              </w:rPr>
              <w:t>见附表2《</w:t>
            </w:r>
            <w:r>
              <w:rPr>
                <w:rFonts w:hint="eastAsia" w:ascii="宋体" w:hAnsi="宋体" w:eastAsia="宋体" w:cs="Times New Roman"/>
                <w:color w:val="auto"/>
                <w:sz w:val="21"/>
                <w:szCs w:val="21"/>
                <w:highlight w:val="none"/>
              </w:rPr>
              <w:t>工程总承包实施方案</w:t>
            </w:r>
            <w:r>
              <w:rPr>
                <w:rFonts w:hint="eastAsia" w:ascii="宋体" w:hAnsi="宋体" w:cs="Times New Roman"/>
                <w:szCs w:val="21"/>
                <w:highlight w:val="none"/>
              </w:rPr>
              <w:t>有</w:t>
            </w:r>
            <w:r>
              <w:rPr>
                <w:rFonts w:hint="eastAsia" w:ascii="宋体" w:hAnsi="宋体" w:cs="宋体"/>
                <w:szCs w:val="21"/>
                <w:highlight w:val="none"/>
              </w:rPr>
              <w:t>效性审查表</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14" w:hRule="atLeast"/>
          <w:jc w:val="center"/>
        </w:trPr>
        <w:tc>
          <w:tcPr>
            <w:tcW w:w="1277" w:type="dxa"/>
            <w:vAlign w:val="center"/>
          </w:tcPr>
          <w:p>
            <w:pPr>
              <w:jc w:val="center"/>
              <w:rPr>
                <w:rFonts w:hint="eastAsia" w:ascii="宋体" w:hAnsi="宋体"/>
                <w:szCs w:val="21"/>
                <w:highlight w:val="none"/>
              </w:rPr>
            </w:pPr>
            <w:r>
              <w:rPr>
                <w:rFonts w:hint="eastAsia" w:ascii="宋体" w:hAnsi="宋体"/>
                <w:szCs w:val="21"/>
                <w:highlight w:val="none"/>
              </w:rPr>
              <w:t>2.1.3</w:t>
            </w:r>
          </w:p>
        </w:tc>
        <w:tc>
          <w:tcPr>
            <w:tcW w:w="2378" w:type="dxa"/>
            <w:vAlign w:val="center"/>
          </w:tcPr>
          <w:p>
            <w:pPr>
              <w:jc w:val="center"/>
              <w:rPr>
                <w:rFonts w:hint="eastAsia" w:ascii="宋体" w:hAnsi="宋体"/>
                <w:szCs w:val="21"/>
                <w:highlight w:val="none"/>
              </w:rPr>
            </w:pPr>
            <w:r>
              <w:rPr>
                <w:rFonts w:hint="eastAsia" w:ascii="宋体" w:hAnsi="宋体"/>
                <w:szCs w:val="21"/>
                <w:highlight w:val="none"/>
                <w:lang w:eastAsia="zh-CN"/>
              </w:rPr>
              <w:t>报价</w:t>
            </w:r>
            <w:r>
              <w:rPr>
                <w:rFonts w:hint="eastAsia" w:ascii="宋体" w:hAnsi="宋体"/>
                <w:szCs w:val="21"/>
                <w:highlight w:val="none"/>
              </w:rPr>
              <w:t>有效性审查表</w:t>
            </w:r>
          </w:p>
        </w:tc>
        <w:tc>
          <w:tcPr>
            <w:tcW w:w="6127" w:type="dxa"/>
            <w:vAlign w:val="center"/>
          </w:tcPr>
          <w:p>
            <w:pPr>
              <w:jc w:val="left"/>
              <w:rPr>
                <w:rFonts w:hint="eastAsia" w:ascii="宋体" w:hAnsi="宋体"/>
                <w:szCs w:val="21"/>
                <w:highlight w:val="none"/>
              </w:rPr>
            </w:pPr>
            <w:r>
              <w:rPr>
                <w:rFonts w:hint="eastAsia" w:ascii="宋体" w:hAnsi="宋体"/>
                <w:szCs w:val="21"/>
                <w:highlight w:val="none"/>
              </w:rPr>
              <w:t>见附表4《</w:t>
            </w:r>
            <w:r>
              <w:rPr>
                <w:rFonts w:hint="eastAsia" w:ascii="宋体" w:hAnsi="宋体"/>
                <w:szCs w:val="21"/>
                <w:highlight w:val="none"/>
                <w:lang w:eastAsia="zh-CN"/>
              </w:rPr>
              <w:t>报价</w:t>
            </w:r>
            <w:r>
              <w:rPr>
                <w:rFonts w:hint="eastAsia" w:ascii="宋体" w:hAnsi="宋体" w:cs="宋体"/>
                <w:szCs w:val="21"/>
                <w:highlight w:val="none"/>
              </w:rPr>
              <w:t>有效性审查表</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33" w:hRule="atLeast"/>
          <w:jc w:val="center"/>
        </w:trPr>
        <w:tc>
          <w:tcPr>
            <w:tcW w:w="1277" w:type="dxa"/>
            <w:vAlign w:val="center"/>
          </w:tcPr>
          <w:p>
            <w:pPr>
              <w:jc w:val="center"/>
              <w:rPr>
                <w:rFonts w:ascii="宋体" w:hAnsi="宋体"/>
                <w:b/>
                <w:szCs w:val="21"/>
                <w:highlight w:val="none"/>
              </w:rPr>
            </w:pPr>
            <w:r>
              <w:rPr>
                <w:rFonts w:hint="eastAsia" w:ascii="宋体" w:hAnsi="宋体"/>
                <w:b/>
                <w:szCs w:val="21"/>
                <w:highlight w:val="none"/>
              </w:rPr>
              <w:t>条款号</w:t>
            </w:r>
          </w:p>
        </w:tc>
        <w:tc>
          <w:tcPr>
            <w:tcW w:w="2378" w:type="dxa"/>
            <w:vAlign w:val="center"/>
          </w:tcPr>
          <w:p>
            <w:pPr>
              <w:jc w:val="center"/>
              <w:rPr>
                <w:rFonts w:ascii="宋体" w:hAnsi="宋体"/>
                <w:b/>
                <w:szCs w:val="21"/>
                <w:highlight w:val="none"/>
              </w:rPr>
            </w:pPr>
            <w:r>
              <w:rPr>
                <w:rFonts w:hint="eastAsia" w:ascii="宋体" w:hAnsi="宋体"/>
                <w:b/>
                <w:szCs w:val="21"/>
                <w:highlight w:val="none"/>
              </w:rPr>
              <w:t>条款内容</w:t>
            </w:r>
          </w:p>
        </w:tc>
        <w:tc>
          <w:tcPr>
            <w:tcW w:w="6127" w:type="dxa"/>
            <w:vAlign w:val="center"/>
          </w:tcPr>
          <w:p>
            <w:pPr>
              <w:jc w:val="center"/>
              <w:rPr>
                <w:rFonts w:ascii="宋体" w:hAnsi="宋体"/>
                <w:b/>
                <w:szCs w:val="21"/>
                <w:highlight w:val="none"/>
              </w:rPr>
            </w:pPr>
            <w:r>
              <w:rPr>
                <w:rFonts w:hint="eastAsia" w:ascii="宋体" w:hAnsi="宋体"/>
                <w:b/>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09" w:hRule="atLeast"/>
          <w:jc w:val="center"/>
        </w:trPr>
        <w:tc>
          <w:tcPr>
            <w:tcW w:w="1277" w:type="dxa"/>
            <w:vAlign w:val="center"/>
          </w:tcPr>
          <w:p>
            <w:pPr>
              <w:ind w:firstLine="0"/>
              <w:jc w:val="center"/>
              <w:rPr>
                <w:rFonts w:ascii="宋体" w:hAnsi="宋体"/>
                <w:szCs w:val="21"/>
                <w:highlight w:val="none"/>
              </w:rPr>
            </w:pPr>
            <w:r>
              <w:rPr>
                <w:rFonts w:hint="eastAsia" w:ascii="宋体" w:hAnsi="宋体"/>
                <w:szCs w:val="21"/>
                <w:highlight w:val="none"/>
              </w:rPr>
              <w:t>2.2.1</w:t>
            </w:r>
          </w:p>
        </w:tc>
        <w:tc>
          <w:tcPr>
            <w:tcW w:w="2378" w:type="dxa"/>
            <w:vAlign w:val="center"/>
          </w:tcPr>
          <w:p>
            <w:pPr>
              <w:rPr>
                <w:rFonts w:ascii="宋体" w:hAnsi="宋体"/>
                <w:szCs w:val="21"/>
                <w:highlight w:val="none"/>
              </w:rPr>
            </w:pPr>
            <w:r>
              <w:rPr>
                <w:rFonts w:hint="eastAsia" w:ascii="宋体" w:hAnsi="宋体"/>
                <w:szCs w:val="21"/>
                <w:highlight w:val="none"/>
              </w:rPr>
              <w:t>分值构成及权重</w:t>
            </w:r>
          </w:p>
        </w:tc>
        <w:tc>
          <w:tcPr>
            <w:tcW w:w="6127" w:type="dxa"/>
            <w:vAlign w:val="center"/>
          </w:tcPr>
          <w:p>
            <w:pPr>
              <w:rPr>
                <w:rFonts w:ascii="宋体" w:hAnsi="宋体"/>
                <w:szCs w:val="21"/>
                <w:highlight w:val="none"/>
                <w:u w:val="single"/>
              </w:rPr>
            </w:pPr>
            <w:r>
              <w:rPr>
                <w:rFonts w:hint="eastAsia" w:ascii="宋体" w:hAnsi="宋体"/>
                <w:szCs w:val="21"/>
                <w:highlight w:val="none"/>
              </w:rPr>
              <w:t>投标人总得分（满分100分）=工程总承包实施方案部分得分[资信部分（36分）+工程实施方案（64分）]×工程总承包实施方案部分得分权重（50%）+投标报价得分(100分）×投标报价得分权重（50%）。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0" w:hRule="atLeast"/>
          <w:jc w:val="center"/>
        </w:trPr>
        <w:tc>
          <w:tcPr>
            <w:tcW w:w="1277" w:type="dxa"/>
            <w:vAlign w:val="center"/>
          </w:tcPr>
          <w:p>
            <w:pPr>
              <w:jc w:val="center"/>
              <w:rPr>
                <w:rFonts w:ascii="宋体" w:hAnsi="宋体"/>
                <w:szCs w:val="21"/>
                <w:highlight w:val="none"/>
              </w:rPr>
            </w:pPr>
            <w:r>
              <w:rPr>
                <w:rFonts w:hint="eastAsia" w:ascii="宋体" w:hAnsi="宋体"/>
                <w:b/>
                <w:szCs w:val="21"/>
                <w:highlight w:val="none"/>
              </w:rPr>
              <w:t>条款号</w:t>
            </w:r>
          </w:p>
        </w:tc>
        <w:tc>
          <w:tcPr>
            <w:tcW w:w="2378" w:type="dxa"/>
            <w:vAlign w:val="center"/>
          </w:tcPr>
          <w:p>
            <w:pPr>
              <w:jc w:val="center"/>
              <w:rPr>
                <w:rFonts w:ascii="宋体" w:hAnsi="宋体"/>
                <w:b/>
                <w:szCs w:val="21"/>
                <w:highlight w:val="none"/>
              </w:rPr>
            </w:pPr>
            <w:r>
              <w:rPr>
                <w:rFonts w:hint="eastAsia" w:ascii="宋体" w:hAnsi="宋体"/>
                <w:b/>
                <w:szCs w:val="21"/>
                <w:highlight w:val="none"/>
              </w:rPr>
              <w:t>评分因素</w:t>
            </w:r>
          </w:p>
        </w:tc>
        <w:tc>
          <w:tcPr>
            <w:tcW w:w="6127" w:type="dxa"/>
            <w:vAlign w:val="center"/>
          </w:tcPr>
          <w:p>
            <w:pPr>
              <w:jc w:val="center"/>
              <w:rPr>
                <w:rFonts w:ascii="宋体" w:hAnsi="宋体"/>
                <w:szCs w:val="21"/>
                <w:highlight w:val="none"/>
              </w:rPr>
            </w:pPr>
            <w:r>
              <w:rPr>
                <w:rFonts w:hint="eastAsia" w:ascii="宋体" w:hAnsi="宋体"/>
                <w:b/>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80" w:hRule="atLeast"/>
          <w:jc w:val="center"/>
        </w:trPr>
        <w:tc>
          <w:tcPr>
            <w:tcW w:w="1277" w:type="dxa"/>
            <w:vAlign w:val="center"/>
          </w:tcPr>
          <w:p>
            <w:pPr>
              <w:spacing w:line="300" w:lineRule="exact"/>
              <w:jc w:val="center"/>
              <w:rPr>
                <w:rFonts w:ascii="宋体" w:hAnsi="宋体" w:cs="宋体"/>
                <w:szCs w:val="21"/>
                <w:highlight w:val="none"/>
              </w:rPr>
            </w:pPr>
            <w:r>
              <w:rPr>
                <w:rFonts w:hint="eastAsia" w:ascii="宋体" w:hAnsi="宋体" w:cs="宋体"/>
                <w:szCs w:val="21"/>
                <w:highlight w:val="none"/>
              </w:rPr>
              <w:t>2.2.2（1）</w:t>
            </w:r>
          </w:p>
        </w:tc>
        <w:tc>
          <w:tcPr>
            <w:tcW w:w="2378" w:type="dxa"/>
            <w:vAlign w:val="center"/>
          </w:tcPr>
          <w:p>
            <w:pPr>
              <w:spacing w:line="300" w:lineRule="exact"/>
              <w:jc w:val="center"/>
              <w:rPr>
                <w:rFonts w:hint="eastAsia" w:ascii="宋体" w:hAnsi="宋体" w:cs="宋体"/>
                <w:szCs w:val="21"/>
                <w:highlight w:val="none"/>
              </w:rPr>
            </w:pPr>
            <w:r>
              <w:rPr>
                <w:rFonts w:hint="eastAsia" w:ascii="宋体" w:hAnsi="宋体" w:cs="宋体"/>
                <w:szCs w:val="21"/>
                <w:highlight w:val="none"/>
              </w:rPr>
              <w:t>工程总承包实施方案</w:t>
            </w:r>
          </w:p>
          <w:p>
            <w:pPr>
              <w:spacing w:line="300" w:lineRule="exact"/>
              <w:jc w:val="center"/>
              <w:rPr>
                <w:rFonts w:ascii="宋体" w:hAnsi="宋体" w:cs="宋体"/>
                <w:szCs w:val="21"/>
                <w:highlight w:val="none"/>
              </w:rPr>
            </w:pPr>
            <w:r>
              <w:rPr>
                <w:rFonts w:hint="eastAsia" w:ascii="宋体" w:hAnsi="宋体" w:cs="宋体"/>
                <w:szCs w:val="21"/>
                <w:highlight w:val="none"/>
              </w:rPr>
              <w:t>详细审查得分</w:t>
            </w:r>
          </w:p>
        </w:tc>
        <w:tc>
          <w:tcPr>
            <w:tcW w:w="6127" w:type="dxa"/>
            <w:vAlign w:val="center"/>
          </w:tcPr>
          <w:p>
            <w:pPr>
              <w:spacing w:line="300" w:lineRule="exact"/>
              <w:rPr>
                <w:rFonts w:ascii="宋体" w:hAnsi="宋体" w:cs="宋体"/>
                <w:szCs w:val="21"/>
                <w:highlight w:val="none"/>
              </w:rPr>
            </w:pPr>
            <w:r>
              <w:rPr>
                <w:rFonts w:hint="eastAsia" w:ascii="宋体" w:hAnsi="宋体" w:cs="宋体"/>
                <w:szCs w:val="21"/>
                <w:highlight w:val="none"/>
              </w:rPr>
              <w:t>见附表3《工程总承包实施方案投标文件详细审查评分表》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80" w:hRule="atLeast"/>
          <w:jc w:val="center"/>
        </w:trPr>
        <w:tc>
          <w:tcPr>
            <w:tcW w:w="1277" w:type="dxa"/>
            <w:vAlign w:val="center"/>
          </w:tcPr>
          <w:p>
            <w:pPr>
              <w:spacing w:line="300" w:lineRule="exact"/>
              <w:jc w:val="center"/>
              <w:rPr>
                <w:rFonts w:ascii="宋体" w:hAnsi="宋体" w:cs="宋体"/>
                <w:szCs w:val="21"/>
                <w:highlight w:val="none"/>
              </w:rPr>
            </w:pPr>
            <w:r>
              <w:rPr>
                <w:rFonts w:hint="eastAsia" w:ascii="宋体" w:hAnsi="宋体" w:cs="宋体"/>
                <w:szCs w:val="21"/>
                <w:highlight w:val="none"/>
              </w:rPr>
              <w:t>2.2.2（2）</w:t>
            </w:r>
          </w:p>
        </w:tc>
        <w:tc>
          <w:tcPr>
            <w:tcW w:w="2378" w:type="dxa"/>
            <w:vAlign w:val="center"/>
          </w:tcPr>
          <w:p>
            <w:pPr>
              <w:spacing w:line="300" w:lineRule="exact"/>
              <w:jc w:val="center"/>
              <w:rPr>
                <w:rFonts w:hint="eastAsia" w:ascii="宋体" w:hAnsi="宋体" w:cs="宋体"/>
                <w:szCs w:val="21"/>
                <w:highlight w:val="none"/>
              </w:rPr>
            </w:pPr>
            <w:r>
              <w:rPr>
                <w:rFonts w:hint="eastAsia" w:ascii="宋体" w:hAnsi="宋体"/>
                <w:szCs w:val="21"/>
                <w:highlight w:val="none"/>
              </w:rPr>
              <w:t>投标</w:t>
            </w:r>
            <w:r>
              <w:rPr>
                <w:rFonts w:hint="eastAsia" w:ascii="宋体" w:hAnsi="宋体" w:cs="宋体"/>
                <w:szCs w:val="21"/>
                <w:highlight w:val="none"/>
                <w:lang w:eastAsia="zh-CN"/>
              </w:rPr>
              <w:t>报价</w:t>
            </w:r>
            <w:r>
              <w:rPr>
                <w:rFonts w:hint="eastAsia" w:ascii="宋体" w:hAnsi="宋体" w:cs="宋体"/>
                <w:szCs w:val="21"/>
                <w:highlight w:val="none"/>
              </w:rPr>
              <w:t>详细审查</w:t>
            </w:r>
          </w:p>
          <w:p>
            <w:pPr>
              <w:spacing w:line="300" w:lineRule="exact"/>
              <w:jc w:val="center"/>
              <w:rPr>
                <w:rFonts w:ascii="宋体" w:hAnsi="宋体" w:cs="宋体"/>
                <w:szCs w:val="21"/>
                <w:highlight w:val="none"/>
              </w:rPr>
            </w:pPr>
            <w:r>
              <w:rPr>
                <w:rFonts w:hint="eastAsia" w:ascii="宋体" w:hAnsi="宋体" w:cs="宋体"/>
                <w:szCs w:val="21"/>
                <w:highlight w:val="none"/>
              </w:rPr>
              <w:t>评分标准</w:t>
            </w:r>
          </w:p>
        </w:tc>
        <w:tc>
          <w:tcPr>
            <w:tcW w:w="6127" w:type="dxa"/>
            <w:vAlign w:val="center"/>
          </w:tcPr>
          <w:p>
            <w:pPr>
              <w:spacing w:line="300" w:lineRule="exact"/>
              <w:rPr>
                <w:rFonts w:ascii="宋体" w:hAnsi="宋体" w:cs="宋体"/>
                <w:szCs w:val="21"/>
                <w:highlight w:val="none"/>
              </w:rPr>
            </w:pPr>
            <w:r>
              <w:rPr>
                <w:rFonts w:hint="eastAsia" w:ascii="宋体" w:hAnsi="宋体" w:cs="宋体"/>
                <w:szCs w:val="21"/>
                <w:highlight w:val="none"/>
              </w:rPr>
              <w:t>见附表5《投标报价得分表》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80" w:hRule="atLeast"/>
          <w:jc w:val="center"/>
        </w:trPr>
        <w:tc>
          <w:tcPr>
            <w:tcW w:w="9782" w:type="dxa"/>
            <w:gridSpan w:val="3"/>
            <w:vAlign w:val="center"/>
          </w:tcPr>
          <w:p>
            <w:pPr>
              <w:spacing w:line="300" w:lineRule="exact"/>
              <w:rPr>
                <w:rFonts w:ascii="宋体" w:hAnsi="宋体" w:cs="宋体"/>
                <w:b/>
                <w:szCs w:val="21"/>
                <w:highlight w:val="none"/>
              </w:rPr>
            </w:pPr>
            <w:r>
              <w:rPr>
                <w:rFonts w:hint="eastAsia" w:ascii="宋体" w:hAnsi="宋体" w:cs="宋体"/>
                <w:b/>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80" w:hRule="atLeast"/>
          <w:jc w:val="center"/>
        </w:trPr>
        <w:tc>
          <w:tcPr>
            <w:tcW w:w="9782" w:type="dxa"/>
            <w:gridSpan w:val="3"/>
          </w:tcPr>
          <w:p>
            <w:pPr>
              <w:spacing w:line="300" w:lineRule="exact"/>
              <w:rPr>
                <w:rFonts w:ascii="宋体" w:hAnsi="宋体" w:cs="宋体"/>
                <w:szCs w:val="21"/>
                <w:highlight w:val="none"/>
              </w:rPr>
            </w:pPr>
            <w:r>
              <w:rPr>
                <w:rFonts w:hint="eastAsia" w:ascii="宋体" w:hAnsi="宋体" w:cs="宋体"/>
                <w:szCs w:val="21"/>
                <w:highlight w:val="none"/>
              </w:rPr>
              <w:t>关于联合体投标人评标的相关规定：如组成联合体投标的，设计部分评分以承接设计任务的单位为准；施工部分评分以承接施工任务的单位为准。</w:t>
            </w:r>
          </w:p>
        </w:tc>
      </w:tr>
    </w:tbl>
    <w:p>
      <w:pPr>
        <w:spacing w:line="400" w:lineRule="exact"/>
        <w:rPr>
          <w:highlight w:val="none"/>
        </w:rPr>
      </w:pPr>
    </w:p>
    <w:p>
      <w:pPr>
        <w:rPr>
          <w:highlight w:val="none"/>
        </w:rPr>
      </w:pPr>
      <w:bookmarkStart w:id="832" w:name="_Toc152045600"/>
      <w:bookmarkStart w:id="833" w:name="_Toc247527625"/>
      <w:bookmarkStart w:id="834" w:name="_Toc11284"/>
      <w:bookmarkStart w:id="835" w:name="_Toc15196"/>
      <w:bookmarkStart w:id="836" w:name="_Toc152042377"/>
      <w:bookmarkStart w:id="837" w:name="_Toc51288249"/>
      <w:bookmarkStart w:id="838" w:name="_Toc13260"/>
      <w:bookmarkStart w:id="839" w:name="_Toc28001"/>
      <w:bookmarkStart w:id="840" w:name="_Toc25983"/>
      <w:bookmarkStart w:id="841" w:name="_Toc31432"/>
      <w:bookmarkStart w:id="842" w:name="_Toc144974567"/>
      <w:bookmarkStart w:id="843" w:name="_Toc21592"/>
      <w:bookmarkStart w:id="844" w:name="_Toc26044"/>
      <w:bookmarkStart w:id="845" w:name="_Toc1292"/>
      <w:bookmarkStart w:id="846" w:name="_Toc247514024"/>
      <w:bookmarkStart w:id="847" w:name="_Toc25331"/>
      <w:r>
        <w:rPr>
          <w:rFonts w:hint="eastAsia"/>
          <w:highlight w:val="none"/>
        </w:rPr>
        <w:t>1. 评标方法</w:t>
      </w:r>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pPr>
        <w:spacing w:line="360" w:lineRule="auto"/>
        <w:ind w:firstLine="420" w:firstLineChars="200"/>
        <w:rPr>
          <w:rFonts w:ascii="宋体" w:hAnsi="宋体"/>
          <w:highlight w:val="none"/>
        </w:rPr>
      </w:pPr>
      <w:bookmarkStart w:id="848" w:name="_Toc247514025"/>
      <w:bookmarkStart w:id="849" w:name="_Toc152045601"/>
      <w:bookmarkStart w:id="850" w:name="_Toc152042378"/>
      <w:bookmarkStart w:id="851" w:name="_Toc247527626"/>
      <w:bookmarkStart w:id="852" w:name="_Toc144974568"/>
      <w:r>
        <w:rPr>
          <w:rFonts w:hint="eastAsia" w:ascii="宋体" w:hAnsi="宋体"/>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w:t>
      </w:r>
    </w:p>
    <w:p>
      <w:pPr>
        <w:rPr>
          <w:highlight w:val="none"/>
        </w:rPr>
      </w:pPr>
      <w:bookmarkStart w:id="853" w:name="_Toc8731"/>
      <w:bookmarkStart w:id="854" w:name="_Toc5771"/>
      <w:bookmarkStart w:id="855" w:name="_Toc51288250"/>
      <w:bookmarkStart w:id="856" w:name="_Toc12094"/>
      <w:bookmarkStart w:id="857" w:name="_Toc5056"/>
      <w:bookmarkStart w:id="858" w:name="_Toc13975"/>
      <w:bookmarkStart w:id="859" w:name="_Toc10325"/>
      <w:bookmarkStart w:id="860" w:name="_Toc26656"/>
      <w:bookmarkStart w:id="861" w:name="_Toc25803"/>
      <w:bookmarkStart w:id="862" w:name="_Toc27552"/>
      <w:bookmarkStart w:id="863" w:name="_Toc1787"/>
      <w:r>
        <w:rPr>
          <w:rFonts w:hint="eastAsia"/>
          <w:highlight w:val="none"/>
        </w:rPr>
        <w:t>2. 评审标准</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p>
      <w:pPr>
        <w:rPr>
          <w:highlight w:val="none"/>
        </w:rPr>
      </w:pPr>
      <w:bookmarkStart w:id="864" w:name="_Toc51288251"/>
      <w:bookmarkStart w:id="865" w:name="_Toc152042379"/>
      <w:bookmarkStart w:id="866" w:name="_Toc247527627"/>
      <w:bookmarkStart w:id="867" w:name="_Toc16440"/>
      <w:bookmarkStart w:id="868" w:name="_Toc152045602"/>
      <w:bookmarkStart w:id="869" w:name="_Toc29380"/>
      <w:bookmarkStart w:id="870" w:name="_Toc1831"/>
      <w:bookmarkStart w:id="871" w:name="_Toc20324"/>
      <w:bookmarkStart w:id="872" w:name="_Toc22507"/>
      <w:bookmarkStart w:id="873" w:name="_Toc247514026"/>
      <w:bookmarkStart w:id="874" w:name="_Toc21339"/>
      <w:bookmarkStart w:id="875" w:name="_Toc144974569"/>
      <w:bookmarkStart w:id="876" w:name="_Toc15103"/>
      <w:bookmarkStart w:id="877" w:name="_Toc3612"/>
      <w:bookmarkStart w:id="878" w:name="_Toc17545"/>
      <w:bookmarkStart w:id="879" w:name="_Toc16450"/>
      <w:r>
        <w:rPr>
          <w:rFonts w:hint="eastAsia"/>
          <w:highlight w:val="none"/>
        </w:rPr>
        <w:t>2.1 初步评审标准</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pPr>
        <w:snapToGrid w:val="0"/>
        <w:spacing w:line="360" w:lineRule="auto"/>
        <w:ind w:firstLine="457" w:firstLineChars="218"/>
        <w:rPr>
          <w:rFonts w:ascii="宋体" w:hAnsi="宋体" w:cs="宋体"/>
          <w:highlight w:val="none"/>
          <w:u w:val="single"/>
        </w:rPr>
      </w:pPr>
      <w:bookmarkStart w:id="880" w:name="_Toc144974571"/>
      <w:bookmarkStart w:id="881" w:name="_Toc51288253"/>
      <w:bookmarkStart w:id="882" w:name="_Toc152045604"/>
      <w:bookmarkStart w:id="883" w:name="_Toc247527629"/>
      <w:bookmarkStart w:id="884" w:name="_Toc247514028"/>
      <w:bookmarkStart w:id="885" w:name="_Toc152042381"/>
      <w:r>
        <w:rPr>
          <w:rFonts w:hint="eastAsia" w:ascii="宋体" w:hAnsi="宋体" w:cs="宋体"/>
          <w:highlight w:val="none"/>
          <w:u w:val="single"/>
        </w:rPr>
        <w:t>2.1.1 投标人资格审查标准：见评标办法前附表</w:t>
      </w:r>
    </w:p>
    <w:p>
      <w:pPr>
        <w:snapToGrid w:val="0"/>
        <w:spacing w:line="360" w:lineRule="auto"/>
        <w:ind w:firstLine="457" w:firstLineChars="218"/>
        <w:rPr>
          <w:highlight w:val="none"/>
        </w:rPr>
      </w:pPr>
      <w:r>
        <w:rPr>
          <w:rFonts w:hint="eastAsia" w:ascii="宋体" w:hAnsi="宋体" w:cs="宋体"/>
          <w:highlight w:val="none"/>
          <w:u w:val="single"/>
        </w:rPr>
        <w:t>2.1.2工程总承包实施方案投标文件有效性审查标准：见评标办法前附表。</w:t>
      </w:r>
    </w:p>
    <w:p>
      <w:pPr>
        <w:snapToGrid w:val="0"/>
        <w:spacing w:line="360" w:lineRule="auto"/>
        <w:ind w:firstLine="457" w:firstLineChars="218"/>
        <w:rPr>
          <w:rFonts w:ascii="宋体" w:hAnsi="宋体" w:cs="宋体"/>
          <w:highlight w:val="none"/>
          <w:u w:val="single"/>
        </w:rPr>
      </w:pPr>
      <w:r>
        <w:rPr>
          <w:rFonts w:hint="eastAsia" w:ascii="宋体" w:hAnsi="宋体" w:cs="宋体"/>
          <w:highlight w:val="none"/>
          <w:u w:val="single"/>
        </w:rPr>
        <w:t>2.1.3</w:t>
      </w:r>
      <w:r>
        <w:rPr>
          <w:rFonts w:hint="eastAsia" w:ascii="宋体" w:hAnsi="宋体" w:cs="宋体"/>
          <w:highlight w:val="none"/>
          <w:u w:val="single"/>
          <w:lang w:eastAsia="zh-CN"/>
        </w:rPr>
        <w:t>报价</w:t>
      </w:r>
      <w:r>
        <w:rPr>
          <w:rFonts w:hint="eastAsia" w:ascii="宋体" w:hAnsi="宋体" w:cs="宋体"/>
          <w:highlight w:val="none"/>
          <w:u w:val="single"/>
        </w:rPr>
        <w:t>投标文件有效性审查标准：见评标办法前附表。</w:t>
      </w:r>
    </w:p>
    <w:p>
      <w:pPr>
        <w:rPr>
          <w:highlight w:val="none"/>
        </w:rPr>
      </w:pPr>
      <w:bookmarkStart w:id="886" w:name="_Toc22932"/>
      <w:bookmarkStart w:id="887" w:name="_Toc14947"/>
      <w:bookmarkStart w:id="888" w:name="_Toc34503610"/>
      <w:bookmarkStart w:id="889" w:name="_Toc18855"/>
      <w:bookmarkStart w:id="890" w:name="_Toc32476"/>
      <w:bookmarkStart w:id="891" w:name="_Toc12518"/>
      <w:bookmarkStart w:id="892" w:name="_Toc14830"/>
      <w:bookmarkStart w:id="893" w:name="_Toc31738"/>
      <w:bookmarkStart w:id="894" w:name="_Toc9615"/>
      <w:bookmarkStart w:id="895" w:name="_Toc48818543"/>
      <w:bookmarkStart w:id="896" w:name="_Toc22468"/>
      <w:bookmarkStart w:id="897" w:name="_Toc18302"/>
      <w:r>
        <w:rPr>
          <w:rFonts w:hint="eastAsia"/>
          <w:highlight w:val="none"/>
        </w:rPr>
        <w:t>2.2 分值构成与评分标准</w:t>
      </w:r>
      <w:bookmarkEnd w:id="886"/>
      <w:bookmarkEnd w:id="887"/>
      <w:bookmarkEnd w:id="888"/>
      <w:bookmarkEnd w:id="889"/>
      <w:bookmarkEnd w:id="890"/>
      <w:bookmarkEnd w:id="891"/>
      <w:bookmarkEnd w:id="892"/>
      <w:bookmarkEnd w:id="893"/>
      <w:bookmarkEnd w:id="894"/>
      <w:bookmarkEnd w:id="895"/>
      <w:bookmarkEnd w:id="896"/>
      <w:bookmarkEnd w:id="897"/>
    </w:p>
    <w:p>
      <w:pPr>
        <w:spacing w:line="400" w:lineRule="exact"/>
        <w:ind w:firstLine="420" w:firstLineChars="200"/>
        <w:rPr>
          <w:rFonts w:ascii="宋体" w:hAnsi="宋体" w:cs="宋体"/>
          <w:highlight w:val="none"/>
          <w:u w:val="single"/>
        </w:rPr>
      </w:pPr>
      <w:r>
        <w:rPr>
          <w:rFonts w:hint="eastAsia" w:ascii="宋体" w:hAnsi="宋体" w:cs="宋体"/>
          <w:highlight w:val="none"/>
          <w:u w:val="single"/>
        </w:rPr>
        <w:t xml:space="preserve">2.2.1 </w:t>
      </w:r>
      <w:r>
        <w:rPr>
          <w:rFonts w:hint="eastAsia" w:ascii="宋体" w:hAnsi="宋体" w:cs="宋体"/>
          <w:szCs w:val="21"/>
          <w:highlight w:val="none"/>
          <w:u w:val="single"/>
        </w:rPr>
        <w:t>分值构成及权重</w:t>
      </w:r>
      <w:r>
        <w:rPr>
          <w:rFonts w:hint="eastAsia" w:ascii="宋体" w:hAnsi="宋体" w:cs="宋体"/>
          <w:highlight w:val="none"/>
          <w:u w:val="single"/>
        </w:rPr>
        <w:t>：见评标办法前附表。</w:t>
      </w:r>
    </w:p>
    <w:p>
      <w:pPr>
        <w:spacing w:line="400" w:lineRule="exact"/>
        <w:ind w:firstLine="420" w:firstLineChars="200"/>
        <w:rPr>
          <w:rFonts w:ascii="宋体" w:hAnsi="宋体" w:cs="宋体"/>
          <w:highlight w:val="none"/>
          <w:u w:val="single"/>
        </w:rPr>
      </w:pPr>
      <w:r>
        <w:rPr>
          <w:rFonts w:hint="eastAsia" w:ascii="宋体" w:hAnsi="宋体" w:cs="宋体"/>
          <w:highlight w:val="none"/>
          <w:u w:val="single"/>
        </w:rPr>
        <w:t>2.2.2 评分标准</w:t>
      </w:r>
    </w:p>
    <w:p>
      <w:pPr>
        <w:spacing w:line="400" w:lineRule="exact"/>
        <w:ind w:firstLine="420" w:firstLineChars="200"/>
        <w:rPr>
          <w:rFonts w:ascii="宋体" w:hAnsi="宋体" w:cs="宋体"/>
          <w:highlight w:val="none"/>
          <w:u w:val="single"/>
        </w:rPr>
      </w:pPr>
      <w:r>
        <w:rPr>
          <w:rFonts w:hint="eastAsia" w:ascii="宋体" w:hAnsi="宋体" w:cs="宋体"/>
          <w:highlight w:val="none"/>
          <w:u w:val="single"/>
        </w:rPr>
        <w:t>（1）工程总承包实施方案详细审查评分标准：见评标办法前附表。</w:t>
      </w:r>
    </w:p>
    <w:p>
      <w:pPr>
        <w:spacing w:line="400" w:lineRule="exact"/>
        <w:ind w:firstLine="420" w:firstLineChars="200"/>
        <w:rPr>
          <w:rFonts w:ascii="宋体" w:hAnsi="宋体" w:cs="宋体"/>
          <w:highlight w:val="none"/>
          <w:u w:val="single"/>
        </w:rPr>
      </w:pPr>
      <w:r>
        <w:rPr>
          <w:rFonts w:hint="eastAsia" w:ascii="宋体" w:hAnsi="宋体" w:cs="宋体"/>
          <w:highlight w:val="none"/>
          <w:u w:val="single"/>
        </w:rPr>
        <w:t>（2）</w:t>
      </w:r>
      <w:r>
        <w:rPr>
          <w:rFonts w:hint="eastAsia" w:ascii="宋体" w:hAnsi="宋体" w:cs="宋体"/>
          <w:highlight w:val="none"/>
          <w:u w:val="single"/>
          <w:lang w:val="en-US" w:eastAsia="zh-CN"/>
        </w:rPr>
        <w:t>投标</w:t>
      </w:r>
      <w:r>
        <w:rPr>
          <w:rFonts w:hint="eastAsia" w:ascii="宋体" w:hAnsi="宋体" w:cs="宋体"/>
          <w:highlight w:val="none"/>
          <w:u w:val="single"/>
          <w:lang w:eastAsia="zh-CN"/>
        </w:rPr>
        <w:t>报价</w:t>
      </w:r>
      <w:r>
        <w:rPr>
          <w:rFonts w:hint="eastAsia" w:ascii="宋体" w:hAnsi="宋体" w:cs="宋体"/>
          <w:highlight w:val="none"/>
          <w:u w:val="single"/>
        </w:rPr>
        <w:t>详细审查评分标准：见评标办法前附表。</w:t>
      </w:r>
    </w:p>
    <w:p>
      <w:pPr>
        <w:rPr>
          <w:highlight w:val="none"/>
        </w:rPr>
      </w:pPr>
      <w:bookmarkStart w:id="898" w:name="_Toc14450"/>
      <w:bookmarkStart w:id="899" w:name="_Toc29245"/>
      <w:bookmarkStart w:id="900" w:name="_Toc3627"/>
      <w:bookmarkStart w:id="901" w:name="_Toc28269"/>
      <w:bookmarkStart w:id="902" w:name="_Toc16910"/>
      <w:bookmarkStart w:id="903" w:name="_Toc31085"/>
      <w:bookmarkStart w:id="904" w:name="_Toc308"/>
      <w:bookmarkStart w:id="905" w:name="_Toc9244"/>
      <w:bookmarkStart w:id="906" w:name="_Toc4964"/>
      <w:bookmarkStart w:id="907" w:name="_Toc27118"/>
      <w:r>
        <w:rPr>
          <w:rFonts w:hint="eastAsia"/>
          <w:highlight w:val="none"/>
        </w:rPr>
        <w:t>3. 评标程序</w:t>
      </w:r>
      <w:bookmarkEnd w:id="880"/>
      <w:bookmarkEnd w:id="881"/>
      <w:bookmarkEnd w:id="882"/>
      <w:bookmarkEnd w:id="883"/>
      <w:bookmarkEnd w:id="884"/>
      <w:bookmarkEnd w:id="885"/>
      <w:bookmarkEnd w:id="898"/>
      <w:bookmarkEnd w:id="899"/>
      <w:bookmarkEnd w:id="900"/>
      <w:bookmarkEnd w:id="901"/>
      <w:bookmarkEnd w:id="902"/>
      <w:bookmarkEnd w:id="903"/>
      <w:bookmarkEnd w:id="904"/>
      <w:bookmarkEnd w:id="905"/>
      <w:bookmarkEnd w:id="906"/>
      <w:bookmarkEnd w:id="907"/>
    </w:p>
    <w:p>
      <w:pPr>
        <w:spacing w:line="360" w:lineRule="auto"/>
        <w:ind w:firstLine="420" w:firstLineChars="200"/>
        <w:rPr>
          <w:rFonts w:ascii="宋体" w:hAnsi="宋体"/>
          <w:szCs w:val="21"/>
          <w:highlight w:val="none"/>
        </w:rPr>
      </w:pPr>
      <w:r>
        <w:rPr>
          <w:rFonts w:hint="eastAsia" w:ascii="宋体" w:hAnsi="宋体"/>
          <w:szCs w:val="21"/>
          <w:highlight w:val="none"/>
          <w:u w:val="single"/>
        </w:rPr>
        <w:t>投标单位的资格审查由评标委员会负责</w:t>
      </w:r>
      <w:r>
        <w:rPr>
          <w:rFonts w:hint="eastAsia" w:ascii="宋体" w:hAnsi="宋体"/>
          <w:szCs w:val="21"/>
          <w:highlight w:val="none"/>
        </w:rPr>
        <w:t>。</w:t>
      </w:r>
    </w:p>
    <w:p>
      <w:pPr>
        <w:rPr>
          <w:highlight w:val="none"/>
        </w:rPr>
      </w:pPr>
      <w:bookmarkStart w:id="908" w:name="_Toc31417"/>
      <w:bookmarkStart w:id="909" w:name="_Toc31189"/>
      <w:bookmarkStart w:id="910" w:name="_Toc20724"/>
      <w:bookmarkStart w:id="911" w:name="_Toc8734"/>
      <w:bookmarkStart w:id="912" w:name="_Toc644"/>
      <w:bookmarkStart w:id="913" w:name="_Toc24406"/>
      <w:bookmarkStart w:id="914" w:name="_Toc8111"/>
      <w:bookmarkStart w:id="915" w:name="_Toc29650"/>
      <w:bookmarkStart w:id="916" w:name="_Toc34503612"/>
      <w:bookmarkStart w:id="917" w:name="_Toc12299"/>
      <w:bookmarkStart w:id="918" w:name="_Toc48818545"/>
      <w:bookmarkStart w:id="919" w:name="_Toc7668"/>
      <w:r>
        <w:rPr>
          <w:rFonts w:hint="eastAsia"/>
          <w:highlight w:val="none"/>
        </w:rPr>
        <w:t>3.1资格审查文件评审</w:t>
      </w:r>
      <w:bookmarkEnd w:id="908"/>
      <w:bookmarkEnd w:id="909"/>
      <w:bookmarkEnd w:id="910"/>
      <w:bookmarkEnd w:id="911"/>
      <w:bookmarkEnd w:id="912"/>
      <w:bookmarkEnd w:id="913"/>
      <w:bookmarkEnd w:id="914"/>
      <w:bookmarkEnd w:id="915"/>
      <w:bookmarkEnd w:id="916"/>
      <w:bookmarkEnd w:id="917"/>
      <w:bookmarkEnd w:id="918"/>
      <w:bookmarkEnd w:id="919"/>
    </w:p>
    <w:p>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（1）资格审查采用电子化审查方式进行，评标委员会对投标人递交的资格审查文件进行评审。</w:t>
      </w:r>
    </w:p>
    <w:p>
      <w:pPr>
        <w:spacing w:line="360" w:lineRule="auto"/>
        <w:ind w:firstLine="420" w:firstLineChars="200"/>
        <w:rPr>
          <w:rFonts w:hint="eastAsia" w:asciiTheme="minorEastAsia" w:hAnsiTheme="minorEastAsia" w:eastAsiaTheme="minorEastAsia" w:cstheme="minorEastAsia"/>
          <w:szCs w:val="21"/>
          <w:highlight w:val="none"/>
          <w:u w:val="single"/>
        </w:rPr>
      </w:pPr>
      <w:r>
        <w:rPr>
          <w:rFonts w:hint="eastAsia" w:ascii="宋体" w:hAnsi="宋体" w:cs="宋体"/>
          <w:szCs w:val="21"/>
          <w:highlight w:val="none"/>
          <w:u w:val="single"/>
        </w:rPr>
        <w:t>（2）资格审查文件中全部符合《资格审查表》中情形的，为资格审查合格。否则为资格审查不合格，经评标委员会认定后，其资格审查文件将被拒绝。如评标委员会成员的评审意见不一致时，以评标委员会过半数成员的意见作为评标委员会对该情形的认定结论。</w:t>
      </w:r>
      <w:r>
        <w:rPr>
          <w:rFonts w:hint="eastAsia" w:asciiTheme="minorEastAsia" w:hAnsiTheme="minorEastAsia" w:eastAsiaTheme="minorEastAsia" w:cstheme="minorEastAsia"/>
          <w:b w:val="0"/>
          <w:bCs w:val="0"/>
          <w:kern w:val="0"/>
          <w:sz w:val="22"/>
          <w:u w:val="single"/>
        </w:rPr>
        <w:t>评委发现资格审查文件中含义不明确、对同类问题表述不一致、有明显文字和计算错误的，应当要求投标人作必要的澄清、说明后再判定投标人是否通过资格审查，不得直接认定其不通过资格审查。</w:t>
      </w:r>
    </w:p>
    <w:p>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（3）汇总资格审查情况，编写资格审查报告。</w:t>
      </w:r>
    </w:p>
    <w:p>
      <w:pPr>
        <w:tabs>
          <w:tab w:val="left" w:pos="7380"/>
        </w:tabs>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4）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特别声明：资审合格后，投标人的资格发生变化而不满足投标人合格条件，在发出中标通知书前，资格问题仍未解决的，招标人将取消其中标资格。</w:t>
      </w:r>
    </w:p>
    <w:p>
      <w:pPr>
        <w:rPr>
          <w:highlight w:val="none"/>
        </w:rPr>
      </w:pPr>
      <w:bookmarkStart w:id="920" w:name="_Toc16928"/>
      <w:bookmarkStart w:id="921" w:name="_Toc27250"/>
      <w:bookmarkStart w:id="922" w:name="_Toc19937"/>
      <w:bookmarkStart w:id="923" w:name="_Toc11110"/>
      <w:bookmarkStart w:id="924" w:name="_Toc13238"/>
      <w:bookmarkStart w:id="925" w:name="_Toc24343"/>
      <w:bookmarkStart w:id="926" w:name="_Toc11407"/>
      <w:bookmarkStart w:id="927" w:name="_Toc29612"/>
      <w:bookmarkStart w:id="928" w:name="_Toc3106"/>
      <w:bookmarkStart w:id="929" w:name="_Toc11050"/>
      <w:bookmarkStart w:id="930" w:name="_Toc34503613"/>
      <w:bookmarkStart w:id="931" w:name="_Toc48818546"/>
      <w:r>
        <w:rPr>
          <w:rFonts w:hint="eastAsia"/>
          <w:highlight w:val="none"/>
        </w:rPr>
        <w:t>3.2投标文件有效性评审</w:t>
      </w:r>
      <w:bookmarkEnd w:id="920"/>
      <w:bookmarkEnd w:id="921"/>
      <w:bookmarkEnd w:id="922"/>
      <w:bookmarkEnd w:id="923"/>
      <w:bookmarkEnd w:id="924"/>
      <w:bookmarkEnd w:id="925"/>
      <w:bookmarkEnd w:id="926"/>
      <w:bookmarkEnd w:id="927"/>
      <w:bookmarkEnd w:id="928"/>
      <w:bookmarkEnd w:id="929"/>
    </w:p>
    <w:bookmarkEnd w:id="930"/>
    <w:bookmarkEnd w:id="931"/>
    <w:p>
      <w:pPr>
        <w:spacing w:line="360" w:lineRule="auto"/>
        <w:ind w:firstLine="457" w:firstLineChars="218"/>
        <w:rPr>
          <w:rFonts w:ascii="宋体" w:hAnsi="宋体" w:cs="宋体"/>
          <w:szCs w:val="21"/>
          <w:highlight w:val="none"/>
          <w:u w:val="single"/>
        </w:rPr>
      </w:pPr>
      <w:r>
        <w:rPr>
          <w:rFonts w:hint="eastAsia" w:ascii="宋体" w:hAnsi="宋体" w:cs="宋体"/>
          <w:szCs w:val="21"/>
          <w:highlight w:val="none"/>
          <w:u w:val="single"/>
        </w:rPr>
        <w:t>工程总承包实施方案有效性评审：工程总承包实施方案投标文件中没有任一种列于本办法附表2《工程总承包实施方案有效性审查表》中情形的，为有效标书。否则为无效标书，经评标委员会认定后，其投标文件将被拒绝。如评标委员会成员的评审意见不一致时，以综合评标委员会过半数成员的意见作为评标委员会对该情形的认定结论。未通过有效性审查的，不得进入下一阶段评审。</w:t>
      </w:r>
    </w:p>
    <w:p>
      <w:pPr>
        <w:rPr>
          <w:highlight w:val="none"/>
        </w:rPr>
      </w:pPr>
      <w:bookmarkStart w:id="932" w:name="_Toc1898"/>
      <w:bookmarkStart w:id="933" w:name="_Toc18191"/>
      <w:bookmarkStart w:id="934" w:name="_Toc48818547"/>
      <w:bookmarkStart w:id="935" w:name="_Toc25033"/>
      <w:bookmarkStart w:id="936" w:name="_Toc19181"/>
      <w:bookmarkStart w:id="937" w:name="_Toc27780"/>
      <w:bookmarkStart w:id="938" w:name="_Toc34503614"/>
      <w:bookmarkStart w:id="939" w:name="_Toc30327"/>
      <w:bookmarkStart w:id="940" w:name="_Toc19465"/>
      <w:bookmarkStart w:id="941" w:name="_Toc22173"/>
      <w:bookmarkStart w:id="942" w:name="_Toc11772"/>
      <w:bookmarkStart w:id="943" w:name="_Toc9410"/>
      <w:r>
        <w:rPr>
          <w:rFonts w:hint="eastAsia"/>
          <w:highlight w:val="none"/>
        </w:rPr>
        <w:t>3.3投标文件详细评审</w:t>
      </w:r>
      <w:bookmarkEnd w:id="932"/>
      <w:bookmarkEnd w:id="933"/>
      <w:bookmarkEnd w:id="934"/>
      <w:bookmarkEnd w:id="935"/>
      <w:bookmarkEnd w:id="936"/>
      <w:bookmarkEnd w:id="937"/>
      <w:bookmarkEnd w:id="938"/>
      <w:bookmarkEnd w:id="939"/>
      <w:bookmarkEnd w:id="940"/>
      <w:bookmarkEnd w:id="941"/>
      <w:bookmarkEnd w:id="942"/>
      <w:bookmarkEnd w:id="943"/>
    </w:p>
    <w:p>
      <w:pPr>
        <w:spacing w:line="360" w:lineRule="auto"/>
        <w:ind w:firstLine="457" w:firstLineChars="218"/>
        <w:rPr>
          <w:rFonts w:ascii="宋体" w:hAnsi="宋体" w:cs="宋体"/>
          <w:highlight w:val="none"/>
          <w:u w:val="single"/>
        </w:rPr>
      </w:pPr>
      <w:r>
        <w:rPr>
          <w:rFonts w:hint="eastAsia" w:ascii="宋体" w:hAnsi="宋体" w:cs="宋体"/>
          <w:szCs w:val="21"/>
          <w:highlight w:val="none"/>
          <w:u w:val="single"/>
        </w:rPr>
        <w:t>3.3.1工程总承包实施方案详细审查评分：</w:t>
      </w:r>
      <w:r>
        <w:rPr>
          <w:rFonts w:hint="eastAsia" w:ascii="宋体" w:hAnsi="宋体" w:cs="宋体"/>
          <w:highlight w:val="none"/>
          <w:u w:val="single"/>
        </w:rPr>
        <w:t>评标委员会按照本办法附表3《</w:t>
      </w:r>
      <w:r>
        <w:rPr>
          <w:rFonts w:hint="eastAsia" w:ascii="宋体" w:hAnsi="宋体" w:cs="宋体"/>
          <w:szCs w:val="21"/>
          <w:highlight w:val="none"/>
          <w:u w:val="single"/>
        </w:rPr>
        <w:t>工程总承包实施方案详细审查评分表</w:t>
      </w:r>
      <w:r>
        <w:rPr>
          <w:rFonts w:hint="eastAsia" w:ascii="宋体" w:hAnsi="宋体" w:cs="宋体"/>
          <w:highlight w:val="none"/>
          <w:u w:val="single"/>
        </w:rPr>
        <w:t>》的标准，</w:t>
      </w:r>
      <w:r>
        <w:rPr>
          <w:rFonts w:hint="eastAsia" w:ascii="宋体" w:hAnsi="宋体" w:cs="宋体"/>
          <w:szCs w:val="21"/>
          <w:highlight w:val="none"/>
          <w:u w:val="single"/>
        </w:rPr>
        <w:t>对通过工程总承包实施方案有效性审查的</w:t>
      </w:r>
      <w:r>
        <w:rPr>
          <w:rFonts w:hint="eastAsia" w:ascii="宋体" w:hAnsi="宋体" w:cs="宋体"/>
          <w:highlight w:val="none"/>
          <w:u w:val="single"/>
        </w:rPr>
        <w:t>投标文件进行详细审查。</w:t>
      </w:r>
    </w:p>
    <w:p>
      <w:pPr>
        <w:spacing w:line="360" w:lineRule="auto"/>
        <w:ind w:firstLine="457" w:firstLineChars="218"/>
        <w:rPr>
          <w:rFonts w:ascii="宋体" w:hAnsi="宋体" w:cs="宋体"/>
          <w:highlight w:val="none"/>
          <w:u w:val="single"/>
        </w:rPr>
      </w:pPr>
      <w:r>
        <w:rPr>
          <w:rFonts w:hint="eastAsia" w:ascii="宋体" w:hAnsi="宋体" w:cs="宋体"/>
          <w:highlight w:val="none"/>
          <w:u w:val="single"/>
        </w:rPr>
        <w:t>3.3.2评标委员会根据评出的</w:t>
      </w:r>
      <w:r>
        <w:rPr>
          <w:rFonts w:hint="eastAsia" w:ascii="宋体" w:hAnsi="宋体" w:cs="宋体"/>
          <w:szCs w:val="21"/>
          <w:highlight w:val="none"/>
          <w:u w:val="single"/>
        </w:rPr>
        <w:t>工程总承包实施方案</w:t>
      </w:r>
      <w:r>
        <w:rPr>
          <w:rFonts w:hint="eastAsia" w:ascii="宋体" w:hAnsi="宋体" w:cs="宋体"/>
          <w:highlight w:val="none"/>
          <w:u w:val="single"/>
        </w:rPr>
        <w:t>投标文件标详细审查得分，</w:t>
      </w:r>
      <w:r>
        <w:rPr>
          <w:rFonts w:hint="eastAsia" w:ascii="宋体" w:hAnsi="宋体" w:cs="宋体"/>
          <w:szCs w:val="21"/>
          <w:highlight w:val="none"/>
          <w:u w:val="single"/>
        </w:rPr>
        <w:t>然后进行评</w:t>
      </w:r>
      <w:r>
        <w:rPr>
          <w:rFonts w:hint="eastAsia" w:ascii="宋体" w:hAnsi="宋体" w:cs="宋体"/>
          <w:highlight w:val="none"/>
          <w:u w:val="single"/>
        </w:rPr>
        <w:t>分汇总，</w:t>
      </w:r>
      <w:r>
        <w:rPr>
          <w:rFonts w:hint="eastAsia" w:ascii="宋体" w:hAnsi="宋体" w:eastAsia="宋体"/>
          <w:color w:val="000000"/>
          <w:u w:val="single"/>
        </w:rPr>
        <w:t>投标人的</w:t>
      </w:r>
      <w:r>
        <w:rPr>
          <w:rFonts w:hint="eastAsia" w:ascii="宋体" w:hAnsi="宋体" w:cs="宋体"/>
          <w:szCs w:val="21"/>
          <w:highlight w:val="none"/>
          <w:u w:val="single"/>
        </w:rPr>
        <w:t>工程总承包实施方案</w:t>
      </w:r>
      <w:r>
        <w:rPr>
          <w:rFonts w:hint="eastAsia" w:ascii="宋体" w:hAnsi="宋体" w:eastAsia="宋体"/>
          <w:color w:val="000000"/>
          <w:u w:val="single"/>
        </w:rPr>
        <w:t>得分为各评委评分汇总后的算术平均值</w:t>
      </w:r>
      <w:r>
        <w:rPr>
          <w:rFonts w:hint="eastAsia" w:ascii="宋体" w:hAnsi="宋体" w:cs="宋体"/>
          <w:highlight w:val="none"/>
          <w:u w:val="single"/>
          <w:lang w:eastAsia="zh-CN"/>
        </w:rPr>
        <w:t>，</w:t>
      </w:r>
      <w:r>
        <w:rPr>
          <w:rFonts w:hint="eastAsia" w:ascii="宋体" w:hAnsi="宋体" w:cs="宋体"/>
          <w:highlight w:val="none"/>
          <w:u w:val="single"/>
        </w:rPr>
        <w:t>分数出现小数点，保留小数点后二位，第三位小数四舍五入。</w:t>
      </w:r>
    </w:p>
    <w:p>
      <w:pPr>
        <w:spacing w:line="360" w:lineRule="auto"/>
        <w:ind w:firstLine="457" w:firstLineChars="218"/>
        <w:rPr>
          <w:rFonts w:ascii="宋体" w:hAnsi="宋体" w:cs="宋体"/>
          <w:highlight w:val="none"/>
          <w:u w:val="single"/>
        </w:rPr>
      </w:pPr>
      <w:r>
        <w:rPr>
          <w:rFonts w:hint="eastAsia" w:ascii="宋体" w:hAnsi="宋体" w:cs="宋体"/>
          <w:highlight w:val="none"/>
          <w:u w:val="single"/>
        </w:rPr>
        <w:t>3.3.3</w:t>
      </w:r>
      <w:r>
        <w:rPr>
          <w:rFonts w:hint="eastAsia" w:ascii="宋体" w:hAnsi="宋体" w:cs="宋体"/>
          <w:highlight w:val="none"/>
          <w:u w:val="single"/>
          <w:lang w:val="en-US" w:eastAsia="zh-CN"/>
        </w:rPr>
        <w:t>报价</w:t>
      </w:r>
      <w:r>
        <w:rPr>
          <w:rFonts w:hint="eastAsia" w:ascii="宋体" w:hAnsi="宋体" w:cs="宋体"/>
          <w:highlight w:val="none"/>
          <w:u w:val="single"/>
        </w:rPr>
        <w:t>投标文件的有效性审查：通过投标文件有效性审查的投标文件中没有任一种列于本办法附表4《</w:t>
      </w:r>
      <w:r>
        <w:rPr>
          <w:rFonts w:hint="eastAsia" w:ascii="宋体" w:hAnsi="宋体" w:cs="宋体"/>
          <w:highlight w:val="none"/>
          <w:u w:val="single"/>
          <w:lang w:eastAsia="zh-CN"/>
        </w:rPr>
        <w:t>报价</w:t>
      </w:r>
      <w:r>
        <w:rPr>
          <w:rFonts w:hint="eastAsia" w:ascii="宋体" w:hAnsi="宋体" w:cs="宋体"/>
          <w:highlight w:val="none"/>
          <w:u w:val="single"/>
        </w:rPr>
        <w:t>有效性审查表》中情形的，为有效标书。否则为无效标书，经评标委员会认定后，其投标文件将被拒绝。如评标委员会成员的评审意见不一致时，以评标委员会过半数成员的意见作为评标委员会对该情形的认定结论。未通过有效性审查的，不得进入下一阶段评审。</w:t>
      </w:r>
    </w:p>
    <w:p>
      <w:pPr>
        <w:snapToGrid w:val="0"/>
        <w:spacing w:line="360" w:lineRule="auto"/>
        <w:ind w:firstLine="457" w:firstLineChars="218"/>
        <w:rPr>
          <w:rFonts w:ascii="宋体" w:hAnsi="宋体" w:cs="宋体"/>
          <w:highlight w:val="none"/>
          <w:u w:val="single"/>
        </w:rPr>
      </w:pPr>
      <w:r>
        <w:rPr>
          <w:rFonts w:hint="eastAsia" w:ascii="宋体" w:hAnsi="宋体" w:cs="宋体"/>
          <w:highlight w:val="none"/>
          <w:u w:val="single"/>
        </w:rPr>
        <w:t>3.3.4 投标报价的算术校核。评标委员会对通过</w:t>
      </w:r>
      <w:r>
        <w:rPr>
          <w:rFonts w:hint="eastAsia" w:ascii="宋体" w:hAnsi="宋体" w:cs="宋体"/>
          <w:highlight w:val="none"/>
          <w:u w:val="single"/>
          <w:lang w:val="en-US" w:eastAsia="zh-CN"/>
        </w:rPr>
        <w:t>报价</w:t>
      </w:r>
      <w:r>
        <w:rPr>
          <w:rFonts w:hint="eastAsia" w:ascii="宋体" w:hAnsi="宋体" w:cs="宋体"/>
          <w:highlight w:val="none"/>
          <w:u w:val="single"/>
        </w:rPr>
        <w:t>投标文件有效性审查的投标文件投标报进行算术校核，具体标准如下：</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（1）如果数字表示的金额和用文字表示的金额不一致时，应以文字表示的金额为准（有以下算术性错误需要修正的除外）；</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（2）如果分项报价累加不等总价的，以分项报价累加为准，修正总价；</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（3）投标文件存在其他计算性错误的，按就低不就高计算并修正；</w:t>
      </w:r>
    </w:p>
    <w:p>
      <w:pPr>
        <w:spacing w:line="360" w:lineRule="auto"/>
        <w:ind w:firstLine="420" w:firstLineChars="200"/>
        <w:rPr>
          <w:rFonts w:ascii="宋体" w:hAnsi="宋体" w:cs="宋体"/>
          <w:szCs w:val="21"/>
          <w:highlight w:val="none"/>
          <w:u w:val="single"/>
        </w:rPr>
      </w:pPr>
      <w:r>
        <w:rPr>
          <w:rFonts w:hint="eastAsia" w:ascii="宋体" w:hAnsi="宋体" w:cs="宋体"/>
          <w:highlight w:val="none"/>
          <w:u w:val="single"/>
        </w:rPr>
        <w:t>（4）按上述修正错误的原则及方法调整或修正投标文件的投标报价，调整后的投标报价对投标人起约束作用。如果投标人不接受修正后的报价，则取消其投标资格，并且其投标担</w:t>
      </w:r>
      <w:r>
        <w:rPr>
          <w:rFonts w:hint="eastAsia" w:ascii="宋体" w:hAnsi="宋体" w:cs="宋体"/>
          <w:szCs w:val="21"/>
          <w:highlight w:val="none"/>
          <w:u w:val="single"/>
        </w:rPr>
        <w:t>保也将被没收。</w:t>
      </w:r>
    </w:p>
    <w:p>
      <w:pPr>
        <w:snapToGrid w:val="0"/>
        <w:spacing w:line="360" w:lineRule="auto"/>
        <w:ind w:firstLine="457" w:firstLineChars="218"/>
        <w:rPr>
          <w:rFonts w:ascii="宋体" w:hAnsi="宋体" w:cs="宋体"/>
          <w:szCs w:val="21"/>
          <w:highlight w:val="none"/>
          <w:u w:val="single"/>
        </w:rPr>
      </w:pPr>
      <w:r>
        <w:rPr>
          <w:rFonts w:hint="eastAsia" w:ascii="宋体" w:hAnsi="宋体" w:cs="宋体"/>
          <w:szCs w:val="21"/>
          <w:highlight w:val="none"/>
          <w:u w:val="single"/>
        </w:rPr>
        <w:t xml:space="preserve">3.3.5 </w:t>
      </w:r>
      <w:r>
        <w:rPr>
          <w:rFonts w:hint="eastAsia" w:ascii="宋体" w:hAnsi="宋体" w:cs="宋体"/>
          <w:szCs w:val="21"/>
          <w:highlight w:val="none"/>
          <w:u w:val="single"/>
          <w:lang w:eastAsia="zh-CN"/>
        </w:rPr>
        <w:t>报价</w:t>
      </w:r>
      <w:r>
        <w:rPr>
          <w:rFonts w:hint="eastAsia" w:ascii="宋体" w:hAnsi="宋体" w:cs="宋体"/>
          <w:szCs w:val="21"/>
          <w:highlight w:val="none"/>
          <w:u w:val="single"/>
        </w:rPr>
        <w:t>评分</w:t>
      </w:r>
    </w:p>
    <w:p>
      <w:pPr>
        <w:spacing w:line="360" w:lineRule="auto"/>
        <w:ind w:firstLine="420" w:firstLineChars="200"/>
        <w:rPr>
          <w:szCs w:val="21"/>
          <w:highlight w:val="none"/>
        </w:rPr>
      </w:pPr>
      <w:r>
        <w:rPr>
          <w:rFonts w:hint="eastAsia" w:ascii="宋体" w:hAnsi="宋体"/>
          <w:szCs w:val="21"/>
          <w:highlight w:val="none"/>
        </w:rPr>
        <w:t>（1）当通过资格审查、工程总承包实施方案投标文件有效性审查投标人不足（不含）3家，则由招标人依法重新招标；有效投标人不足</w:t>
      </w:r>
      <w:r>
        <w:rPr>
          <w:rFonts w:hint="eastAsia"/>
          <w:szCs w:val="21"/>
          <w:highlight w:val="none"/>
        </w:rPr>
        <w:t>5 家（含）时，所有有效投标人报价的平均值即为评标基准价；超过5家的，去掉1个最高价和1个最低价后的投标人的投标报价的平均值为评标基准价。</w:t>
      </w:r>
    </w:p>
    <w:p>
      <w:pPr>
        <w:spacing w:line="360" w:lineRule="auto"/>
        <w:ind w:firstLine="420" w:firstLineChars="200"/>
        <w:rPr>
          <w:szCs w:val="21"/>
          <w:highlight w:val="none"/>
        </w:rPr>
      </w:pPr>
      <w:r>
        <w:rPr>
          <w:rFonts w:hint="eastAsia"/>
          <w:szCs w:val="21"/>
          <w:highlight w:val="none"/>
        </w:rPr>
        <w:t xml:space="preserve">（2）报价得分计算：投标人的投标价等于评标基准价时得满分，有效投标报价与评标基准价的差值每高于评标基准价一个百分点扣 </w:t>
      </w:r>
      <w:r>
        <w:rPr>
          <w:szCs w:val="21"/>
          <w:highlight w:val="none"/>
        </w:rPr>
        <w:t>0.5</w:t>
      </w:r>
      <w:r>
        <w:rPr>
          <w:rFonts w:hint="eastAsia"/>
          <w:szCs w:val="21"/>
          <w:highlight w:val="none"/>
        </w:rPr>
        <w:t>分，每低于评标基准价一个百分点扣0.</w:t>
      </w:r>
      <w:r>
        <w:rPr>
          <w:szCs w:val="21"/>
          <w:highlight w:val="none"/>
        </w:rPr>
        <w:t>3</w:t>
      </w:r>
      <w:r>
        <w:rPr>
          <w:rFonts w:hint="eastAsia"/>
          <w:szCs w:val="21"/>
          <w:highlight w:val="none"/>
        </w:rPr>
        <w:t>分</w:t>
      </w:r>
      <w:r>
        <w:rPr>
          <w:rFonts w:hint="eastAsia" w:ascii="宋体" w:hAnsi="宋体" w:cs="宋体"/>
          <w:szCs w:val="21"/>
          <w:highlight w:val="none"/>
        </w:rPr>
        <w:t>（偏差率出现小数点时，保留小数点后2位，第三位小数四舍五入。）</w:t>
      </w:r>
    </w:p>
    <w:p>
      <w:pPr>
        <w:spacing w:line="360" w:lineRule="auto"/>
        <w:ind w:firstLine="420" w:firstLineChars="200"/>
        <w:rPr>
          <w:rFonts w:ascii="宋体" w:hAnsi="宋体"/>
          <w:szCs w:val="21"/>
          <w:highlight w:val="none"/>
        </w:rPr>
      </w:pPr>
      <w:r>
        <w:rPr>
          <w:rFonts w:hint="eastAsia"/>
          <w:szCs w:val="21"/>
          <w:highlight w:val="none"/>
        </w:rPr>
        <w:t>（3）报价超过最高限价的（含各分项），否决其投标。</w:t>
      </w:r>
    </w:p>
    <w:p>
      <w:pPr>
        <w:snapToGrid w:val="0"/>
        <w:spacing w:line="400" w:lineRule="exact"/>
        <w:ind w:firstLine="457" w:firstLineChars="218"/>
        <w:rPr>
          <w:rFonts w:ascii="宋体" w:hAnsi="宋体" w:cs="宋体"/>
          <w:szCs w:val="21"/>
          <w:highlight w:val="none"/>
          <w:u w:val="single"/>
        </w:rPr>
      </w:pPr>
      <w:r>
        <w:rPr>
          <w:rFonts w:hint="eastAsia" w:ascii="宋体" w:hAnsi="宋体" w:cs="宋体"/>
          <w:szCs w:val="21"/>
          <w:highlight w:val="none"/>
          <w:u w:val="single"/>
        </w:rPr>
        <w:t xml:space="preserve">3.3.6 </w:t>
      </w:r>
      <w:r>
        <w:rPr>
          <w:rFonts w:hint="eastAsia" w:ascii="宋体" w:hAnsi="宋体" w:cs="宋体"/>
          <w:szCs w:val="21"/>
          <w:highlight w:val="none"/>
          <w:u w:val="single"/>
          <w:lang w:eastAsia="zh-CN"/>
        </w:rPr>
        <w:t>报价</w:t>
      </w:r>
      <w:r>
        <w:rPr>
          <w:rFonts w:hint="eastAsia" w:ascii="宋体" w:hAnsi="宋体" w:cs="宋体"/>
          <w:szCs w:val="21"/>
          <w:highlight w:val="none"/>
          <w:u w:val="single"/>
        </w:rPr>
        <w:t>部分评审中的投标报价指投标总报价，投标总报价=建安工程费报价+设计费报价+其他费报价</w:t>
      </w:r>
    </w:p>
    <w:p>
      <w:pPr>
        <w:rPr>
          <w:highlight w:val="none"/>
        </w:rPr>
      </w:pPr>
      <w:bookmarkStart w:id="944" w:name="_Toc3719"/>
      <w:bookmarkStart w:id="945" w:name="_Toc18939"/>
      <w:bookmarkStart w:id="946" w:name="_Toc34503616"/>
      <w:bookmarkStart w:id="947" w:name="_Toc30534"/>
      <w:bookmarkStart w:id="948" w:name="_Toc22007"/>
      <w:bookmarkStart w:id="949" w:name="_Toc17771"/>
      <w:bookmarkStart w:id="950" w:name="_Toc29090"/>
      <w:bookmarkStart w:id="951" w:name="_Toc32764"/>
      <w:bookmarkStart w:id="952" w:name="_Toc48818548"/>
      <w:bookmarkStart w:id="953" w:name="_Toc24080"/>
      <w:bookmarkStart w:id="954" w:name="_Toc19911"/>
      <w:bookmarkStart w:id="955" w:name="_Toc18757"/>
      <w:r>
        <w:rPr>
          <w:rFonts w:hint="eastAsia"/>
          <w:highlight w:val="none"/>
        </w:rPr>
        <w:t>3.4评审汇总</w:t>
      </w:r>
      <w:bookmarkEnd w:id="944"/>
      <w:bookmarkEnd w:id="945"/>
      <w:bookmarkEnd w:id="946"/>
      <w:bookmarkEnd w:id="947"/>
      <w:bookmarkEnd w:id="948"/>
      <w:bookmarkEnd w:id="949"/>
      <w:bookmarkEnd w:id="950"/>
      <w:bookmarkEnd w:id="951"/>
      <w:bookmarkEnd w:id="952"/>
      <w:bookmarkEnd w:id="953"/>
      <w:bookmarkEnd w:id="954"/>
      <w:bookmarkEnd w:id="955"/>
    </w:p>
    <w:p>
      <w:pPr>
        <w:snapToGrid w:val="0"/>
        <w:spacing w:line="400" w:lineRule="exact"/>
        <w:ind w:firstLine="457" w:firstLineChars="218"/>
        <w:rPr>
          <w:rFonts w:ascii="宋体" w:hAnsi="宋体" w:cs="宋体"/>
          <w:szCs w:val="21"/>
          <w:highlight w:val="none"/>
          <w:u w:val="single"/>
        </w:rPr>
      </w:pPr>
      <w:r>
        <w:rPr>
          <w:rFonts w:hint="eastAsia" w:ascii="宋体" w:hAnsi="宋体" w:cs="宋体"/>
          <w:szCs w:val="21"/>
          <w:highlight w:val="none"/>
          <w:u w:val="single"/>
        </w:rPr>
        <w:t>3.4.1 投标人总得分满分为100分，总得分权重分配见:</w:t>
      </w:r>
      <w:r>
        <w:rPr>
          <w:rFonts w:hint="eastAsia"/>
          <w:highlight w:val="none"/>
        </w:rPr>
        <w:t xml:space="preserve"> </w:t>
      </w:r>
      <w:r>
        <w:rPr>
          <w:rFonts w:hint="eastAsia" w:ascii="宋体" w:hAnsi="宋体" w:cs="宋体"/>
          <w:szCs w:val="21"/>
          <w:highlight w:val="none"/>
          <w:u w:val="single"/>
        </w:rPr>
        <w:t>第三章 评标办法前附表。</w:t>
      </w:r>
    </w:p>
    <w:p>
      <w:pPr>
        <w:snapToGrid w:val="0"/>
        <w:spacing w:line="400" w:lineRule="exact"/>
        <w:ind w:firstLine="457" w:firstLineChars="218"/>
        <w:rPr>
          <w:rFonts w:ascii="宋体" w:hAnsi="宋体" w:cs="宋体"/>
          <w:szCs w:val="21"/>
          <w:highlight w:val="none"/>
          <w:u w:val="single"/>
        </w:rPr>
      </w:pPr>
      <w:r>
        <w:rPr>
          <w:rFonts w:hint="eastAsia" w:ascii="宋体" w:hAnsi="宋体" w:cs="宋体"/>
          <w:szCs w:val="21"/>
          <w:highlight w:val="none"/>
          <w:u w:val="single"/>
        </w:rPr>
        <w:t xml:space="preserve">3.4.2 </w:t>
      </w:r>
      <w:r>
        <w:rPr>
          <w:rFonts w:hint="eastAsia" w:ascii="宋体" w:hAnsi="宋体" w:cs="宋体"/>
          <w:bCs/>
          <w:szCs w:val="21"/>
          <w:highlight w:val="none"/>
          <w:u w:val="single"/>
        </w:rPr>
        <w:t>综合评标委员会</w:t>
      </w:r>
      <w:r>
        <w:rPr>
          <w:rFonts w:hint="eastAsia" w:ascii="宋体" w:hAnsi="宋体" w:cs="宋体"/>
          <w:szCs w:val="21"/>
          <w:highlight w:val="none"/>
          <w:u w:val="single"/>
        </w:rPr>
        <w:t>按照“投标人总得分（满分100分）=工程总承包实施方案得分×工程总承包实施方案得分权重（5</w:t>
      </w:r>
      <w:r>
        <w:rPr>
          <w:rFonts w:ascii="宋体" w:hAnsi="宋体" w:cs="宋体"/>
          <w:szCs w:val="21"/>
          <w:highlight w:val="none"/>
          <w:u w:val="single"/>
        </w:rPr>
        <w:t>0</w:t>
      </w:r>
      <w:r>
        <w:rPr>
          <w:rFonts w:hint="eastAsia" w:ascii="宋体" w:hAnsi="宋体" w:cs="宋体"/>
          <w:szCs w:val="21"/>
          <w:highlight w:val="none"/>
          <w:u w:val="single"/>
        </w:rPr>
        <w:t>%）+</w:t>
      </w:r>
      <w:r>
        <w:rPr>
          <w:rFonts w:hint="eastAsia" w:ascii="宋体" w:hAnsi="宋体" w:cs="宋体"/>
          <w:szCs w:val="21"/>
          <w:highlight w:val="none"/>
          <w:u w:val="single"/>
          <w:lang w:eastAsia="zh-CN"/>
        </w:rPr>
        <w:t>报价</w:t>
      </w:r>
      <w:r>
        <w:rPr>
          <w:rFonts w:hint="eastAsia" w:ascii="宋体" w:hAnsi="宋体" w:cs="宋体"/>
          <w:szCs w:val="21"/>
          <w:highlight w:val="none"/>
          <w:u w:val="single"/>
        </w:rPr>
        <w:t>得分×</w:t>
      </w:r>
      <w:r>
        <w:rPr>
          <w:rFonts w:hint="eastAsia" w:ascii="宋体" w:hAnsi="宋体" w:cs="宋体"/>
          <w:szCs w:val="21"/>
          <w:highlight w:val="none"/>
          <w:u w:val="single"/>
          <w:lang w:eastAsia="zh-CN"/>
        </w:rPr>
        <w:t>报价</w:t>
      </w:r>
      <w:r>
        <w:rPr>
          <w:rFonts w:hint="eastAsia" w:ascii="宋体" w:hAnsi="宋体" w:cs="宋体"/>
          <w:szCs w:val="21"/>
          <w:highlight w:val="none"/>
          <w:u w:val="single"/>
        </w:rPr>
        <w:t>得分权重（5</w:t>
      </w:r>
      <w:r>
        <w:rPr>
          <w:rFonts w:ascii="宋体" w:hAnsi="宋体" w:cs="宋体"/>
          <w:szCs w:val="21"/>
          <w:highlight w:val="none"/>
          <w:u w:val="single"/>
        </w:rPr>
        <w:t>0</w:t>
      </w:r>
      <w:r>
        <w:rPr>
          <w:rFonts w:hint="eastAsia" w:ascii="宋体" w:hAnsi="宋体" w:cs="宋体"/>
          <w:szCs w:val="21"/>
          <w:highlight w:val="none"/>
          <w:u w:val="single"/>
        </w:rPr>
        <w:t>%）。其中：工程总承包实施方案得分（满分100分）=《工程总承包实施方案详细审查评分表》得分；</w:t>
      </w:r>
      <w:r>
        <w:rPr>
          <w:rFonts w:hint="eastAsia" w:ascii="宋体" w:hAnsi="宋体" w:cs="宋体"/>
          <w:szCs w:val="21"/>
          <w:highlight w:val="none"/>
          <w:u w:val="single"/>
          <w:lang w:eastAsia="zh-CN"/>
        </w:rPr>
        <w:t>报价</w:t>
      </w:r>
      <w:r>
        <w:rPr>
          <w:rFonts w:hint="eastAsia" w:ascii="宋体" w:hAnsi="宋体" w:cs="宋体"/>
          <w:szCs w:val="21"/>
          <w:highlight w:val="none"/>
          <w:u w:val="single"/>
        </w:rPr>
        <w:t>得分（满分100分）=《投标报价得分表》得分”的公式，计算各有效投标文件的总得分，并按照总得分从高到低排列先后次序。总得分相同的，以</w:t>
      </w:r>
      <w:r>
        <w:rPr>
          <w:rFonts w:hint="eastAsia" w:ascii="宋体" w:hAnsi="宋体" w:cs="宋体"/>
          <w:szCs w:val="21"/>
          <w:highlight w:val="none"/>
          <w:u w:val="single"/>
          <w:lang w:val="en-US" w:eastAsia="zh-CN"/>
        </w:rPr>
        <w:t>有效投标</w:t>
      </w:r>
      <w:r>
        <w:rPr>
          <w:rFonts w:hint="eastAsia" w:ascii="宋体" w:hAnsi="宋体" w:cs="宋体"/>
          <w:szCs w:val="21"/>
          <w:highlight w:val="none"/>
          <w:u w:val="single"/>
        </w:rPr>
        <w:t>总报价低的</w:t>
      </w:r>
      <w:r>
        <w:rPr>
          <w:rFonts w:hint="eastAsia" w:ascii="宋体" w:hAnsi="宋体" w:cs="宋体"/>
          <w:szCs w:val="21"/>
          <w:highlight w:val="none"/>
          <w:u w:val="single"/>
          <w:lang w:eastAsia="zh-CN"/>
        </w:rPr>
        <w:t>优先</w:t>
      </w:r>
      <w:r>
        <w:rPr>
          <w:rFonts w:hint="eastAsia" w:ascii="宋体" w:hAnsi="宋体" w:cs="宋体"/>
          <w:szCs w:val="21"/>
          <w:highlight w:val="none"/>
          <w:u w:val="single"/>
        </w:rPr>
        <w:t>；如仍存在相同情况，则对具有相同情况的投标人，按中标候选人数量规定，由</w:t>
      </w:r>
      <w:r>
        <w:rPr>
          <w:rFonts w:hint="eastAsia" w:ascii="宋体" w:hAnsi="宋体" w:cs="宋体"/>
          <w:bCs/>
          <w:szCs w:val="21"/>
          <w:highlight w:val="none"/>
          <w:u w:val="single"/>
        </w:rPr>
        <w:t>评标委员会</w:t>
      </w:r>
      <w:r>
        <w:rPr>
          <w:rFonts w:hint="eastAsia" w:ascii="宋体" w:hAnsi="宋体" w:cs="宋体"/>
          <w:szCs w:val="21"/>
          <w:highlight w:val="none"/>
          <w:u w:val="single"/>
        </w:rPr>
        <w:t>采用记名投票的方式，确定中标候选人的排序。</w:t>
      </w:r>
      <w:r>
        <w:rPr>
          <w:rFonts w:hint="eastAsia" w:ascii="宋体" w:hAnsi="宋体" w:cs="宋体"/>
          <w:bCs/>
          <w:szCs w:val="21"/>
          <w:highlight w:val="none"/>
          <w:u w:val="single"/>
        </w:rPr>
        <w:t>评标委员会</w:t>
      </w:r>
      <w:r>
        <w:rPr>
          <w:rFonts w:hint="eastAsia" w:ascii="宋体" w:hAnsi="宋体" w:cs="宋体"/>
          <w:szCs w:val="21"/>
          <w:highlight w:val="none"/>
          <w:u w:val="single"/>
        </w:rPr>
        <w:t>应按排序先后，在投标文件有效的投标人中，向招标人推荐前3名投标人依次为第一中标候选人至第三中标候选人，并编写评标报告，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snapToGrid w:val="0"/>
        <w:spacing w:line="400" w:lineRule="exact"/>
        <w:ind w:firstLine="460" w:firstLineChars="218"/>
        <w:rPr>
          <w:rFonts w:ascii="宋体" w:hAnsi="宋体" w:cs="宋体"/>
          <w:b/>
          <w:szCs w:val="21"/>
          <w:highlight w:val="none"/>
          <w:u w:val="single"/>
        </w:rPr>
      </w:pPr>
      <w:r>
        <w:rPr>
          <w:rFonts w:hint="eastAsia" w:ascii="宋体" w:hAnsi="宋体" w:cs="宋体"/>
          <w:b/>
          <w:szCs w:val="21"/>
          <w:highlight w:val="none"/>
          <w:u w:val="single"/>
        </w:rPr>
        <w:t>3.4.3只有同时通过资格审查、工程总承包实施方案投标文件有效性审查、</w:t>
      </w:r>
      <w:r>
        <w:rPr>
          <w:rFonts w:hint="eastAsia" w:ascii="宋体" w:hAnsi="宋体" w:cs="宋体"/>
          <w:b/>
          <w:szCs w:val="21"/>
          <w:highlight w:val="none"/>
          <w:u w:val="single"/>
          <w:lang w:eastAsia="zh-CN"/>
        </w:rPr>
        <w:t>报价</w:t>
      </w:r>
      <w:r>
        <w:rPr>
          <w:rFonts w:hint="eastAsia" w:ascii="宋体" w:hAnsi="宋体" w:cs="宋体"/>
          <w:b/>
          <w:szCs w:val="21"/>
          <w:highlight w:val="none"/>
          <w:u w:val="single"/>
          <w:lang w:val="en-US" w:eastAsia="zh-CN"/>
        </w:rPr>
        <w:t>投标文件</w:t>
      </w:r>
      <w:r>
        <w:rPr>
          <w:rFonts w:hint="eastAsia" w:ascii="宋体" w:hAnsi="宋体" w:cs="宋体"/>
          <w:b/>
          <w:szCs w:val="21"/>
          <w:highlight w:val="none"/>
          <w:u w:val="single"/>
        </w:rPr>
        <w:t>有效性审查的投标人，才参与总得分汇总。</w:t>
      </w:r>
    </w:p>
    <w:p>
      <w:pPr>
        <w:snapToGrid w:val="0"/>
        <w:spacing w:line="400" w:lineRule="exact"/>
        <w:ind w:firstLine="457" w:firstLineChars="218"/>
        <w:rPr>
          <w:rFonts w:ascii="宋体" w:hAnsi="宋体" w:cs="宋体"/>
          <w:szCs w:val="21"/>
          <w:highlight w:val="none"/>
          <w:u w:val="single"/>
        </w:rPr>
      </w:pPr>
      <w:r>
        <w:rPr>
          <w:rFonts w:hint="eastAsia" w:ascii="宋体" w:hAnsi="宋体" w:cs="宋体"/>
          <w:szCs w:val="21"/>
          <w:highlight w:val="none"/>
          <w:u w:val="single"/>
        </w:rPr>
        <w:t>3.4.4满足资格审查合格条件的投标人不足3名、或经评审有效的投标人不足3名时为招标失败，应当依法重新招标。</w:t>
      </w:r>
    </w:p>
    <w:p>
      <w:pPr>
        <w:spacing w:before="100" w:after="100" w:line="400" w:lineRule="exact"/>
        <w:ind w:firstLine="103"/>
        <w:rPr>
          <w:rFonts w:ascii="宋体" w:cs="宋体"/>
          <w:highlight w:val="none"/>
        </w:rPr>
      </w:pPr>
      <w:bookmarkStart w:id="956" w:name="_Toc25669"/>
      <w:bookmarkStart w:id="957" w:name="_Toc34503617"/>
      <w:bookmarkStart w:id="958" w:name="_Toc28606"/>
      <w:bookmarkStart w:id="959" w:name="_Toc23047"/>
      <w:bookmarkStart w:id="960" w:name="_Toc1824"/>
      <w:bookmarkStart w:id="961" w:name="_Toc130"/>
      <w:bookmarkStart w:id="962" w:name="_Toc12810"/>
      <w:bookmarkStart w:id="963" w:name="_Toc11495"/>
      <w:bookmarkStart w:id="964" w:name="_Toc19966"/>
      <w:bookmarkStart w:id="965" w:name="_Toc8083"/>
      <w:bookmarkStart w:id="966" w:name="_Toc48818549"/>
      <w:bookmarkStart w:id="967" w:name="_Toc5941"/>
      <w:r>
        <w:rPr>
          <w:rFonts w:hint="eastAsia" w:ascii="宋体" w:cs="宋体"/>
          <w:highlight w:val="none"/>
        </w:rPr>
        <w:t>3.5投标文件的澄清和补正</w:t>
      </w:r>
      <w:bookmarkEnd w:id="956"/>
      <w:bookmarkEnd w:id="957"/>
      <w:bookmarkEnd w:id="958"/>
      <w:bookmarkEnd w:id="959"/>
      <w:bookmarkEnd w:id="960"/>
      <w:bookmarkEnd w:id="961"/>
      <w:bookmarkEnd w:id="962"/>
      <w:bookmarkEnd w:id="963"/>
      <w:bookmarkEnd w:id="964"/>
      <w:bookmarkEnd w:id="965"/>
      <w:bookmarkEnd w:id="966"/>
      <w:bookmarkEnd w:id="967"/>
    </w:p>
    <w:p>
      <w:pPr>
        <w:spacing w:line="400" w:lineRule="exact"/>
        <w:ind w:firstLine="420" w:firstLineChars="200"/>
        <w:rPr>
          <w:rFonts w:ascii="宋体" w:hAnsi="宋体" w:cs="宋体"/>
          <w:highlight w:val="none"/>
          <w:u w:val="single"/>
        </w:rPr>
      </w:pPr>
      <w:r>
        <w:rPr>
          <w:rFonts w:hint="eastAsia" w:ascii="宋体" w:hAnsi="宋体" w:cs="宋体"/>
          <w:highlight w:val="none"/>
          <w:u w:val="single"/>
        </w:rPr>
        <w:t>3.5.1 为有助于投标文件的审查、评价和比较，评标期间，经评标委员会中超过两人（含两人）的成员以书面形式提出动议，评标委员会应当书面发出澄清通知，要求投标人对投标文件含义不明确的内容作出澄清。</w:t>
      </w:r>
    </w:p>
    <w:p>
      <w:pPr>
        <w:spacing w:line="400" w:lineRule="exact"/>
        <w:ind w:firstLine="420" w:firstLineChars="200"/>
        <w:rPr>
          <w:rFonts w:ascii="宋体" w:hAnsi="宋体" w:cs="宋体"/>
          <w:highlight w:val="none"/>
          <w:u w:val="single"/>
        </w:rPr>
      </w:pPr>
      <w:r>
        <w:rPr>
          <w:rFonts w:hint="eastAsia" w:ascii="宋体" w:hAnsi="宋体" w:cs="宋体"/>
          <w:highlight w:val="none"/>
          <w:u w:val="single"/>
        </w:rPr>
        <w:t>3.5.2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pPr>
        <w:spacing w:line="400" w:lineRule="exact"/>
        <w:ind w:firstLine="420" w:firstLineChars="200"/>
        <w:rPr>
          <w:rFonts w:ascii="宋体" w:hAnsi="宋体" w:cs="宋体"/>
          <w:highlight w:val="none"/>
          <w:u w:val="single"/>
        </w:rPr>
      </w:pPr>
      <w:r>
        <w:rPr>
          <w:rFonts w:hint="eastAsia" w:ascii="宋体" w:hAnsi="宋体" w:cs="宋体"/>
          <w:highlight w:val="none"/>
          <w:u w:val="single"/>
        </w:rPr>
        <w:t>3.5.3 评标委员会成员均应当阅读投标人的澄清，但应独立对澄清和投标文件进行评审。</w:t>
      </w:r>
    </w:p>
    <w:p>
      <w:pPr>
        <w:spacing w:line="400" w:lineRule="exact"/>
        <w:ind w:firstLine="420" w:firstLineChars="200"/>
        <w:rPr>
          <w:rFonts w:ascii="宋体" w:hAnsi="宋体" w:cs="宋体"/>
          <w:highlight w:val="none"/>
          <w:u w:val="single"/>
        </w:rPr>
      </w:pPr>
      <w:r>
        <w:rPr>
          <w:rFonts w:hint="eastAsia" w:ascii="宋体" w:hAnsi="宋体" w:cs="宋体"/>
          <w:highlight w:val="none"/>
          <w:u w:val="single"/>
        </w:rPr>
        <w:t>3.5.4 如果投标文件实质上不响应招标文件的各项要求，评标委员会将按照有效性审查标准予以拒绝，不接受投标人通过修改或撤销其不符合要求的差异或保留，使之成为具有响应性的投标。</w:t>
      </w:r>
    </w:p>
    <w:p>
      <w:pPr>
        <w:spacing w:before="100" w:after="100" w:line="400" w:lineRule="exact"/>
        <w:ind w:firstLine="103"/>
        <w:rPr>
          <w:rFonts w:ascii="宋体" w:cs="宋体"/>
          <w:highlight w:val="none"/>
        </w:rPr>
      </w:pPr>
      <w:bookmarkStart w:id="968" w:name="_Toc8355"/>
      <w:bookmarkStart w:id="969" w:name="_Toc12515"/>
      <w:bookmarkStart w:id="970" w:name="_Toc34503618"/>
      <w:bookmarkStart w:id="971" w:name="_Toc10464"/>
      <w:bookmarkStart w:id="972" w:name="_Toc15869"/>
      <w:bookmarkStart w:id="973" w:name="_Toc13854"/>
      <w:bookmarkStart w:id="974" w:name="_Toc11922"/>
      <w:bookmarkStart w:id="975" w:name="_Toc22901"/>
      <w:bookmarkStart w:id="976" w:name="_Toc48818550"/>
      <w:bookmarkStart w:id="977" w:name="_Toc11498"/>
      <w:bookmarkStart w:id="978" w:name="_Toc32169"/>
      <w:bookmarkStart w:id="979" w:name="_Toc17909"/>
      <w:r>
        <w:rPr>
          <w:rFonts w:hint="eastAsia" w:ascii="宋体" w:cs="宋体"/>
          <w:highlight w:val="none"/>
        </w:rPr>
        <w:t>3.6评标结果</w:t>
      </w:r>
      <w:bookmarkEnd w:id="968"/>
      <w:bookmarkEnd w:id="969"/>
      <w:bookmarkEnd w:id="970"/>
      <w:bookmarkEnd w:id="971"/>
      <w:bookmarkEnd w:id="972"/>
      <w:bookmarkEnd w:id="973"/>
      <w:bookmarkEnd w:id="974"/>
      <w:bookmarkEnd w:id="975"/>
      <w:bookmarkEnd w:id="976"/>
      <w:bookmarkEnd w:id="977"/>
      <w:bookmarkEnd w:id="978"/>
      <w:bookmarkEnd w:id="979"/>
    </w:p>
    <w:p>
      <w:pPr>
        <w:snapToGrid w:val="0"/>
        <w:spacing w:line="400" w:lineRule="exact"/>
        <w:ind w:firstLine="457" w:firstLineChars="218"/>
        <w:rPr>
          <w:rFonts w:ascii="宋体" w:hAnsi="宋体" w:cs="宋体"/>
          <w:sz w:val="24"/>
          <w:highlight w:val="none"/>
          <w:u w:val="single"/>
        </w:rPr>
      </w:pPr>
      <w:r>
        <w:rPr>
          <w:rFonts w:hint="eastAsia" w:ascii="宋体" w:hAnsi="宋体" w:cs="宋体"/>
          <w:szCs w:val="21"/>
          <w:highlight w:val="none"/>
          <w:u w:val="single"/>
        </w:rPr>
        <w:t>评标委员会应按排序先后，在招标文件有效的投标人中，向招标人推荐前3名投标人依次为第一中标候选人至第三中标候选人。</w:t>
      </w:r>
    </w:p>
    <w:p>
      <w:pPr>
        <w:spacing w:line="360" w:lineRule="auto"/>
        <w:rPr>
          <w:rFonts w:ascii="宋体" w:hAnsi="宋体"/>
          <w:highlight w:val="none"/>
        </w:rPr>
      </w:pPr>
      <w:bookmarkStart w:id="980" w:name="_Toc29496"/>
      <w:bookmarkStart w:id="981" w:name="_Toc28278"/>
      <w:bookmarkStart w:id="982" w:name="_Toc26457"/>
      <w:bookmarkStart w:id="983" w:name="_Toc2675450"/>
      <w:bookmarkStart w:id="984" w:name="_Toc31077"/>
      <w:bookmarkStart w:id="985" w:name="_Toc27339"/>
      <w:bookmarkStart w:id="986" w:name="_Toc16643"/>
      <w:bookmarkStart w:id="987" w:name="_Toc51288261"/>
      <w:bookmarkStart w:id="988" w:name="_Toc10577"/>
      <w:bookmarkStart w:id="989" w:name="_Toc16254"/>
      <w:bookmarkStart w:id="990" w:name="_Toc50453115"/>
      <w:bookmarkStart w:id="991" w:name="_Toc20604"/>
      <w:bookmarkStart w:id="992" w:name="_Toc1195"/>
      <w:bookmarkStart w:id="993" w:name="_Toc33695055"/>
      <w:r>
        <w:rPr>
          <w:rFonts w:hint="eastAsia" w:ascii="宋体" w:hAnsi="宋体"/>
          <w:highlight w:val="none"/>
        </w:rPr>
        <w:t>4. 评标表格</w:t>
      </w:r>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p>
    <w:p>
      <w:pPr>
        <w:spacing w:line="360" w:lineRule="auto"/>
        <w:ind w:firstLine="420" w:firstLineChars="200"/>
        <w:rPr>
          <w:rFonts w:ascii="宋体" w:hAnsi="宋体"/>
          <w:highlight w:val="none"/>
        </w:rPr>
      </w:pPr>
      <w:r>
        <w:rPr>
          <w:rFonts w:hint="eastAsia" w:ascii="宋体" w:hAnsi="宋体"/>
          <w:highlight w:val="none"/>
        </w:rPr>
        <w:t>见后附。</w:t>
      </w:r>
    </w:p>
    <w:p>
      <w:pPr>
        <w:spacing w:line="360" w:lineRule="auto"/>
        <w:rPr>
          <w:rFonts w:hint="eastAsia" w:ascii="宋体" w:hAnsi="宋体"/>
          <w:b/>
          <w:sz w:val="28"/>
          <w:szCs w:val="28"/>
          <w:highlight w:val="none"/>
        </w:rPr>
        <w:sectPr>
          <w:footerReference r:id="rId8" w:type="default"/>
          <w:pgSz w:w="11906" w:h="16838"/>
          <w:pgMar w:top="1418" w:right="1134" w:bottom="1418" w:left="1134" w:header="851" w:footer="992" w:gutter="0"/>
          <w:pgNumType w:fmt="decimal"/>
          <w:cols w:space="720" w:num="1"/>
          <w:docGrid w:type="lines" w:linePitch="312" w:charSpace="0"/>
        </w:sectPr>
      </w:pPr>
    </w:p>
    <w:p>
      <w:pPr>
        <w:spacing w:line="360" w:lineRule="auto"/>
        <w:rPr>
          <w:rFonts w:ascii="宋体" w:hAnsi="宋体"/>
          <w:b/>
          <w:sz w:val="28"/>
          <w:szCs w:val="28"/>
          <w:highlight w:val="none"/>
        </w:rPr>
      </w:pPr>
      <w:r>
        <w:rPr>
          <w:rFonts w:hint="eastAsia" w:ascii="宋体" w:hAnsi="宋体"/>
          <w:b/>
          <w:sz w:val="28"/>
          <w:szCs w:val="28"/>
          <w:highlight w:val="none"/>
        </w:rPr>
        <w:t xml:space="preserve">附表1： </w:t>
      </w:r>
    </w:p>
    <w:p>
      <w:pPr>
        <w:spacing w:line="360" w:lineRule="auto"/>
        <w:jc w:val="center"/>
        <w:rPr>
          <w:rFonts w:ascii="宋体" w:hAnsi="宋体"/>
          <w:b/>
          <w:sz w:val="32"/>
          <w:szCs w:val="32"/>
          <w:highlight w:val="none"/>
        </w:rPr>
      </w:pPr>
      <w:r>
        <w:rPr>
          <w:rFonts w:hint="eastAsia" w:ascii="宋体" w:hAnsi="宋体"/>
          <w:b/>
          <w:sz w:val="32"/>
          <w:szCs w:val="32"/>
          <w:highlight w:val="none"/>
        </w:rPr>
        <w:t>资格审查评审表</w:t>
      </w:r>
    </w:p>
    <w:p>
      <w:pPr>
        <w:spacing w:line="360" w:lineRule="auto"/>
        <w:rPr>
          <w:rFonts w:ascii="宋体" w:hAnsi="宋体"/>
          <w:highlight w:val="none"/>
        </w:rPr>
      </w:pPr>
      <w:r>
        <w:rPr>
          <w:rFonts w:hint="eastAsia" w:ascii="宋体" w:hAnsi="宋体"/>
          <w:highlight w:val="none"/>
        </w:rPr>
        <w:t>工程名称：</w:t>
      </w:r>
    </w:p>
    <w:tbl>
      <w:tblPr>
        <w:tblStyle w:val="16"/>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49"/>
        <w:gridCol w:w="6171"/>
        <w:gridCol w:w="993"/>
        <w:gridCol w:w="836"/>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549"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ind w:right="102"/>
              <w:jc w:val="left"/>
              <w:rPr>
                <w:rFonts w:ascii="宋体" w:hAnsi="宋体"/>
                <w:szCs w:val="21"/>
                <w:highlight w:val="none"/>
              </w:rPr>
            </w:pPr>
            <w:r>
              <w:rPr>
                <w:rFonts w:hint="eastAsia" w:ascii="宋体" w:hAnsi="宋体"/>
                <w:szCs w:val="21"/>
                <w:highlight w:val="none"/>
              </w:rPr>
              <w:t>序号</w:t>
            </w:r>
          </w:p>
        </w:tc>
        <w:tc>
          <w:tcPr>
            <w:tcW w:w="6171" w:type="dxa"/>
            <w:tcBorders>
              <w:top w:val="single" w:color="auto" w:sz="4" w:space="0"/>
              <w:left w:val="single" w:color="auto" w:sz="4" w:space="0"/>
              <w:bottom w:val="single" w:color="auto" w:sz="4" w:space="0"/>
              <w:right w:val="single" w:color="auto" w:sz="4" w:space="0"/>
              <w:tl2br w:val="single" w:color="auto" w:sz="4" w:space="0"/>
            </w:tcBorders>
            <w:vAlign w:val="center"/>
          </w:tcPr>
          <w:p>
            <w:pPr>
              <w:widowControl/>
              <w:snapToGrid w:val="0"/>
              <w:spacing w:line="400" w:lineRule="atLeast"/>
              <w:ind w:right="102"/>
              <w:jc w:val="left"/>
              <w:rPr>
                <w:rFonts w:ascii="宋体" w:hAnsi="宋体"/>
                <w:szCs w:val="21"/>
                <w:highlight w:val="none"/>
              </w:rPr>
            </w:pPr>
            <w:r>
              <w:rPr>
                <w:rFonts w:hint="eastAsia" w:ascii="宋体" w:hAnsi="宋体"/>
                <w:szCs w:val="21"/>
                <w:highlight w:val="none"/>
              </w:rPr>
              <w:t>审查项目                                           投标人</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jc w:val="left"/>
              <w:rPr>
                <w:rFonts w:ascii="宋体" w:hAnsi="宋体"/>
                <w:szCs w:val="21"/>
                <w:highlight w:val="none"/>
              </w:rPr>
            </w:pPr>
          </w:p>
        </w:tc>
        <w:tc>
          <w:tcPr>
            <w:tcW w:w="836"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jc w:val="left"/>
              <w:rPr>
                <w:rFonts w:ascii="宋体" w:hAnsi="宋体"/>
                <w:szCs w:val="21"/>
                <w:highlight w:val="none"/>
              </w:rPr>
            </w:pPr>
          </w:p>
        </w:tc>
        <w:tc>
          <w:tcPr>
            <w:tcW w:w="949"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ind w:right="-85"/>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08" w:hRule="atLeast"/>
          <w:jc w:val="center"/>
        </w:trPr>
        <w:tc>
          <w:tcPr>
            <w:tcW w:w="549"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ind w:right="102"/>
              <w:jc w:val="center"/>
              <w:rPr>
                <w:rFonts w:ascii="宋体" w:hAnsi="宋体"/>
                <w:szCs w:val="21"/>
                <w:highlight w:val="none"/>
              </w:rPr>
            </w:pPr>
            <w:r>
              <w:rPr>
                <w:rFonts w:hint="eastAsia" w:ascii="宋体" w:hAnsi="宋体"/>
                <w:szCs w:val="21"/>
                <w:highlight w:val="none"/>
              </w:rPr>
              <w:t>1</w:t>
            </w:r>
          </w:p>
        </w:tc>
        <w:tc>
          <w:tcPr>
            <w:tcW w:w="6171"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ind w:right="-3"/>
              <w:jc w:val="left"/>
              <w:rPr>
                <w:rFonts w:hint="eastAsia" w:ascii="宋体" w:hAnsi="宋体" w:eastAsia="宋体"/>
                <w:szCs w:val="21"/>
                <w:highlight w:val="none"/>
                <w:lang w:eastAsia="zh-CN"/>
              </w:rPr>
            </w:pPr>
            <w:r>
              <w:rPr>
                <w:rFonts w:hint="eastAsia" w:ascii="宋体" w:hAnsi="宋体"/>
                <w:szCs w:val="21"/>
                <w:highlight w:val="none"/>
              </w:rPr>
              <w:t>投标人参加投标的意思表达清楚，投标人代表被授权有效</w:t>
            </w:r>
            <w:r>
              <w:rPr>
                <w:rFonts w:hint="eastAsia" w:ascii="宋体" w:hAnsi="宋体"/>
                <w:szCs w:val="21"/>
                <w:highlight w:val="none"/>
                <w:lang w:eastAsia="zh-CN"/>
              </w:rPr>
              <w:t>。</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jc w:val="left"/>
              <w:rPr>
                <w:rFonts w:ascii="宋体" w:hAnsi="宋体"/>
                <w:szCs w:val="21"/>
                <w:highlight w:val="none"/>
              </w:rPr>
            </w:pPr>
          </w:p>
        </w:tc>
        <w:tc>
          <w:tcPr>
            <w:tcW w:w="836"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jc w:val="left"/>
              <w:rPr>
                <w:rFonts w:ascii="宋体" w:hAnsi="宋体"/>
                <w:szCs w:val="21"/>
                <w:highlight w:val="none"/>
              </w:rPr>
            </w:pPr>
          </w:p>
        </w:tc>
        <w:tc>
          <w:tcPr>
            <w:tcW w:w="949"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ind w:right="102"/>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549"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ind w:right="102"/>
              <w:jc w:val="center"/>
              <w:rPr>
                <w:rFonts w:ascii="宋体" w:hAnsi="宋体"/>
                <w:szCs w:val="21"/>
                <w:highlight w:val="none"/>
              </w:rPr>
            </w:pPr>
            <w:r>
              <w:rPr>
                <w:rFonts w:hint="eastAsia" w:ascii="宋体" w:hAnsi="宋体"/>
                <w:szCs w:val="21"/>
                <w:highlight w:val="none"/>
              </w:rPr>
              <w:t>2</w:t>
            </w:r>
          </w:p>
        </w:tc>
        <w:tc>
          <w:tcPr>
            <w:tcW w:w="6171"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ind w:right="-3"/>
              <w:jc w:val="left"/>
              <w:rPr>
                <w:rFonts w:hint="eastAsia" w:ascii="宋体" w:hAnsi="宋体" w:eastAsia="宋体"/>
                <w:szCs w:val="21"/>
                <w:highlight w:val="none"/>
                <w:lang w:eastAsia="zh-CN"/>
              </w:rPr>
            </w:pPr>
            <w:r>
              <w:rPr>
                <w:rFonts w:hint="eastAsia" w:ascii="宋体" w:hAnsi="宋体"/>
                <w:szCs w:val="21"/>
                <w:highlight w:val="none"/>
              </w:rPr>
              <w:t>投标人</w:t>
            </w:r>
            <w:r>
              <w:rPr>
                <w:rFonts w:hint="eastAsia"/>
                <w:szCs w:val="21"/>
                <w:highlight w:val="none"/>
              </w:rPr>
              <w:t>（如是</w:t>
            </w:r>
            <w:r>
              <w:rPr>
                <w:rFonts w:hint="eastAsia" w:ascii="宋体" w:hAnsi="宋体"/>
                <w:szCs w:val="21"/>
                <w:highlight w:val="none"/>
              </w:rPr>
              <w:t>联合体投标，指联合体各方</w:t>
            </w:r>
            <w:r>
              <w:rPr>
                <w:rFonts w:hint="eastAsia"/>
                <w:szCs w:val="21"/>
                <w:highlight w:val="none"/>
              </w:rPr>
              <w:t>）</w:t>
            </w:r>
            <w:r>
              <w:rPr>
                <w:rFonts w:hint="eastAsia" w:ascii="宋体" w:hAnsi="宋体"/>
                <w:szCs w:val="21"/>
                <w:highlight w:val="none"/>
              </w:rPr>
              <w:t>具有独立法人资格，持有工商行政管理部门核发的法人营业执照，按国家法律经营</w:t>
            </w:r>
            <w:r>
              <w:rPr>
                <w:rFonts w:hint="eastAsia" w:ascii="宋体" w:hAnsi="宋体"/>
                <w:szCs w:val="21"/>
                <w:highlight w:val="none"/>
                <w:lang w:eastAsia="zh-CN"/>
              </w:rPr>
              <w:t>。</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jc w:val="left"/>
              <w:rPr>
                <w:rFonts w:ascii="宋体" w:hAnsi="宋体"/>
                <w:szCs w:val="21"/>
                <w:highlight w:val="none"/>
              </w:rPr>
            </w:pPr>
          </w:p>
        </w:tc>
        <w:tc>
          <w:tcPr>
            <w:tcW w:w="836"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jc w:val="left"/>
              <w:rPr>
                <w:rFonts w:ascii="宋体" w:hAnsi="宋体"/>
                <w:szCs w:val="21"/>
                <w:highlight w:val="none"/>
              </w:rPr>
            </w:pPr>
          </w:p>
        </w:tc>
        <w:tc>
          <w:tcPr>
            <w:tcW w:w="949"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ind w:right="102"/>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0" w:hRule="atLeast"/>
          <w:jc w:val="center"/>
        </w:trPr>
        <w:tc>
          <w:tcPr>
            <w:tcW w:w="549"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ind w:right="102"/>
              <w:jc w:val="center"/>
              <w:rPr>
                <w:rFonts w:ascii="宋体" w:hAnsi="宋体"/>
                <w:szCs w:val="21"/>
                <w:highlight w:val="none"/>
              </w:rPr>
            </w:pPr>
            <w:r>
              <w:rPr>
                <w:rFonts w:hint="eastAsia" w:ascii="宋体" w:hAnsi="宋体"/>
                <w:szCs w:val="21"/>
                <w:highlight w:val="none"/>
              </w:rPr>
              <w:t>3</w:t>
            </w:r>
          </w:p>
        </w:tc>
        <w:tc>
          <w:tcPr>
            <w:tcW w:w="6171"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ind w:right="-3"/>
              <w:jc w:val="left"/>
              <w:rPr>
                <w:rFonts w:hint="eastAsia" w:ascii="宋体" w:hAnsi="宋体" w:eastAsia="宋体"/>
                <w:szCs w:val="21"/>
                <w:highlight w:val="none"/>
                <w:lang w:eastAsia="zh-CN"/>
              </w:rPr>
            </w:pPr>
            <w:r>
              <w:rPr>
                <w:rFonts w:hint="eastAsia" w:ascii="宋体" w:hAnsi="宋体"/>
                <w:szCs w:val="21"/>
                <w:highlight w:val="none"/>
              </w:rPr>
              <w:t>投标人</w:t>
            </w:r>
            <w:r>
              <w:rPr>
                <w:rFonts w:hint="eastAsia"/>
                <w:szCs w:val="21"/>
                <w:highlight w:val="none"/>
              </w:rPr>
              <w:t>（如是</w:t>
            </w:r>
            <w:r>
              <w:rPr>
                <w:rFonts w:hint="eastAsia" w:ascii="宋体" w:hAnsi="宋体"/>
                <w:szCs w:val="21"/>
                <w:highlight w:val="none"/>
              </w:rPr>
              <w:t>联合体投标，指联合体的施工方</w:t>
            </w:r>
            <w:r>
              <w:rPr>
                <w:rFonts w:hint="eastAsia"/>
                <w:szCs w:val="21"/>
                <w:highlight w:val="none"/>
              </w:rPr>
              <w:t>）</w:t>
            </w:r>
            <w:r>
              <w:rPr>
                <w:rFonts w:hint="eastAsia" w:ascii="宋体" w:hAnsi="宋体"/>
                <w:szCs w:val="21"/>
                <w:highlight w:val="none"/>
              </w:rPr>
              <w:t>持有建设行政主管部门颁发的安全生产许可证</w:t>
            </w:r>
            <w:r>
              <w:rPr>
                <w:rFonts w:hint="eastAsia" w:ascii="宋体" w:hAnsi="宋体"/>
                <w:szCs w:val="21"/>
                <w:highlight w:val="none"/>
                <w:lang w:eastAsia="zh-CN"/>
              </w:rPr>
              <w:t>。</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jc w:val="left"/>
              <w:rPr>
                <w:rFonts w:ascii="宋体" w:hAnsi="宋体"/>
                <w:szCs w:val="21"/>
                <w:highlight w:val="none"/>
              </w:rPr>
            </w:pPr>
          </w:p>
        </w:tc>
        <w:tc>
          <w:tcPr>
            <w:tcW w:w="836"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jc w:val="left"/>
              <w:rPr>
                <w:rFonts w:ascii="宋体" w:hAnsi="宋体"/>
                <w:szCs w:val="21"/>
                <w:highlight w:val="none"/>
              </w:rPr>
            </w:pPr>
          </w:p>
        </w:tc>
        <w:tc>
          <w:tcPr>
            <w:tcW w:w="949"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ind w:right="102"/>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9" w:hRule="atLeast"/>
          <w:jc w:val="center"/>
        </w:trPr>
        <w:tc>
          <w:tcPr>
            <w:tcW w:w="549"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ind w:right="102"/>
              <w:jc w:val="center"/>
              <w:rPr>
                <w:rFonts w:ascii="宋体" w:hAnsi="宋体"/>
                <w:szCs w:val="21"/>
                <w:highlight w:val="none"/>
              </w:rPr>
            </w:pPr>
            <w:r>
              <w:rPr>
                <w:rFonts w:hint="eastAsia" w:ascii="宋体" w:hAnsi="宋体"/>
                <w:szCs w:val="21"/>
                <w:highlight w:val="none"/>
              </w:rPr>
              <w:t>4</w:t>
            </w:r>
          </w:p>
        </w:tc>
        <w:tc>
          <w:tcPr>
            <w:tcW w:w="6171"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ind w:right="-3"/>
              <w:jc w:val="left"/>
              <w:rPr>
                <w:rFonts w:ascii="宋体" w:hAnsi="宋体"/>
                <w:szCs w:val="21"/>
                <w:highlight w:val="none"/>
              </w:rPr>
            </w:pPr>
            <w:r>
              <w:rPr>
                <w:rFonts w:hint="eastAsia" w:ascii="宋体" w:hAnsi="宋体"/>
                <w:szCs w:val="21"/>
                <w:highlight w:val="none"/>
              </w:rPr>
              <w:t>投标人</w:t>
            </w:r>
            <w:r>
              <w:rPr>
                <w:rFonts w:hint="eastAsia"/>
                <w:szCs w:val="21"/>
                <w:highlight w:val="none"/>
              </w:rPr>
              <w:t>（如是</w:t>
            </w:r>
            <w:r>
              <w:rPr>
                <w:rFonts w:hint="eastAsia" w:ascii="宋体" w:hAnsi="宋体"/>
                <w:szCs w:val="21"/>
                <w:highlight w:val="none"/>
              </w:rPr>
              <w:t>联合体投标，指联合体各方</w:t>
            </w:r>
            <w:r>
              <w:rPr>
                <w:rFonts w:hint="eastAsia"/>
                <w:szCs w:val="21"/>
                <w:highlight w:val="none"/>
              </w:rPr>
              <w:t>）</w:t>
            </w:r>
            <w:r>
              <w:rPr>
                <w:rFonts w:hint="eastAsia" w:ascii="宋体" w:hAnsi="宋体"/>
                <w:szCs w:val="21"/>
                <w:highlight w:val="none"/>
              </w:rPr>
              <w:t>企业资质证书符合招标公告要求。</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jc w:val="left"/>
              <w:rPr>
                <w:rFonts w:ascii="宋体" w:hAnsi="宋体"/>
                <w:szCs w:val="21"/>
                <w:highlight w:val="none"/>
              </w:rPr>
            </w:pPr>
          </w:p>
        </w:tc>
        <w:tc>
          <w:tcPr>
            <w:tcW w:w="836"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jc w:val="left"/>
              <w:rPr>
                <w:rFonts w:ascii="宋体" w:hAnsi="宋体"/>
                <w:szCs w:val="21"/>
                <w:highlight w:val="none"/>
              </w:rPr>
            </w:pPr>
          </w:p>
        </w:tc>
        <w:tc>
          <w:tcPr>
            <w:tcW w:w="949"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ind w:right="102"/>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95" w:hRule="atLeast"/>
          <w:jc w:val="center"/>
        </w:trPr>
        <w:tc>
          <w:tcPr>
            <w:tcW w:w="549"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ind w:right="102"/>
              <w:jc w:val="center"/>
              <w:rPr>
                <w:rFonts w:ascii="宋体" w:hAnsi="宋体"/>
                <w:szCs w:val="21"/>
                <w:highlight w:val="none"/>
              </w:rPr>
            </w:pPr>
            <w:r>
              <w:rPr>
                <w:rFonts w:hint="eastAsia" w:ascii="宋体" w:hAnsi="宋体"/>
                <w:szCs w:val="21"/>
                <w:highlight w:val="none"/>
              </w:rPr>
              <w:t>5</w:t>
            </w:r>
          </w:p>
        </w:tc>
        <w:tc>
          <w:tcPr>
            <w:tcW w:w="6171"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ind w:right="-3"/>
              <w:jc w:val="left"/>
              <w:rPr>
                <w:rFonts w:ascii="宋体" w:hAnsi="宋体"/>
                <w:szCs w:val="21"/>
                <w:highlight w:val="none"/>
              </w:rPr>
            </w:pPr>
            <w:r>
              <w:rPr>
                <w:rFonts w:hint="eastAsia" w:ascii="宋体" w:hAnsi="宋体"/>
                <w:szCs w:val="21"/>
                <w:highlight w:val="none"/>
              </w:rPr>
              <w:t>投标人拟担任本工程项目负责人符合招标公告要求。</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jc w:val="left"/>
              <w:rPr>
                <w:rFonts w:ascii="宋体" w:hAnsi="宋体"/>
                <w:szCs w:val="21"/>
                <w:highlight w:val="none"/>
              </w:rPr>
            </w:pPr>
          </w:p>
        </w:tc>
        <w:tc>
          <w:tcPr>
            <w:tcW w:w="836"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jc w:val="left"/>
              <w:rPr>
                <w:rFonts w:ascii="宋体" w:hAnsi="宋体"/>
                <w:szCs w:val="21"/>
                <w:highlight w:val="none"/>
              </w:rPr>
            </w:pPr>
          </w:p>
        </w:tc>
        <w:tc>
          <w:tcPr>
            <w:tcW w:w="949"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ind w:right="102"/>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49" w:hRule="atLeast"/>
          <w:jc w:val="center"/>
        </w:trPr>
        <w:tc>
          <w:tcPr>
            <w:tcW w:w="549"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ind w:right="102"/>
              <w:jc w:val="center"/>
              <w:rPr>
                <w:rFonts w:ascii="宋体" w:hAnsi="宋体"/>
                <w:szCs w:val="21"/>
                <w:highlight w:val="none"/>
              </w:rPr>
            </w:pPr>
            <w:r>
              <w:rPr>
                <w:rFonts w:hint="eastAsia" w:ascii="宋体" w:hAnsi="宋体"/>
                <w:szCs w:val="21"/>
                <w:highlight w:val="none"/>
              </w:rPr>
              <w:t>6</w:t>
            </w:r>
          </w:p>
        </w:tc>
        <w:tc>
          <w:tcPr>
            <w:tcW w:w="6171"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ind w:right="-3"/>
              <w:jc w:val="left"/>
              <w:rPr>
                <w:rFonts w:ascii="宋体" w:hAnsi="宋体"/>
                <w:szCs w:val="21"/>
                <w:highlight w:val="none"/>
              </w:rPr>
            </w:pPr>
            <w:r>
              <w:rPr>
                <w:rFonts w:hint="eastAsia" w:ascii="宋体" w:hAnsi="宋体"/>
                <w:szCs w:val="21"/>
                <w:highlight w:val="none"/>
              </w:rPr>
              <w:t>投标人拟担任本工程设计负责人符合招标公告要求。</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jc w:val="left"/>
              <w:rPr>
                <w:rFonts w:ascii="宋体" w:hAnsi="宋体"/>
                <w:szCs w:val="21"/>
                <w:highlight w:val="none"/>
              </w:rPr>
            </w:pPr>
          </w:p>
        </w:tc>
        <w:tc>
          <w:tcPr>
            <w:tcW w:w="836"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jc w:val="left"/>
              <w:rPr>
                <w:rFonts w:ascii="宋体" w:hAnsi="宋体"/>
                <w:szCs w:val="21"/>
                <w:highlight w:val="none"/>
              </w:rPr>
            </w:pPr>
          </w:p>
        </w:tc>
        <w:tc>
          <w:tcPr>
            <w:tcW w:w="949"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ind w:right="102"/>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12" w:hRule="atLeast"/>
          <w:jc w:val="center"/>
        </w:trPr>
        <w:tc>
          <w:tcPr>
            <w:tcW w:w="549"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ind w:right="102"/>
              <w:jc w:val="center"/>
              <w:rPr>
                <w:rFonts w:ascii="宋体" w:hAnsi="宋体"/>
                <w:szCs w:val="21"/>
                <w:highlight w:val="none"/>
              </w:rPr>
            </w:pPr>
            <w:r>
              <w:rPr>
                <w:rFonts w:hint="eastAsia" w:ascii="宋体" w:hAnsi="宋体"/>
                <w:szCs w:val="21"/>
                <w:highlight w:val="none"/>
              </w:rPr>
              <w:t>7</w:t>
            </w:r>
          </w:p>
        </w:tc>
        <w:tc>
          <w:tcPr>
            <w:tcW w:w="6171"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ind w:right="-3"/>
              <w:jc w:val="left"/>
              <w:rPr>
                <w:rFonts w:ascii="宋体" w:hAnsi="宋体"/>
                <w:szCs w:val="21"/>
                <w:highlight w:val="none"/>
              </w:rPr>
            </w:pPr>
            <w:r>
              <w:rPr>
                <w:rFonts w:hint="eastAsia" w:ascii="宋体" w:hAnsi="宋体"/>
                <w:szCs w:val="21"/>
                <w:highlight w:val="none"/>
              </w:rPr>
              <w:t>投标人拟担任本工程施工负责人符合招标公告要求。</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jc w:val="left"/>
              <w:rPr>
                <w:rFonts w:ascii="宋体" w:hAnsi="宋体"/>
                <w:szCs w:val="21"/>
                <w:highlight w:val="none"/>
              </w:rPr>
            </w:pPr>
          </w:p>
        </w:tc>
        <w:tc>
          <w:tcPr>
            <w:tcW w:w="836"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jc w:val="left"/>
              <w:rPr>
                <w:rFonts w:ascii="宋体" w:hAnsi="宋体"/>
                <w:szCs w:val="21"/>
                <w:highlight w:val="none"/>
              </w:rPr>
            </w:pPr>
          </w:p>
        </w:tc>
        <w:tc>
          <w:tcPr>
            <w:tcW w:w="949"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ind w:right="102"/>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391" w:hRule="atLeast"/>
          <w:jc w:val="center"/>
        </w:trPr>
        <w:tc>
          <w:tcPr>
            <w:tcW w:w="549"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ind w:right="102"/>
              <w:jc w:val="center"/>
              <w:rPr>
                <w:rFonts w:ascii="宋体" w:hAnsi="宋体"/>
                <w:szCs w:val="21"/>
                <w:highlight w:val="none"/>
              </w:rPr>
            </w:pPr>
            <w:r>
              <w:rPr>
                <w:rFonts w:hint="eastAsia" w:ascii="宋体" w:hAnsi="宋体"/>
                <w:szCs w:val="21"/>
                <w:highlight w:val="none"/>
              </w:rPr>
              <w:t>8</w:t>
            </w:r>
          </w:p>
        </w:tc>
        <w:tc>
          <w:tcPr>
            <w:tcW w:w="6171"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ind w:right="-3"/>
              <w:jc w:val="left"/>
              <w:rPr>
                <w:szCs w:val="21"/>
                <w:highlight w:val="none"/>
              </w:rPr>
            </w:pPr>
            <w:r>
              <w:rPr>
                <w:rFonts w:hint="eastAsia"/>
                <w:szCs w:val="21"/>
                <w:highlight w:val="none"/>
              </w:rPr>
              <w:t>资格审查前，投标人（含联合体各方）须在广州市住房和城乡建设局建立企业诚信档案，拟担任本工程项目负责人、</w:t>
            </w:r>
            <w:r>
              <w:rPr>
                <w:rFonts w:hint="eastAsia"/>
                <w:szCs w:val="21"/>
                <w:highlight w:val="none"/>
                <w:lang w:val="en-US" w:eastAsia="zh-CN"/>
              </w:rPr>
              <w:t>设计负责人、</w:t>
            </w:r>
            <w:r>
              <w:rPr>
                <w:rFonts w:hint="eastAsia"/>
                <w:szCs w:val="21"/>
                <w:highlight w:val="none"/>
              </w:rPr>
              <w:t>施工负责人、专职安全员须是本企业诚信档案中的在册人员。</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jc w:val="left"/>
              <w:rPr>
                <w:rFonts w:ascii="宋体" w:hAnsi="宋体"/>
                <w:szCs w:val="21"/>
                <w:highlight w:val="none"/>
              </w:rPr>
            </w:pPr>
          </w:p>
        </w:tc>
        <w:tc>
          <w:tcPr>
            <w:tcW w:w="836"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jc w:val="left"/>
              <w:rPr>
                <w:rFonts w:ascii="宋体" w:hAnsi="宋体"/>
                <w:szCs w:val="21"/>
                <w:highlight w:val="none"/>
              </w:rPr>
            </w:pPr>
          </w:p>
        </w:tc>
        <w:tc>
          <w:tcPr>
            <w:tcW w:w="949"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ind w:right="102"/>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11" w:hRule="atLeast"/>
          <w:jc w:val="center"/>
        </w:trPr>
        <w:tc>
          <w:tcPr>
            <w:tcW w:w="549"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ind w:right="102"/>
              <w:jc w:val="center"/>
              <w:rPr>
                <w:rFonts w:ascii="宋体" w:hAnsi="宋体"/>
                <w:szCs w:val="21"/>
                <w:highlight w:val="none"/>
              </w:rPr>
            </w:pPr>
            <w:r>
              <w:rPr>
                <w:rFonts w:hint="eastAsia" w:ascii="宋体" w:hAnsi="宋体"/>
                <w:szCs w:val="21"/>
                <w:highlight w:val="none"/>
              </w:rPr>
              <w:t>9</w:t>
            </w:r>
          </w:p>
        </w:tc>
        <w:tc>
          <w:tcPr>
            <w:tcW w:w="6171"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ind w:right="-3"/>
              <w:jc w:val="left"/>
              <w:rPr>
                <w:rFonts w:ascii="宋体" w:hAnsi="宋体"/>
                <w:szCs w:val="21"/>
                <w:highlight w:val="none"/>
              </w:rPr>
            </w:pPr>
            <w:r>
              <w:rPr>
                <w:rFonts w:hint="eastAsia" w:ascii="宋体" w:hAnsi="宋体"/>
                <w:szCs w:val="21"/>
                <w:highlight w:val="none"/>
              </w:rPr>
              <w:t>项目管理机构其他人员要求符合招标公告要求。</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jc w:val="left"/>
              <w:rPr>
                <w:rFonts w:ascii="宋体" w:hAnsi="宋体"/>
                <w:szCs w:val="21"/>
                <w:highlight w:val="none"/>
              </w:rPr>
            </w:pPr>
          </w:p>
        </w:tc>
        <w:tc>
          <w:tcPr>
            <w:tcW w:w="836"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jc w:val="left"/>
              <w:rPr>
                <w:rFonts w:ascii="宋体" w:hAnsi="宋体"/>
                <w:szCs w:val="21"/>
                <w:highlight w:val="none"/>
              </w:rPr>
            </w:pPr>
          </w:p>
        </w:tc>
        <w:tc>
          <w:tcPr>
            <w:tcW w:w="949"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ind w:right="102"/>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549"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ind w:right="102"/>
              <w:jc w:val="center"/>
              <w:rPr>
                <w:rFonts w:ascii="宋体" w:hAnsi="宋体"/>
                <w:szCs w:val="21"/>
                <w:highlight w:val="none"/>
              </w:rPr>
            </w:pPr>
            <w:r>
              <w:rPr>
                <w:rFonts w:hint="eastAsia" w:ascii="宋体" w:hAnsi="宋体"/>
                <w:szCs w:val="21"/>
                <w:highlight w:val="none"/>
              </w:rPr>
              <w:t>10</w:t>
            </w:r>
          </w:p>
        </w:tc>
        <w:tc>
          <w:tcPr>
            <w:tcW w:w="6171"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ind w:right="-3"/>
              <w:jc w:val="left"/>
              <w:rPr>
                <w:rFonts w:ascii="宋体" w:hAnsi="宋体"/>
                <w:szCs w:val="21"/>
                <w:highlight w:val="none"/>
              </w:rPr>
            </w:pPr>
            <w:r>
              <w:rPr>
                <w:rFonts w:hint="eastAsia" w:ascii="宋体" w:hAnsi="宋体"/>
                <w:szCs w:val="21"/>
                <w:highlight w:val="none"/>
              </w:rPr>
              <w:t>联合体投标的，符合招标公告对联合体投标的有关要求。</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jc w:val="left"/>
              <w:rPr>
                <w:rFonts w:ascii="宋体" w:hAnsi="宋体"/>
                <w:szCs w:val="21"/>
                <w:highlight w:val="none"/>
              </w:rPr>
            </w:pPr>
          </w:p>
        </w:tc>
        <w:tc>
          <w:tcPr>
            <w:tcW w:w="836"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jc w:val="left"/>
              <w:rPr>
                <w:rFonts w:ascii="宋体" w:hAnsi="宋体"/>
                <w:szCs w:val="21"/>
                <w:highlight w:val="none"/>
              </w:rPr>
            </w:pPr>
          </w:p>
        </w:tc>
        <w:tc>
          <w:tcPr>
            <w:tcW w:w="949"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ind w:right="102"/>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549"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ind w:right="102"/>
              <w:jc w:val="center"/>
              <w:rPr>
                <w:rFonts w:ascii="宋体" w:hAnsi="宋体"/>
                <w:szCs w:val="21"/>
                <w:highlight w:val="none"/>
              </w:rPr>
            </w:pPr>
            <w:r>
              <w:rPr>
                <w:rFonts w:hint="eastAsia" w:ascii="宋体" w:hAnsi="宋体"/>
                <w:szCs w:val="21"/>
                <w:highlight w:val="none"/>
              </w:rPr>
              <w:t>11</w:t>
            </w:r>
          </w:p>
        </w:tc>
        <w:tc>
          <w:tcPr>
            <w:tcW w:w="6171"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ind w:right="-3"/>
              <w:jc w:val="both"/>
              <w:rPr>
                <w:rFonts w:ascii="宋体" w:hAnsi="宋体"/>
                <w:szCs w:val="21"/>
                <w:highlight w:val="none"/>
              </w:rPr>
            </w:pPr>
            <w:r>
              <w:rPr>
                <w:rFonts w:hint="eastAsia" w:ascii="宋体" w:hAnsi="宋体"/>
                <w:szCs w:val="21"/>
                <w:highlight w:val="none"/>
              </w:rPr>
              <w:t>投标人</w:t>
            </w:r>
            <w:r>
              <w:rPr>
                <w:rFonts w:hint="eastAsia"/>
                <w:szCs w:val="21"/>
                <w:highlight w:val="none"/>
              </w:rPr>
              <w:t>（如是</w:t>
            </w:r>
            <w:r>
              <w:rPr>
                <w:rFonts w:hint="eastAsia" w:ascii="宋体" w:hAnsi="宋体"/>
                <w:szCs w:val="21"/>
                <w:highlight w:val="none"/>
              </w:rPr>
              <w:t>联合体投标，指联合体各方</w:t>
            </w:r>
            <w:r>
              <w:rPr>
                <w:rFonts w:hint="eastAsia"/>
                <w:szCs w:val="21"/>
                <w:highlight w:val="none"/>
              </w:rPr>
              <w:t>）</w:t>
            </w:r>
            <w:r>
              <w:rPr>
                <w:rFonts w:hint="eastAsia" w:ascii="宋体" w:hAnsi="宋体"/>
                <w:szCs w:val="21"/>
                <w:highlight w:val="none"/>
              </w:rPr>
              <w:t>未出现以下情形：与其它投标人（含联合体成员）的单位负责人为同一人或者存在控股、管理关系的（按投标人提供的《投标人声明》内容进行评审）。</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jc w:val="left"/>
              <w:rPr>
                <w:rFonts w:ascii="宋体" w:hAnsi="宋体"/>
                <w:szCs w:val="21"/>
                <w:highlight w:val="none"/>
              </w:rPr>
            </w:pPr>
          </w:p>
        </w:tc>
        <w:tc>
          <w:tcPr>
            <w:tcW w:w="836"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jc w:val="left"/>
              <w:rPr>
                <w:rFonts w:ascii="宋体" w:hAnsi="宋体"/>
                <w:szCs w:val="21"/>
                <w:highlight w:val="none"/>
              </w:rPr>
            </w:pPr>
          </w:p>
        </w:tc>
        <w:tc>
          <w:tcPr>
            <w:tcW w:w="949"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ind w:right="102"/>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549"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ind w:right="102"/>
              <w:jc w:val="center"/>
              <w:rPr>
                <w:rFonts w:hint="eastAsia" w:ascii="宋体" w:hAnsi="宋体" w:eastAsia="宋体"/>
                <w:szCs w:val="21"/>
                <w:highlight w:val="none"/>
                <w:lang w:eastAsia="zh-CN"/>
              </w:rPr>
            </w:pPr>
            <w:r>
              <w:rPr>
                <w:rFonts w:hint="eastAsia" w:ascii="宋体" w:hAnsi="宋体"/>
                <w:szCs w:val="21"/>
                <w:highlight w:val="none"/>
              </w:rPr>
              <w:t>1</w:t>
            </w:r>
            <w:r>
              <w:rPr>
                <w:rFonts w:hint="eastAsia" w:ascii="宋体" w:hAnsi="宋体"/>
                <w:szCs w:val="21"/>
                <w:highlight w:val="none"/>
                <w:lang w:val="en-US" w:eastAsia="zh-CN"/>
              </w:rPr>
              <w:t>2</w:t>
            </w:r>
          </w:p>
        </w:tc>
        <w:tc>
          <w:tcPr>
            <w:tcW w:w="6171"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ind w:right="-3"/>
              <w:jc w:val="left"/>
              <w:rPr>
                <w:rFonts w:hint="eastAsia" w:ascii="宋体" w:hAnsi="宋体" w:eastAsia="宋体"/>
                <w:szCs w:val="21"/>
                <w:highlight w:val="none"/>
                <w:lang w:eastAsia="zh-CN"/>
              </w:rPr>
            </w:pPr>
            <w:r>
              <w:rPr>
                <w:rFonts w:hint="eastAsia" w:ascii="宋体" w:cs="宋体"/>
                <w:szCs w:val="21"/>
                <w:highlight w:val="none"/>
              </w:rPr>
              <w:t>未被列入拖欠农民工工资失信联合惩戒对象名单（</w:t>
            </w:r>
            <w:r>
              <w:rPr>
                <w:rFonts w:hint="eastAsia"/>
                <w:szCs w:val="21"/>
                <w:highlight w:val="none"/>
              </w:rPr>
              <w:t>按广州公共资源交易中心交易系统比对的结果进行评审</w:t>
            </w:r>
            <w:r>
              <w:rPr>
                <w:rFonts w:hint="eastAsia" w:ascii="宋体" w:cs="宋体"/>
                <w:szCs w:val="21"/>
                <w:highlight w:val="none"/>
              </w:rPr>
              <w:t>）</w:t>
            </w:r>
            <w:r>
              <w:rPr>
                <w:rFonts w:hint="eastAsia" w:ascii="宋体" w:cs="宋体"/>
                <w:szCs w:val="21"/>
                <w:highlight w:val="none"/>
                <w:lang w:eastAsia="zh-CN"/>
              </w:rPr>
              <w:t>。</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jc w:val="left"/>
              <w:rPr>
                <w:rFonts w:ascii="宋体" w:hAnsi="宋体"/>
                <w:szCs w:val="21"/>
                <w:highlight w:val="none"/>
              </w:rPr>
            </w:pPr>
          </w:p>
        </w:tc>
        <w:tc>
          <w:tcPr>
            <w:tcW w:w="836"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jc w:val="left"/>
              <w:rPr>
                <w:rFonts w:ascii="宋体" w:hAnsi="宋体"/>
                <w:szCs w:val="21"/>
                <w:highlight w:val="none"/>
              </w:rPr>
            </w:pPr>
          </w:p>
        </w:tc>
        <w:tc>
          <w:tcPr>
            <w:tcW w:w="949"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ind w:right="102"/>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6720" w:type="dxa"/>
            <w:gridSpan w:val="2"/>
            <w:tcBorders>
              <w:top w:val="single" w:color="auto" w:sz="4" w:space="0"/>
              <w:left w:val="single" w:color="auto" w:sz="4" w:space="0"/>
              <w:bottom w:val="single" w:color="auto" w:sz="4" w:space="0"/>
              <w:right w:val="single" w:color="auto" w:sz="4" w:space="0"/>
            </w:tcBorders>
          </w:tcPr>
          <w:p>
            <w:pPr>
              <w:spacing w:line="400" w:lineRule="atLeast"/>
              <w:jc w:val="center"/>
              <w:rPr>
                <w:szCs w:val="21"/>
                <w:highlight w:val="none"/>
              </w:rPr>
            </w:pPr>
            <w:r>
              <w:rPr>
                <w:rFonts w:hint="eastAsia" w:ascii="宋体" w:hAnsi="宋体"/>
                <w:szCs w:val="21"/>
                <w:highlight w:val="none"/>
              </w:rPr>
              <w:t>结论</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jc w:val="left"/>
              <w:rPr>
                <w:rFonts w:ascii="宋体" w:hAnsi="宋体"/>
                <w:szCs w:val="21"/>
                <w:highlight w:val="none"/>
              </w:rPr>
            </w:pPr>
          </w:p>
        </w:tc>
        <w:tc>
          <w:tcPr>
            <w:tcW w:w="836"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jc w:val="left"/>
              <w:rPr>
                <w:rFonts w:ascii="宋体" w:hAnsi="宋体"/>
                <w:szCs w:val="21"/>
                <w:highlight w:val="none"/>
              </w:rPr>
            </w:pPr>
          </w:p>
        </w:tc>
        <w:tc>
          <w:tcPr>
            <w:tcW w:w="949"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atLeast"/>
              <w:ind w:right="102"/>
              <w:jc w:val="left"/>
              <w:rPr>
                <w:rFonts w:ascii="宋体" w:hAnsi="宋体"/>
                <w:szCs w:val="21"/>
                <w:highlight w:val="none"/>
              </w:rPr>
            </w:pPr>
          </w:p>
        </w:tc>
      </w:tr>
    </w:tbl>
    <w:p>
      <w:pPr>
        <w:widowControl/>
        <w:snapToGrid w:val="0"/>
        <w:spacing w:line="240" w:lineRule="auto"/>
        <w:ind w:right="-3"/>
        <w:jc w:val="left"/>
        <w:rPr>
          <w:rFonts w:hint="eastAsia" w:ascii="宋体" w:hAnsi="Times New Roman" w:eastAsia="宋体" w:cs="Times New Roman"/>
          <w:bCs w:val="0"/>
          <w:color w:val="auto"/>
          <w:kern w:val="0"/>
          <w:sz w:val="18"/>
          <w:szCs w:val="18"/>
          <w:highlight w:val="none"/>
          <w:u w:val="none"/>
        </w:rPr>
      </w:pPr>
      <w:r>
        <w:rPr>
          <w:rFonts w:hint="eastAsia" w:ascii="宋体" w:hAnsi="Times New Roman" w:eastAsia="宋体" w:cs="Times New Roman"/>
          <w:bCs w:val="0"/>
          <w:color w:val="auto"/>
          <w:kern w:val="0"/>
          <w:sz w:val="18"/>
          <w:szCs w:val="18"/>
          <w:highlight w:val="none"/>
          <w:u w:val="none"/>
        </w:rPr>
        <w:t>备注：</w:t>
      </w:r>
    </w:p>
    <w:p>
      <w:pPr>
        <w:widowControl/>
        <w:jc w:val="left"/>
        <w:rPr>
          <w:rFonts w:hint="eastAsia" w:ascii="宋体" w:hAnsi="宋体" w:eastAsia="宋体" w:cs="宋体"/>
          <w:b w:val="0"/>
          <w:bCs/>
          <w:kern w:val="0"/>
          <w:sz w:val="18"/>
          <w:szCs w:val="18"/>
        </w:rPr>
      </w:pPr>
      <w:r>
        <w:rPr>
          <w:rFonts w:hint="eastAsia" w:ascii="宋体" w:hAnsi="宋体" w:eastAsia="宋体" w:cs="宋体"/>
          <w:b w:val="0"/>
          <w:bCs/>
          <w:kern w:val="0"/>
          <w:sz w:val="18"/>
          <w:szCs w:val="18"/>
        </w:rPr>
        <w:t>1、每一项目符合的打“○”，不符合的打“×”；</w:t>
      </w:r>
      <w:r>
        <w:rPr>
          <w:rFonts w:hint="eastAsia" w:ascii="宋体" w:hAnsi="宋体" w:cs="宋体"/>
          <w:sz w:val="18"/>
          <w:szCs w:val="18"/>
        </w:rPr>
        <w:t>凡不满足以上任何一项情形，结论均为无效，否则就为有效。</w:t>
      </w:r>
    </w:p>
    <w:p>
      <w:pPr>
        <w:widowControl/>
        <w:jc w:val="left"/>
        <w:rPr>
          <w:rFonts w:hint="eastAsia" w:ascii="宋体" w:hAnsi="宋体" w:eastAsia="宋体" w:cs="宋体"/>
          <w:b w:val="0"/>
          <w:bCs/>
          <w:kern w:val="0"/>
          <w:sz w:val="18"/>
          <w:szCs w:val="18"/>
        </w:rPr>
      </w:pPr>
      <w:r>
        <w:rPr>
          <w:rFonts w:hint="eastAsia" w:ascii="宋体" w:hAnsi="宋体" w:eastAsia="宋体" w:cs="宋体"/>
          <w:b w:val="0"/>
          <w:bCs/>
          <w:kern w:val="0"/>
          <w:sz w:val="18"/>
          <w:szCs w:val="18"/>
        </w:rPr>
        <w:t>2、若评委意见不一致时，则按少数服从多数的原则，作出评审结论。汇总后，出现一个“×”的结论为“不通过”。</w:t>
      </w:r>
    </w:p>
    <w:p>
      <w:pPr>
        <w:widowControl/>
        <w:snapToGrid/>
        <w:spacing w:line="240" w:lineRule="auto"/>
        <w:ind w:right="0"/>
        <w:jc w:val="left"/>
        <w:rPr>
          <w:rFonts w:hint="eastAsia" w:ascii="宋体" w:hAnsi="宋体" w:eastAsia="宋体" w:cs="宋体"/>
          <w:b w:val="0"/>
          <w:bCs/>
          <w:kern w:val="0"/>
          <w:sz w:val="18"/>
          <w:szCs w:val="18"/>
        </w:rPr>
      </w:pPr>
      <w:r>
        <w:rPr>
          <w:rFonts w:hint="eastAsia" w:ascii="宋体" w:hAnsi="宋体" w:cs="宋体"/>
          <w:b w:val="0"/>
          <w:bCs/>
          <w:sz w:val="16"/>
          <w:szCs w:val="18"/>
        </w:rPr>
        <w:t>3.</w:t>
      </w:r>
      <w:r>
        <w:rPr>
          <w:rFonts w:hint="eastAsia" w:ascii="宋体" w:hAnsi="宋体" w:eastAsia="宋体" w:cs="宋体"/>
          <w:b w:val="0"/>
          <w:bCs/>
          <w:kern w:val="0"/>
          <w:sz w:val="18"/>
          <w:szCs w:val="18"/>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widowControl/>
        <w:snapToGrid/>
        <w:spacing w:line="240" w:lineRule="auto"/>
        <w:ind w:right="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4</w:t>
      </w:r>
      <w:r>
        <w:rPr>
          <w:rFonts w:hint="eastAsia" w:ascii="宋体" w:hAnsi="宋体" w:eastAsia="宋体" w:cs="宋体"/>
          <w:b w:val="0"/>
          <w:bCs/>
          <w:color w:val="auto"/>
          <w:sz w:val="18"/>
          <w:szCs w:val="18"/>
          <w:highlight w:val="none"/>
        </w:rPr>
        <w:t>.以上证明文件须加盖公章。</w:t>
      </w:r>
    </w:p>
    <w:p>
      <w:pPr>
        <w:widowControl/>
        <w:snapToGrid w:val="0"/>
        <w:spacing w:line="360" w:lineRule="auto"/>
        <w:ind w:right="102"/>
        <w:jc w:val="left"/>
        <w:rPr>
          <w:rFonts w:ascii="宋体" w:hAnsi="宋体"/>
          <w:highlight w:val="none"/>
        </w:rPr>
      </w:pPr>
    </w:p>
    <w:p>
      <w:pPr>
        <w:widowControl/>
        <w:snapToGrid w:val="0"/>
        <w:spacing w:line="360" w:lineRule="auto"/>
        <w:ind w:right="102"/>
        <w:jc w:val="left"/>
        <w:rPr>
          <w:rFonts w:ascii="宋体" w:hAnsi="宋体"/>
          <w:szCs w:val="21"/>
          <w:highlight w:val="none"/>
        </w:rPr>
        <w:sectPr>
          <w:footerReference r:id="rId9" w:type="default"/>
          <w:pgSz w:w="11906" w:h="16838"/>
          <w:pgMar w:top="1418" w:right="1134" w:bottom="1418" w:left="1134" w:header="851" w:footer="992" w:gutter="0"/>
          <w:pgNumType w:fmt="decimal"/>
          <w:cols w:space="720" w:num="1"/>
          <w:docGrid w:type="lines" w:linePitch="312" w:charSpace="0"/>
        </w:sectPr>
      </w:pPr>
      <w:r>
        <w:rPr>
          <w:rFonts w:hint="eastAsia" w:ascii="宋体" w:hAnsi="宋体"/>
          <w:highlight w:val="none"/>
        </w:rPr>
        <w:t>评委签名：</w:t>
      </w:r>
      <w:r>
        <w:rPr>
          <w:rFonts w:hint="eastAsia" w:ascii="宋体" w:hAnsi="宋体"/>
          <w:szCs w:val="21"/>
          <w:highlight w:val="none"/>
        </w:rPr>
        <w:t xml:space="preserve">                     日期：</w:t>
      </w:r>
    </w:p>
    <w:p>
      <w:pPr>
        <w:spacing w:line="360" w:lineRule="auto"/>
        <w:jc w:val="left"/>
        <w:rPr>
          <w:rFonts w:ascii="宋体" w:hAnsi="宋体"/>
          <w:b/>
          <w:sz w:val="36"/>
          <w:szCs w:val="36"/>
          <w:highlight w:val="none"/>
        </w:rPr>
      </w:pPr>
      <w:r>
        <w:rPr>
          <w:rFonts w:hint="eastAsia" w:ascii="宋体" w:hAnsi="宋体"/>
          <w:b/>
          <w:sz w:val="28"/>
          <w:szCs w:val="28"/>
          <w:highlight w:val="none"/>
        </w:rPr>
        <w:t>附表2：</w:t>
      </w:r>
    </w:p>
    <w:p>
      <w:pPr>
        <w:spacing w:line="360" w:lineRule="auto"/>
        <w:jc w:val="center"/>
        <w:rPr>
          <w:rFonts w:ascii="宋体" w:hAnsi="宋体"/>
          <w:b/>
          <w:sz w:val="36"/>
          <w:szCs w:val="36"/>
          <w:highlight w:val="none"/>
        </w:rPr>
      </w:pPr>
      <w:r>
        <w:rPr>
          <w:rFonts w:hint="eastAsia" w:ascii="宋体" w:hAnsi="宋体"/>
          <w:b/>
          <w:color w:val="auto"/>
          <w:sz w:val="36"/>
          <w:szCs w:val="36"/>
          <w:highlight w:val="none"/>
        </w:rPr>
        <w:t>工程总承包实施方案</w:t>
      </w:r>
      <w:r>
        <w:rPr>
          <w:rFonts w:hint="eastAsia" w:ascii="宋体" w:hAnsi="宋体"/>
          <w:b/>
          <w:sz w:val="36"/>
          <w:szCs w:val="36"/>
          <w:highlight w:val="none"/>
        </w:rPr>
        <w:t>有效性审查表</w:t>
      </w:r>
    </w:p>
    <w:p>
      <w:pPr>
        <w:spacing w:line="360" w:lineRule="auto"/>
        <w:rPr>
          <w:rFonts w:ascii="宋体" w:hAnsi="宋体"/>
          <w:b/>
          <w:szCs w:val="21"/>
          <w:highlight w:val="none"/>
        </w:rPr>
      </w:pPr>
      <w:r>
        <w:rPr>
          <w:rFonts w:hint="eastAsia" w:ascii="宋体" w:hAnsi="宋体"/>
          <w:b/>
          <w:szCs w:val="21"/>
          <w:highlight w:val="none"/>
        </w:rPr>
        <w:t>工程名称：</w:t>
      </w:r>
    </w:p>
    <w:tbl>
      <w:tblPr>
        <w:tblStyle w:val="16"/>
        <w:tblW w:w="10080"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39"/>
        <w:gridCol w:w="5883"/>
        <w:gridCol w:w="1157"/>
        <w:gridCol w:w="1158"/>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79" w:hRule="atLeast"/>
          <w:tblHeader/>
        </w:trPr>
        <w:tc>
          <w:tcPr>
            <w:tcW w:w="73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b/>
                <w:sz w:val="21"/>
                <w:szCs w:val="21"/>
                <w:highlight w:val="none"/>
              </w:rPr>
            </w:pPr>
            <w:r>
              <w:rPr>
                <w:rFonts w:hint="eastAsia" w:ascii="宋体" w:hAnsi="宋体"/>
                <w:b/>
                <w:sz w:val="21"/>
                <w:szCs w:val="21"/>
                <w:highlight w:val="none"/>
              </w:rPr>
              <w:t>序号</w:t>
            </w:r>
          </w:p>
        </w:tc>
        <w:tc>
          <w:tcPr>
            <w:tcW w:w="5883" w:type="dxa"/>
            <w:tcBorders>
              <w:top w:val="single" w:color="auto" w:sz="4" w:space="0"/>
              <w:left w:val="single" w:color="auto" w:sz="4" w:space="0"/>
              <w:bottom w:val="single" w:color="auto" w:sz="4" w:space="0"/>
              <w:right w:val="single" w:color="auto" w:sz="4" w:space="0"/>
              <w:tl2br w:val="single" w:color="auto" w:sz="4" w:space="0"/>
            </w:tcBorders>
          </w:tcPr>
          <w:p>
            <w:pPr>
              <w:spacing w:line="240" w:lineRule="auto"/>
              <w:rPr>
                <w:rFonts w:ascii="宋体" w:hAnsi="宋体"/>
                <w:b/>
                <w:sz w:val="21"/>
                <w:szCs w:val="21"/>
                <w:highlight w:val="none"/>
              </w:rPr>
            </w:pPr>
            <w:r>
              <w:rPr>
                <w:rFonts w:hint="eastAsia" w:ascii="宋体" w:hAnsi="宋体"/>
                <w:b/>
                <w:sz w:val="21"/>
                <w:szCs w:val="21"/>
                <w:highlight w:val="none"/>
              </w:rPr>
              <w:t xml:space="preserve">                                              投标单位</w:t>
            </w:r>
          </w:p>
          <w:p>
            <w:pPr>
              <w:spacing w:line="240" w:lineRule="auto"/>
              <w:ind w:firstLine="211" w:firstLineChars="100"/>
              <w:rPr>
                <w:rFonts w:ascii="宋体" w:hAnsi="宋体"/>
                <w:b/>
                <w:sz w:val="21"/>
                <w:szCs w:val="21"/>
                <w:highlight w:val="none"/>
              </w:rPr>
            </w:pPr>
            <w:r>
              <w:rPr>
                <w:rFonts w:hint="eastAsia" w:ascii="宋体" w:hAnsi="宋体"/>
                <w:b/>
                <w:sz w:val="21"/>
                <w:szCs w:val="21"/>
                <w:highlight w:val="none"/>
              </w:rPr>
              <w:t>评审内容</w:t>
            </w:r>
          </w:p>
        </w:tc>
        <w:tc>
          <w:tcPr>
            <w:tcW w:w="1157"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b/>
                <w:sz w:val="21"/>
                <w:szCs w:val="21"/>
                <w:highlight w:val="none"/>
              </w:rPr>
            </w:pPr>
          </w:p>
        </w:tc>
        <w:tc>
          <w:tcPr>
            <w:tcW w:w="1158"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b/>
                <w:sz w:val="21"/>
                <w:szCs w:val="21"/>
                <w:highlight w:val="none"/>
              </w:rPr>
            </w:pPr>
          </w:p>
        </w:tc>
        <w:tc>
          <w:tcPr>
            <w:tcW w:w="1143"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03" w:hRule="atLeast"/>
        </w:trPr>
        <w:tc>
          <w:tcPr>
            <w:tcW w:w="739"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ind w:right="-3"/>
              <w:jc w:val="center"/>
              <w:rPr>
                <w:rFonts w:hint="eastAsia" w:ascii="宋体" w:hAnsi="宋体"/>
                <w:szCs w:val="21"/>
                <w:highlight w:val="none"/>
              </w:rPr>
            </w:pPr>
            <w:r>
              <w:rPr>
                <w:rFonts w:hint="eastAsia" w:ascii="宋体" w:hAnsi="宋体"/>
                <w:szCs w:val="21"/>
                <w:highlight w:val="none"/>
              </w:rPr>
              <w:t>1</w:t>
            </w:r>
          </w:p>
        </w:tc>
        <w:tc>
          <w:tcPr>
            <w:tcW w:w="5883"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ind w:right="-3"/>
              <w:jc w:val="left"/>
              <w:rPr>
                <w:rFonts w:hint="eastAsia" w:ascii="宋体" w:hAnsi="宋体"/>
                <w:szCs w:val="21"/>
                <w:highlight w:val="none"/>
              </w:rPr>
            </w:pPr>
            <w:r>
              <w:rPr>
                <w:rFonts w:hint="eastAsia" w:ascii="宋体" w:hAnsi="宋体"/>
                <w:szCs w:val="21"/>
                <w:highlight w:val="none"/>
              </w:rPr>
              <w:t>不能满足完成投标项目工期的。</w:t>
            </w:r>
          </w:p>
        </w:tc>
        <w:tc>
          <w:tcPr>
            <w:tcW w:w="1157"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sz w:val="21"/>
                <w:szCs w:val="21"/>
                <w:highlight w:val="none"/>
              </w:rPr>
            </w:pPr>
          </w:p>
        </w:tc>
        <w:tc>
          <w:tcPr>
            <w:tcW w:w="1158"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sz w:val="21"/>
                <w:szCs w:val="21"/>
                <w:highlight w:val="none"/>
              </w:rPr>
            </w:pPr>
          </w:p>
        </w:tc>
        <w:tc>
          <w:tcPr>
            <w:tcW w:w="1143"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62" w:hRule="atLeast"/>
        </w:trPr>
        <w:tc>
          <w:tcPr>
            <w:tcW w:w="739"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ind w:right="-3"/>
              <w:jc w:val="center"/>
              <w:rPr>
                <w:rFonts w:hint="eastAsia" w:ascii="宋体" w:hAnsi="宋体"/>
                <w:szCs w:val="21"/>
                <w:highlight w:val="none"/>
              </w:rPr>
            </w:pPr>
            <w:r>
              <w:rPr>
                <w:rFonts w:hint="eastAsia" w:ascii="宋体" w:hAnsi="宋体"/>
                <w:szCs w:val="21"/>
                <w:highlight w:val="none"/>
              </w:rPr>
              <w:t>2</w:t>
            </w:r>
          </w:p>
        </w:tc>
        <w:tc>
          <w:tcPr>
            <w:tcW w:w="5883"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ind w:right="-3"/>
              <w:jc w:val="left"/>
              <w:rPr>
                <w:rFonts w:hint="eastAsia" w:ascii="宋体" w:hAnsi="宋体"/>
                <w:szCs w:val="21"/>
                <w:highlight w:val="none"/>
              </w:rPr>
            </w:pPr>
            <w:r>
              <w:rPr>
                <w:rFonts w:hint="eastAsia" w:ascii="宋体" w:hAnsi="宋体"/>
                <w:szCs w:val="21"/>
                <w:highlight w:val="none"/>
              </w:rPr>
              <w:t>不能满足完成投标项目质量目标的。</w:t>
            </w:r>
          </w:p>
        </w:tc>
        <w:tc>
          <w:tcPr>
            <w:tcW w:w="1157"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sz w:val="21"/>
                <w:szCs w:val="21"/>
                <w:highlight w:val="none"/>
              </w:rPr>
            </w:pPr>
          </w:p>
        </w:tc>
        <w:tc>
          <w:tcPr>
            <w:tcW w:w="1158"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sz w:val="21"/>
                <w:szCs w:val="21"/>
                <w:highlight w:val="none"/>
              </w:rPr>
            </w:pPr>
          </w:p>
        </w:tc>
        <w:tc>
          <w:tcPr>
            <w:tcW w:w="1143"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96" w:hRule="atLeast"/>
        </w:trPr>
        <w:tc>
          <w:tcPr>
            <w:tcW w:w="739"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ind w:right="-3"/>
              <w:jc w:val="center"/>
              <w:rPr>
                <w:rFonts w:hint="eastAsia" w:ascii="宋体" w:hAnsi="宋体"/>
                <w:szCs w:val="21"/>
                <w:highlight w:val="none"/>
              </w:rPr>
            </w:pPr>
            <w:r>
              <w:rPr>
                <w:rFonts w:hint="eastAsia" w:ascii="宋体" w:hAnsi="宋体"/>
                <w:szCs w:val="21"/>
                <w:highlight w:val="none"/>
              </w:rPr>
              <w:t>3</w:t>
            </w:r>
          </w:p>
        </w:tc>
        <w:tc>
          <w:tcPr>
            <w:tcW w:w="5883"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ind w:right="-3"/>
              <w:jc w:val="left"/>
              <w:rPr>
                <w:rFonts w:hint="eastAsia" w:ascii="宋体" w:hAnsi="宋体"/>
                <w:szCs w:val="21"/>
                <w:highlight w:val="none"/>
              </w:rPr>
            </w:pPr>
            <w:r>
              <w:rPr>
                <w:rFonts w:hint="eastAsia" w:ascii="宋体" w:hAnsi="宋体"/>
                <w:szCs w:val="21"/>
                <w:highlight w:val="none"/>
              </w:rPr>
              <w:t>投标文件的封面没有加盖公章，或未经投标人法定代表人或授权委托人签字的。</w:t>
            </w:r>
          </w:p>
        </w:tc>
        <w:tc>
          <w:tcPr>
            <w:tcW w:w="1157"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sz w:val="21"/>
                <w:szCs w:val="21"/>
                <w:highlight w:val="none"/>
              </w:rPr>
            </w:pPr>
          </w:p>
        </w:tc>
        <w:tc>
          <w:tcPr>
            <w:tcW w:w="1158"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sz w:val="21"/>
                <w:szCs w:val="21"/>
                <w:highlight w:val="none"/>
              </w:rPr>
            </w:pPr>
          </w:p>
        </w:tc>
        <w:tc>
          <w:tcPr>
            <w:tcW w:w="1143"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96" w:hRule="atLeast"/>
        </w:trPr>
        <w:tc>
          <w:tcPr>
            <w:tcW w:w="739"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ind w:right="-3"/>
              <w:jc w:val="center"/>
              <w:rPr>
                <w:rFonts w:hint="eastAsia" w:ascii="宋体" w:hAnsi="宋体"/>
                <w:szCs w:val="21"/>
                <w:highlight w:val="none"/>
              </w:rPr>
            </w:pPr>
            <w:r>
              <w:rPr>
                <w:rFonts w:hint="eastAsia" w:ascii="宋体" w:hAnsi="宋体"/>
                <w:szCs w:val="21"/>
                <w:highlight w:val="none"/>
              </w:rPr>
              <w:t>4</w:t>
            </w:r>
          </w:p>
        </w:tc>
        <w:tc>
          <w:tcPr>
            <w:tcW w:w="5883"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ind w:right="-3"/>
              <w:jc w:val="left"/>
              <w:rPr>
                <w:rFonts w:hint="eastAsia" w:ascii="宋体" w:hAnsi="宋体"/>
                <w:szCs w:val="21"/>
                <w:highlight w:val="none"/>
              </w:rPr>
            </w:pPr>
            <w:r>
              <w:rPr>
                <w:rFonts w:hint="eastAsia" w:ascii="宋体" w:hAnsi="宋体"/>
                <w:szCs w:val="21"/>
                <w:highlight w:val="none"/>
              </w:rPr>
              <w:t>投标文件未按规定的格式填写，或主要内容不全，或关键字迹模糊、无法辨认的。</w:t>
            </w:r>
          </w:p>
        </w:tc>
        <w:tc>
          <w:tcPr>
            <w:tcW w:w="1157"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sz w:val="21"/>
                <w:szCs w:val="21"/>
                <w:highlight w:val="none"/>
              </w:rPr>
            </w:pPr>
          </w:p>
        </w:tc>
        <w:tc>
          <w:tcPr>
            <w:tcW w:w="1158"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sz w:val="21"/>
                <w:szCs w:val="21"/>
                <w:highlight w:val="none"/>
              </w:rPr>
            </w:pPr>
          </w:p>
        </w:tc>
        <w:tc>
          <w:tcPr>
            <w:tcW w:w="1143"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96" w:hRule="atLeast"/>
        </w:trPr>
        <w:tc>
          <w:tcPr>
            <w:tcW w:w="739"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ind w:right="-3"/>
              <w:jc w:val="center"/>
              <w:rPr>
                <w:rFonts w:hint="eastAsia" w:ascii="宋体" w:hAnsi="宋体"/>
                <w:szCs w:val="21"/>
                <w:highlight w:val="none"/>
              </w:rPr>
            </w:pPr>
            <w:r>
              <w:rPr>
                <w:rFonts w:hint="eastAsia" w:ascii="宋体" w:hAnsi="宋体"/>
                <w:szCs w:val="21"/>
                <w:highlight w:val="none"/>
              </w:rPr>
              <w:t>5</w:t>
            </w:r>
          </w:p>
        </w:tc>
        <w:tc>
          <w:tcPr>
            <w:tcW w:w="5883"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ind w:right="-3"/>
              <w:jc w:val="left"/>
              <w:rPr>
                <w:rFonts w:hint="eastAsia" w:ascii="宋体" w:hAnsi="宋体"/>
                <w:szCs w:val="21"/>
                <w:highlight w:val="none"/>
              </w:rPr>
            </w:pPr>
            <w:r>
              <w:rPr>
                <w:rFonts w:hint="eastAsia" w:ascii="宋体" w:hAnsi="宋体"/>
                <w:szCs w:val="21"/>
                <w:highlight w:val="none"/>
              </w:rPr>
              <w:t>存在串通投标情形（串通投标情形以《中华人民共和国招标投标法实施条例》的规定为准）。</w:t>
            </w:r>
          </w:p>
        </w:tc>
        <w:tc>
          <w:tcPr>
            <w:tcW w:w="1157"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sz w:val="21"/>
                <w:szCs w:val="21"/>
                <w:highlight w:val="none"/>
              </w:rPr>
            </w:pPr>
          </w:p>
        </w:tc>
        <w:tc>
          <w:tcPr>
            <w:tcW w:w="1158"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sz w:val="21"/>
                <w:szCs w:val="21"/>
                <w:highlight w:val="none"/>
              </w:rPr>
            </w:pPr>
          </w:p>
        </w:tc>
        <w:tc>
          <w:tcPr>
            <w:tcW w:w="1143"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96" w:hRule="atLeast"/>
        </w:trPr>
        <w:tc>
          <w:tcPr>
            <w:tcW w:w="739"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ind w:right="-3"/>
              <w:jc w:val="center"/>
              <w:rPr>
                <w:rFonts w:hint="eastAsia" w:ascii="宋体" w:hAnsi="宋体"/>
                <w:szCs w:val="21"/>
                <w:highlight w:val="none"/>
              </w:rPr>
            </w:pPr>
            <w:r>
              <w:rPr>
                <w:rFonts w:hint="eastAsia" w:ascii="宋体" w:hAnsi="宋体"/>
                <w:szCs w:val="21"/>
                <w:highlight w:val="none"/>
              </w:rPr>
              <w:t>6</w:t>
            </w:r>
          </w:p>
        </w:tc>
        <w:tc>
          <w:tcPr>
            <w:tcW w:w="5883"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ind w:right="-3"/>
              <w:jc w:val="both"/>
              <w:rPr>
                <w:rFonts w:hint="eastAsia" w:ascii="宋体" w:hAnsi="宋体"/>
                <w:szCs w:val="21"/>
                <w:highlight w:val="none"/>
              </w:rPr>
            </w:pPr>
            <w:r>
              <w:rPr>
                <w:rFonts w:hint="eastAsia" w:ascii="宋体" w:hAnsi="宋体"/>
                <w:szCs w:val="21"/>
                <w:highlight w:val="none"/>
              </w:rPr>
              <w:t>投标人与其他投标人加密打包投标文件电脑机器特征码一致的(以广州公共资源交易中心交易平台评标系统的检索信息为准)。</w:t>
            </w:r>
          </w:p>
        </w:tc>
        <w:tc>
          <w:tcPr>
            <w:tcW w:w="1157"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sz w:val="21"/>
                <w:szCs w:val="21"/>
                <w:highlight w:val="none"/>
              </w:rPr>
            </w:pPr>
          </w:p>
        </w:tc>
        <w:tc>
          <w:tcPr>
            <w:tcW w:w="1158"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sz w:val="21"/>
                <w:szCs w:val="21"/>
                <w:highlight w:val="none"/>
              </w:rPr>
            </w:pPr>
          </w:p>
        </w:tc>
        <w:tc>
          <w:tcPr>
            <w:tcW w:w="1143"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03" w:hRule="atLeast"/>
        </w:trPr>
        <w:tc>
          <w:tcPr>
            <w:tcW w:w="739"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ind w:right="-3"/>
              <w:jc w:val="center"/>
              <w:rPr>
                <w:rFonts w:hint="eastAsia" w:ascii="宋体" w:hAnsi="宋体"/>
                <w:szCs w:val="21"/>
                <w:highlight w:val="none"/>
              </w:rPr>
            </w:pPr>
            <w:r>
              <w:rPr>
                <w:rFonts w:hint="eastAsia" w:ascii="宋体" w:hAnsi="宋体"/>
                <w:szCs w:val="21"/>
                <w:highlight w:val="none"/>
              </w:rPr>
              <w:t>7</w:t>
            </w:r>
          </w:p>
        </w:tc>
        <w:tc>
          <w:tcPr>
            <w:tcW w:w="5883"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ind w:right="-3"/>
              <w:jc w:val="left"/>
              <w:rPr>
                <w:rFonts w:hint="eastAsia" w:ascii="宋体" w:hAnsi="宋体"/>
                <w:szCs w:val="21"/>
                <w:highlight w:val="none"/>
              </w:rPr>
            </w:pPr>
            <w:r>
              <w:rPr>
                <w:rFonts w:hint="eastAsia" w:ascii="宋体" w:hAnsi="宋体"/>
                <w:szCs w:val="21"/>
                <w:highlight w:val="none"/>
              </w:rPr>
              <w:t>未按招标文件要求提供投标保证金的。</w:t>
            </w:r>
          </w:p>
        </w:tc>
        <w:tc>
          <w:tcPr>
            <w:tcW w:w="1157"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sz w:val="21"/>
                <w:szCs w:val="21"/>
                <w:highlight w:val="none"/>
              </w:rPr>
            </w:pPr>
          </w:p>
        </w:tc>
        <w:tc>
          <w:tcPr>
            <w:tcW w:w="1158"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sz w:val="21"/>
                <w:szCs w:val="21"/>
                <w:highlight w:val="none"/>
              </w:rPr>
            </w:pPr>
          </w:p>
        </w:tc>
        <w:tc>
          <w:tcPr>
            <w:tcW w:w="1143"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14" w:hRule="atLeast"/>
        </w:trPr>
        <w:tc>
          <w:tcPr>
            <w:tcW w:w="739"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ind w:right="-3"/>
              <w:jc w:val="center"/>
              <w:rPr>
                <w:rFonts w:hint="eastAsia" w:ascii="宋体" w:hAnsi="宋体"/>
                <w:szCs w:val="21"/>
                <w:highlight w:val="none"/>
              </w:rPr>
            </w:pPr>
            <w:r>
              <w:rPr>
                <w:rFonts w:hint="eastAsia" w:ascii="宋体" w:hAnsi="宋体"/>
                <w:szCs w:val="21"/>
                <w:highlight w:val="none"/>
              </w:rPr>
              <w:t>结论</w:t>
            </w:r>
          </w:p>
        </w:tc>
        <w:tc>
          <w:tcPr>
            <w:tcW w:w="5883"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ind w:right="-3"/>
              <w:jc w:val="left"/>
              <w:rPr>
                <w:rFonts w:hint="eastAsia" w:ascii="宋体" w:hAnsi="宋体"/>
                <w:szCs w:val="21"/>
                <w:highlight w:val="none"/>
              </w:rPr>
            </w:pPr>
            <w:r>
              <w:rPr>
                <w:rFonts w:hint="eastAsia" w:ascii="宋体" w:hAnsi="宋体"/>
                <w:szCs w:val="21"/>
                <w:highlight w:val="none"/>
              </w:rPr>
              <w:t>是否通过并进入下一阶段评审（是/否）</w:t>
            </w:r>
          </w:p>
        </w:tc>
        <w:tc>
          <w:tcPr>
            <w:tcW w:w="1157"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 w:val="21"/>
                <w:szCs w:val="21"/>
                <w:highlight w:val="none"/>
                <w:shd w:val="pct10" w:color="auto" w:fill="FFFFFF"/>
              </w:rPr>
            </w:pPr>
          </w:p>
        </w:tc>
        <w:tc>
          <w:tcPr>
            <w:tcW w:w="1158"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sz w:val="21"/>
                <w:szCs w:val="21"/>
                <w:highlight w:val="none"/>
                <w:shd w:val="pct10" w:color="auto" w:fill="FFFFFF"/>
              </w:rPr>
            </w:pPr>
          </w:p>
        </w:tc>
        <w:tc>
          <w:tcPr>
            <w:tcW w:w="1143"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sz w:val="21"/>
                <w:szCs w:val="21"/>
                <w:highlight w:val="none"/>
              </w:rPr>
            </w:pPr>
          </w:p>
        </w:tc>
      </w:tr>
    </w:tbl>
    <w:p>
      <w:pPr>
        <w:widowControl/>
        <w:jc w:val="left"/>
        <w:rPr>
          <w:rFonts w:hint="eastAsia" w:ascii="宋体" w:hAnsi="宋体" w:eastAsia="宋体" w:cs="宋体"/>
          <w:bCs/>
          <w:color w:val="000000"/>
          <w:kern w:val="0"/>
          <w:sz w:val="18"/>
          <w:szCs w:val="18"/>
          <w:lang w:eastAsia="zh-CN"/>
        </w:rPr>
      </w:pPr>
      <w:r>
        <w:rPr>
          <w:rFonts w:hint="eastAsia" w:ascii="宋体" w:hAnsi="宋体" w:cs="宋体"/>
          <w:bCs/>
          <w:sz w:val="18"/>
          <w:szCs w:val="18"/>
          <w:highlight w:val="none"/>
        </w:rPr>
        <w:t>注：</w:t>
      </w:r>
      <w:r>
        <w:rPr>
          <w:rFonts w:hint="eastAsia" w:ascii="宋体" w:hAnsi="宋体" w:eastAsia="宋体" w:cs="宋体"/>
          <w:bCs/>
          <w:color w:val="000000"/>
          <w:kern w:val="0"/>
          <w:sz w:val="18"/>
          <w:szCs w:val="18"/>
          <w:lang w:val="en-US" w:eastAsia="zh-CN"/>
        </w:rPr>
        <w:t>1</w:t>
      </w:r>
      <w:r>
        <w:rPr>
          <w:rFonts w:hint="eastAsia" w:ascii="宋体" w:hAnsi="宋体" w:eastAsia="宋体" w:cs="宋体"/>
          <w:bCs/>
          <w:color w:val="000000"/>
          <w:kern w:val="0"/>
          <w:sz w:val="18"/>
          <w:szCs w:val="18"/>
        </w:rPr>
        <w:t>.</w:t>
      </w:r>
      <w:r>
        <w:rPr>
          <w:rFonts w:hint="eastAsia" w:ascii="宋体" w:hAnsi="宋体" w:eastAsia="宋体" w:cs="宋体"/>
          <w:b w:val="0"/>
          <w:bCs/>
          <w:color w:val="000000"/>
          <w:kern w:val="0"/>
          <w:sz w:val="18"/>
          <w:szCs w:val="18"/>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w:t>
      </w:r>
      <w:r>
        <w:rPr>
          <w:rFonts w:hint="eastAsia" w:ascii="宋体" w:hAnsi="宋体" w:eastAsia="宋体" w:cs="宋体"/>
          <w:bCs/>
          <w:color w:val="000000"/>
          <w:kern w:val="0"/>
          <w:sz w:val="18"/>
          <w:szCs w:val="18"/>
        </w:rPr>
        <w:t>若出现评标委员会否决投标的，应在评标报告中载明否决投标的具体情形、原因</w:t>
      </w:r>
      <w:r>
        <w:rPr>
          <w:rFonts w:hint="eastAsia" w:ascii="宋体" w:hAnsi="宋体" w:cs="宋体"/>
          <w:bCs/>
          <w:color w:val="000000"/>
          <w:kern w:val="0"/>
          <w:sz w:val="18"/>
          <w:szCs w:val="18"/>
          <w:lang w:eastAsia="zh-CN"/>
        </w:rPr>
        <w:t>。</w:t>
      </w:r>
    </w:p>
    <w:p>
      <w:pPr>
        <w:widowControl/>
        <w:jc w:val="left"/>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rPr>
        <w:t>2</w:t>
      </w:r>
      <w:r>
        <w:rPr>
          <w:rFonts w:hint="eastAsia" w:ascii="宋体" w:hAnsi="宋体" w:eastAsia="宋体" w:cs="宋体"/>
          <w:bCs/>
          <w:color w:val="000000"/>
          <w:kern w:val="0"/>
          <w:sz w:val="18"/>
          <w:szCs w:val="18"/>
        </w:rPr>
        <w:t>.凡出现以上任何一项情形，结论均为无效，否则就为有效。</w:t>
      </w:r>
    </w:p>
    <w:p>
      <w:pPr>
        <w:widowControl/>
        <w:numPr>
          <w:ilvl w:val="-1"/>
          <w:numId w:val="0"/>
        </w:numPr>
        <w:ind w:firstLine="0" w:firstLineChars="0"/>
        <w:jc w:val="left"/>
        <w:rPr>
          <w:rFonts w:hint="eastAsia" w:ascii="宋体" w:hAnsi="宋体" w:cs="宋体"/>
          <w:bCs/>
          <w:sz w:val="18"/>
          <w:szCs w:val="18"/>
        </w:rPr>
      </w:pPr>
      <w:r>
        <w:rPr>
          <w:rFonts w:hint="eastAsia" w:ascii="宋体" w:hAnsi="宋体" w:eastAsia="宋体" w:cs="宋体"/>
          <w:bCs/>
          <w:color w:val="000000"/>
          <w:kern w:val="0"/>
          <w:sz w:val="18"/>
          <w:szCs w:val="18"/>
          <w:lang w:val="en-US" w:eastAsia="zh-CN"/>
        </w:rPr>
        <w:t>3</w:t>
      </w:r>
      <w:r>
        <w:rPr>
          <w:rFonts w:hint="eastAsia" w:ascii="宋体" w:hAnsi="宋体" w:eastAsia="宋体" w:cs="宋体"/>
          <w:bCs/>
          <w:color w:val="000000"/>
          <w:kern w:val="0"/>
          <w:sz w:val="18"/>
          <w:szCs w:val="18"/>
        </w:rPr>
        <w:t>.如对本表中某种情形的评审意见不一致时，以评标委员会过半数成员的意见作为评标委员会对该情形的认定结论。</w:t>
      </w:r>
    </w:p>
    <w:p>
      <w:pPr>
        <w:widowControl/>
        <w:snapToGrid w:val="0"/>
        <w:spacing w:line="400" w:lineRule="atLeast"/>
        <w:ind w:right="-3"/>
        <w:jc w:val="left"/>
        <w:rPr>
          <w:rFonts w:hint="eastAsia" w:ascii="宋体" w:hAnsi="宋体"/>
          <w:szCs w:val="21"/>
          <w:highlight w:val="none"/>
        </w:rPr>
        <w:sectPr>
          <w:pgSz w:w="11906" w:h="16838"/>
          <w:pgMar w:top="1418" w:right="1134" w:bottom="1418" w:left="1134" w:header="851" w:footer="992" w:gutter="0"/>
          <w:pgNumType w:fmt="decimal"/>
          <w:cols w:space="720" w:num="1"/>
          <w:docGrid w:type="lines" w:linePitch="312" w:charSpace="0"/>
        </w:sectPr>
      </w:pPr>
      <w:r>
        <w:rPr>
          <w:rFonts w:hint="eastAsia" w:ascii="宋体" w:hAnsi="宋体"/>
          <w:szCs w:val="21"/>
          <w:highlight w:val="none"/>
        </w:rPr>
        <w:t>评委签名：                   日期：</w:t>
      </w:r>
      <w:bookmarkStart w:id="1261" w:name="_GoBack"/>
      <w:bookmarkEnd w:id="1261"/>
    </w:p>
    <w:p>
      <w:pPr>
        <w:spacing w:line="360" w:lineRule="auto"/>
        <w:jc w:val="left"/>
        <w:rPr>
          <w:rFonts w:ascii="宋体" w:hAnsi="宋体"/>
          <w:b/>
          <w:sz w:val="28"/>
          <w:szCs w:val="28"/>
          <w:highlight w:val="none"/>
        </w:rPr>
      </w:pPr>
      <w:r>
        <w:rPr>
          <w:rFonts w:hint="eastAsia" w:ascii="宋体" w:hAnsi="宋体"/>
          <w:b/>
          <w:sz w:val="28"/>
          <w:szCs w:val="28"/>
          <w:highlight w:val="none"/>
        </w:rPr>
        <w:t>附表3：</w:t>
      </w:r>
    </w:p>
    <w:p>
      <w:pPr>
        <w:adjustRightInd w:val="0"/>
        <w:snapToGrid w:val="0"/>
        <w:jc w:val="center"/>
        <w:outlineLvl w:val="0"/>
        <w:rPr>
          <w:rFonts w:hint="eastAsia"/>
          <w:b/>
          <w:sz w:val="28"/>
          <w:szCs w:val="28"/>
          <w:highlight w:val="none"/>
        </w:rPr>
      </w:pPr>
      <w:bookmarkStart w:id="994" w:name="_Toc17636"/>
      <w:bookmarkStart w:id="995" w:name="_Toc18065"/>
      <w:bookmarkStart w:id="996" w:name="_Toc22893"/>
      <w:bookmarkStart w:id="997" w:name="_Toc26869"/>
      <w:bookmarkStart w:id="998" w:name="_Toc10022"/>
      <w:bookmarkStart w:id="999" w:name="_Toc10667"/>
      <w:bookmarkStart w:id="1000" w:name="_Toc10699"/>
      <w:bookmarkStart w:id="1001" w:name="_Toc7557"/>
      <w:bookmarkStart w:id="1002" w:name="_Toc20172"/>
      <w:bookmarkStart w:id="1003" w:name="_Toc9942"/>
      <w:bookmarkStart w:id="1004" w:name="_Toc28119"/>
      <w:r>
        <w:rPr>
          <w:rFonts w:hint="eastAsia"/>
          <w:b/>
          <w:sz w:val="28"/>
          <w:szCs w:val="28"/>
          <w:highlight w:val="none"/>
        </w:rPr>
        <w:t>工程总承包实施方案投标文件详细审查评分表</w:t>
      </w:r>
      <w:bookmarkEnd w:id="994"/>
      <w:bookmarkEnd w:id="995"/>
      <w:bookmarkEnd w:id="996"/>
      <w:bookmarkEnd w:id="997"/>
      <w:bookmarkEnd w:id="998"/>
      <w:bookmarkEnd w:id="999"/>
      <w:bookmarkEnd w:id="1000"/>
      <w:bookmarkEnd w:id="1001"/>
      <w:bookmarkEnd w:id="1002"/>
      <w:bookmarkEnd w:id="1003"/>
      <w:bookmarkEnd w:id="1004"/>
    </w:p>
    <w:tbl>
      <w:tblPr>
        <w:tblStyle w:val="16"/>
        <w:tblW w:w="139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31"/>
        <w:gridCol w:w="1430"/>
        <w:gridCol w:w="1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0" w:hRule="atLeast"/>
          <w:jc w:val="center"/>
        </w:trPr>
        <w:tc>
          <w:tcPr>
            <w:tcW w:w="12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lang w:val="en-US" w:eastAsia="zh-CN"/>
              </w:rPr>
              <w:t>评审</w:t>
            </w:r>
            <w:r>
              <w:rPr>
                <w:rFonts w:hint="eastAsia" w:asciiTheme="minorEastAsia" w:hAnsiTheme="minorEastAsia" w:eastAsiaTheme="minorEastAsia" w:cstheme="minorEastAsia"/>
                <w:highlight w:val="none"/>
              </w:rPr>
              <w:t>项目</w:t>
            </w:r>
          </w:p>
        </w:tc>
        <w:tc>
          <w:tcPr>
            <w:tcW w:w="14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评审要素和</w:t>
            </w:r>
          </w:p>
          <w:p>
            <w:pPr>
              <w:autoSpaceDE w:val="0"/>
              <w:autoSpaceDN w:val="0"/>
              <w:adjustRightInd w:val="0"/>
              <w:spacing w:line="36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分值分配</w:t>
            </w:r>
          </w:p>
        </w:tc>
        <w:tc>
          <w:tcPr>
            <w:tcW w:w="113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445" w:hRule="atLeast"/>
          <w:jc w:val="center"/>
        </w:trPr>
        <w:tc>
          <w:tcPr>
            <w:tcW w:w="1231" w:type="dxa"/>
            <w:vMerge w:val="restart"/>
            <w:tcBorders>
              <w:left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w:t>
            </w:r>
            <w:r>
              <w:rPr>
                <w:rFonts w:hint="eastAsia" w:asciiTheme="minorEastAsia" w:hAnsiTheme="minorEastAsia" w:eastAsiaTheme="minorEastAsia" w:cstheme="minorEastAsia"/>
                <w:highlight w:val="none"/>
                <w:lang w:eastAsia="zh-CN"/>
              </w:rPr>
              <w:t>、</w:t>
            </w:r>
          </w:p>
          <w:p>
            <w:pPr>
              <w:spacing w:line="36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资信部分</w:t>
            </w:r>
          </w:p>
          <w:p>
            <w:pPr>
              <w:spacing w:line="36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（36分）</w:t>
            </w:r>
          </w:p>
        </w:tc>
        <w:tc>
          <w:tcPr>
            <w:tcW w:w="1430" w:type="dxa"/>
            <w:tcBorders>
              <w:top w:val="single" w:color="auto" w:sz="4" w:space="0"/>
              <w:left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类似业绩</w:t>
            </w:r>
          </w:p>
          <w:p>
            <w:pPr>
              <w:spacing w:line="36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2</w:t>
            </w:r>
            <w:r>
              <w:rPr>
                <w:rFonts w:hint="eastAsia" w:asciiTheme="minorEastAsia" w:hAnsiTheme="minorEastAsia" w:eastAsiaTheme="minorEastAsia" w:cstheme="minorEastAsia"/>
                <w:szCs w:val="21"/>
                <w:highlight w:val="none"/>
              </w:rPr>
              <w:t>分）</w:t>
            </w:r>
          </w:p>
        </w:tc>
        <w:tc>
          <w:tcPr>
            <w:tcW w:w="11321" w:type="dxa"/>
            <w:tcBorders>
              <w:top w:val="single" w:color="auto" w:sz="4" w:space="0"/>
              <w:left w:val="single" w:color="auto" w:sz="4" w:space="0"/>
              <w:right w:val="single" w:color="auto" w:sz="4" w:space="0"/>
            </w:tcBorders>
            <w:vAlign w:val="center"/>
          </w:tcPr>
          <w:p>
            <w:pPr>
              <w:snapToGrid w:val="0"/>
              <w:spacing w:line="36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1、投标人（如是联合体投标，指联合体的设计方）自2019年1月1日至今完成过质量合格的单项合同总建筑面积大于等于140000㎡的建筑工程设计项目业绩，每项得0.</w:t>
            </w:r>
            <w:r>
              <w:rPr>
                <w:rFonts w:hint="eastAsia" w:asciiTheme="minorEastAsia" w:hAnsiTheme="minorEastAsia" w:eastAsiaTheme="minorEastAsia" w:cstheme="minorEastAsia"/>
                <w:szCs w:val="21"/>
                <w:highlight w:val="none"/>
                <w:lang w:val="en-US" w:eastAsia="zh-CN"/>
              </w:rPr>
              <w:t>1</w:t>
            </w:r>
            <w:r>
              <w:rPr>
                <w:rFonts w:hint="eastAsia" w:asciiTheme="minorEastAsia" w:hAnsiTheme="minorEastAsia" w:eastAsiaTheme="minorEastAsia" w:cstheme="minorEastAsia"/>
                <w:szCs w:val="21"/>
                <w:highlight w:val="none"/>
              </w:rPr>
              <w:t>分，最多得</w:t>
            </w:r>
            <w:r>
              <w:rPr>
                <w:rFonts w:hint="eastAsia" w:asciiTheme="minorEastAsia" w:hAnsiTheme="minorEastAsia" w:eastAsiaTheme="minorEastAsia" w:cstheme="minorEastAsia"/>
                <w:szCs w:val="21"/>
                <w:highlight w:val="none"/>
                <w:lang w:val="en-US" w:eastAsia="zh-CN"/>
              </w:rPr>
              <w:t>1</w:t>
            </w:r>
            <w:r>
              <w:rPr>
                <w:rFonts w:hint="eastAsia" w:asciiTheme="minorEastAsia" w:hAnsiTheme="minorEastAsia" w:eastAsiaTheme="minorEastAsia" w:cstheme="minorEastAsia"/>
                <w:szCs w:val="21"/>
                <w:highlight w:val="none"/>
              </w:rPr>
              <w:t>分。</w:t>
            </w:r>
          </w:p>
          <w:p>
            <w:pPr>
              <w:snapToGrid w:val="0"/>
              <w:spacing w:line="36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2、投标人（如是联合体投标，指联合体的施工方）自2019年1月1日至今完成过质量合格的单项合同总建筑面积大于等于140000㎡的建筑工程施工项目业绩，每项得0.</w:t>
            </w:r>
            <w:r>
              <w:rPr>
                <w:rFonts w:hint="eastAsia" w:asciiTheme="minorEastAsia" w:hAnsiTheme="minorEastAsia" w:eastAsiaTheme="minorEastAsia" w:cstheme="minorEastAsia"/>
                <w:szCs w:val="21"/>
                <w:highlight w:val="none"/>
                <w:lang w:val="en-US" w:eastAsia="zh-CN"/>
              </w:rPr>
              <w:t>1</w:t>
            </w:r>
            <w:r>
              <w:rPr>
                <w:rFonts w:hint="eastAsia" w:asciiTheme="minorEastAsia" w:hAnsiTheme="minorEastAsia" w:eastAsiaTheme="minorEastAsia" w:cstheme="minorEastAsia"/>
                <w:szCs w:val="21"/>
                <w:highlight w:val="none"/>
              </w:rPr>
              <w:t>分，最多得</w:t>
            </w:r>
            <w:r>
              <w:rPr>
                <w:rFonts w:hint="eastAsia" w:asciiTheme="minorEastAsia" w:hAnsiTheme="minorEastAsia" w:eastAsiaTheme="minorEastAsia" w:cstheme="minorEastAsia"/>
                <w:szCs w:val="21"/>
                <w:highlight w:val="none"/>
                <w:lang w:val="en-US" w:eastAsia="zh-CN"/>
              </w:rPr>
              <w:t>1</w:t>
            </w:r>
            <w:r>
              <w:rPr>
                <w:rFonts w:hint="eastAsia" w:asciiTheme="minorEastAsia" w:hAnsiTheme="minorEastAsia" w:eastAsiaTheme="minorEastAsia" w:cstheme="minorEastAsia"/>
                <w:szCs w:val="21"/>
                <w:highlight w:val="none"/>
              </w:rPr>
              <w:t>分。</w:t>
            </w:r>
          </w:p>
          <w:p>
            <w:pPr>
              <w:autoSpaceDE w:val="0"/>
              <w:autoSpaceDN w:val="0"/>
              <w:adjustRightInd w:val="0"/>
              <w:spacing w:line="360" w:lineRule="exact"/>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sz w:val="18"/>
                <w:szCs w:val="18"/>
                <w:highlight w:val="none"/>
              </w:rPr>
              <w:t>证明材料：</w:t>
            </w:r>
            <w:r>
              <w:rPr>
                <w:rFonts w:hint="eastAsia" w:asciiTheme="minorEastAsia" w:hAnsiTheme="minorEastAsia" w:eastAsiaTheme="minorEastAsia" w:cstheme="minorEastAsia"/>
                <w:sz w:val="18"/>
                <w:szCs w:val="18"/>
                <w:highlight w:val="none"/>
              </w:rPr>
              <w:t>设计业绩提供中标通知书（或免招标证明）、设计合同关键页和施工图设计文件审查合格书扫描件</w:t>
            </w:r>
            <w:r>
              <w:rPr>
                <w:rFonts w:hint="eastAsia" w:asciiTheme="minorEastAsia" w:hAnsiTheme="minorEastAsia" w:eastAsiaTheme="minorEastAsia" w:cstheme="minorEastAsia"/>
                <w:sz w:val="18"/>
                <w:szCs w:val="18"/>
                <w:highlight w:val="none"/>
                <w:lang w:eastAsia="zh-CN"/>
              </w:rPr>
              <w:t>，</w:t>
            </w:r>
            <w:r>
              <w:rPr>
                <w:rFonts w:hint="eastAsia" w:asciiTheme="minorEastAsia" w:hAnsiTheme="minorEastAsia" w:eastAsiaTheme="minorEastAsia" w:cstheme="minorEastAsia"/>
                <w:sz w:val="18"/>
                <w:szCs w:val="18"/>
                <w:highlight w:val="none"/>
              </w:rPr>
              <w:t>加盖投标人企业电子印章，时间以合同签署时间为准。施工业绩提供中标通知书（或免招标证明）、</w:t>
            </w:r>
            <w:r>
              <w:rPr>
                <w:rFonts w:hint="eastAsia" w:asciiTheme="minorEastAsia" w:hAnsiTheme="minorEastAsia" w:eastAsiaTheme="minorEastAsia" w:cstheme="minorEastAsia"/>
                <w:sz w:val="18"/>
                <w:szCs w:val="18"/>
                <w:highlight w:val="none"/>
                <w:lang w:val="en-US" w:eastAsia="zh-CN"/>
              </w:rPr>
              <w:t>施工</w:t>
            </w:r>
            <w:r>
              <w:rPr>
                <w:rFonts w:hint="eastAsia" w:asciiTheme="minorEastAsia" w:hAnsiTheme="minorEastAsia" w:eastAsiaTheme="minorEastAsia" w:cstheme="minorEastAsia"/>
                <w:sz w:val="18"/>
                <w:szCs w:val="18"/>
                <w:highlight w:val="none"/>
              </w:rPr>
              <w:t>合同关键页和项目竣工验收报告（或竣工验收证明文件）扫描件</w:t>
            </w:r>
            <w:r>
              <w:rPr>
                <w:rFonts w:hint="eastAsia" w:asciiTheme="minorEastAsia" w:hAnsiTheme="minorEastAsia" w:eastAsiaTheme="minorEastAsia" w:cstheme="minorEastAsia"/>
                <w:sz w:val="18"/>
                <w:szCs w:val="18"/>
                <w:highlight w:val="none"/>
                <w:lang w:eastAsia="zh-CN"/>
              </w:rPr>
              <w:t>，</w:t>
            </w:r>
            <w:r>
              <w:rPr>
                <w:rFonts w:hint="eastAsia" w:asciiTheme="minorEastAsia" w:hAnsiTheme="minorEastAsia" w:eastAsiaTheme="minorEastAsia" w:cstheme="minorEastAsia"/>
                <w:sz w:val="18"/>
                <w:szCs w:val="18"/>
                <w:highlight w:val="none"/>
              </w:rPr>
              <w:t>加盖投标人企业电子印章，时间以竣工验收报告（或竣工验收证明文件）时间为准。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0" w:hRule="atLeast"/>
          <w:jc w:val="center"/>
        </w:trPr>
        <w:tc>
          <w:tcPr>
            <w:tcW w:w="1231" w:type="dxa"/>
            <w:vMerge w:val="continue"/>
            <w:tcBorders>
              <w:left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获奖情况</w:t>
            </w:r>
          </w:p>
          <w:p>
            <w:pPr>
              <w:spacing w:line="36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1"/>
                <w:highlight w:val="none"/>
              </w:rPr>
              <w:t>（1</w:t>
            </w:r>
            <w:r>
              <w:rPr>
                <w:rFonts w:hint="eastAsia" w:asciiTheme="minorEastAsia" w:hAnsiTheme="minorEastAsia" w:eastAsiaTheme="minorEastAsia" w:cstheme="minorEastAsia"/>
                <w:szCs w:val="21"/>
                <w:highlight w:val="none"/>
                <w:lang w:val="en-US" w:eastAsia="zh-CN"/>
              </w:rPr>
              <w:t>2</w:t>
            </w:r>
            <w:r>
              <w:rPr>
                <w:rFonts w:hint="eastAsia" w:asciiTheme="minorEastAsia" w:hAnsiTheme="minorEastAsia" w:eastAsiaTheme="minorEastAsia" w:cstheme="minorEastAsia"/>
                <w:szCs w:val="21"/>
                <w:highlight w:val="none"/>
              </w:rPr>
              <w:t>分）</w:t>
            </w:r>
          </w:p>
        </w:tc>
        <w:tc>
          <w:tcPr>
            <w:tcW w:w="11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szCs w:val="21"/>
                <w:highlight w:val="none"/>
              </w:rPr>
              <w:t>1、</w:t>
            </w:r>
            <w:r>
              <w:rPr>
                <w:rFonts w:hint="eastAsia" w:asciiTheme="minorEastAsia" w:hAnsiTheme="minorEastAsia" w:eastAsiaTheme="minorEastAsia" w:cstheme="minorEastAsia"/>
                <w:bCs/>
                <w:szCs w:val="21"/>
                <w:highlight w:val="none"/>
              </w:rPr>
              <w:t>投标人（如是联合体投标，指联合体的设计方）2019年1月1日至今承接的建筑工程设计项目获得</w:t>
            </w:r>
            <w:r>
              <w:rPr>
                <w:rFonts w:hint="eastAsia" w:asciiTheme="minorEastAsia" w:hAnsiTheme="minorEastAsia" w:eastAsiaTheme="minorEastAsia" w:cstheme="minorEastAsia"/>
                <w:bCs/>
                <w:szCs w:val="21"/>
                <w:highlight w:val="none"/>
                <w:lang w:eastAsia="zh-CN"/>
              </w:rPr>
              <w:t>过</w:t>
            </w:r>
            <w:r>
              <w:rPr>
                <w:rFonts w:hint="eastAsia" w:asciiTheme="minorEastAsia" w:hAnsiTheme="minorEastAsia" w:eastAsiaTheme="minorEastAsia" w:cstheme="minorEastAsia"/>
                <w:bCs/>
                <w:szCs w:val="21"/>
                <w:highlight w:val="none"/>
              </w:rPr>
              <w:t>住建部颁发的全国绿色建筑创新奖一等奖的，得</w:t>
            </w:r>
            <w:r>
              <w:rPr>
                <w:rFonts w:hint="eastAsia" w:asciiTheme="minorEastAsia" w:hAnsiTheme="minorEastAsia" w:eastAsiaTheme="minorEastAsia" w:cstheme="minorEastAsia"/>
                <w:bCs/>
                <w:szCs w:val="21"/>
                <w:highlight w:val="none"/>
                <w:lang w:val="en-US" w:eastAsia="zh-CN"/>
              </w:rPr>
              <w:t>4</w:t>
            </w:r>
            <w:r>
              <w:rPr>
                <w:rFonts w:hint="eastAsia" w:asciiTheme="minorEastAsia" w:hAnsiTheme="minorEastAsia" w:eastAsiaTheme="minorEastAsia" w:cstheme="minorEastAsia"/>
                <w:bCs/>
                <w:szCs w:val="21"/>
                <w:highlight w:val="none"/>
              </w:rPr>
              <w:t>分；获得</w:t>
            </w:r>
            <w:r>
              <w:rPr>
                <w:rFonts w:hint="eastAsia" w:asciiTheme="minorEastAsia" w:hAnsiTheme="minorEastAsia" w:eastAsiaTheme="minorEastAsia" w:cstheme="minorEastAsia"/>
                <w:bCs/>
                <w:szCs w:val="21"/>
                <w:highlight w:val="none"/>
                <w:lang w:eastAsia="zh-CN"/>
              </w:rPr>
              <w:t>过</w:t>
            </w:r>
            <w:r>
              <w:rPr>
                <w:rFonts w:hint="eastAsia" w:asciiTheme="minorEastAsia" w:hAnsiTheme="minorEastAsia" w:eastAsiaTheme="minorEastAsia" w:cstheme="minorEastAsia"/>
                <w:bCs/>
                <w:szCs w:val="21"/>
                <w:highlight w:val="none"/>
              </w:rPr>
              <w:t>二等奖得</w:t>
            </w:r>
            <w:r>
              <w:rPr>
                <w:rFonts w:hint="eastAsia" w:asciiTheme="minorEastAsia" w:hAnsiTheme="minorEastAsia" w:eastAsiaTheme="minorEastAsia" w:cstheme="minorEastAsia"/>
                <w:bCs/>
                <w:szCs w:val="21"/>
                <w:highlight w:val="none"/>
                <w:lang w:val="en-US" w:eastAsia="zh-CN"/>
              </w:rPr>
              <w:t>2</w:t>
            </w:r>
            <w:r>
              <w:rPr>
                <w:rFonts w:hint="eastAsia" w:asciiTheme="minorEastAsia" w:hAnsiTheme="minorEastAsia" w:eastAsiaTheme="minorEastAsia" w:cstheme="minorEastAsia"/>
                <w:bCs/>
                <w:szCs w:val="21"/>
                <w:highlight w:val="none"/>
              </w:rPr>
              <w:t>分，获得</w:t>
            </w:r>
            <w:r>
              <w:rPr>
                <w:rFonts w:hint="eastAsia" w:asciiTheme="minorEastAsia" w:hAnsiTheme="minorEastAsia" w:eastAsiaTheme="minorEastAsia" w:cstheme="minorEastAsia"/>
                <w:bCs/>
                <w:szCs w:val="21"/>
                <w:highlight w:val="none"/>
                <w:lang w:eastAsia="zh-CN"/>
              </w:rPr>
              <w:t>过</w:t>
            </w:r>
            <w:r>
              <w:rPr>
                <w:rFonts w:hint="eastAsia" w:asciiTheme="minorEastAsia" w:hAnsiTheme="minorEastAsia" w:eastAsiaTheme="minorEastAsia" w:cstheme="minorEastAsia"/>
                <w:bCs/>
                <w:szCs w:val="21"/>
                <w:highlight w:val="none"/>
              </w:rPr>
              <w:t>三等奖得</w:t>
            </w:r>
            <w:r>
              <w:rPr>
                <w:rFonts w:hint="eastAsia" w:asciiTheme="minorEastAsia" w:hAnsiTheme="minorEastAsia" w:eastAsiaTheme="minorEastAsia" w:cstheme="minorEastAsia"/>
                <w:bCs/>
                <w:szCs w:val="21"/>
                <w:highlight w:val="none"/>
                <w:lang w:val="en-US" w:eastAsia="zh-CN"/>
              </w:rPr>
              <w:t>1</w:t>
            </w:r>
            <w:r>
              <w:rPr>
                <w:rFonts w:hint="eastAsia" w:asciiTheme="minorEastAsia" w:hAnsiTheme="minorEastAsia" w:eastAsiaTheme="minorEastAsia" w:cstheme="minorEastAsia"/>
                <w:bCs/>
                <w:szCs w:val="21"/>
                <w:highlight w:val="none"/>
              </w:rPr>
              <w:t>分。本项最多得</w:t>
            </w:r>
            <w:r>
              <w:rPr>
                <w:rFonts w:hint="eastAsia" w:asciiTheme="minorEastAsia" w:hAnsiTheme="minorEastAsia" w:eastAsiaTheme="minorEastAsia" w:cstheme="minorEastAsia"/>
                <w:bCs/>
                <w:szCs w:val="21"/>
                <w:highlight w:val="none"/>
                <w:lang w:val="en-US" w:eastAsia="zh-CN"/>
              </w:rPr>
              <w:t>4</w:t>
            </w:r>
            <w:r>
              <w:rPr>
                <w:rFonts w:hint="eastAsia" w:asciiTheme="minorEastAsia" w:hAnsiTheme="minorEastAsia" w:eastAsiaTheme="minorEastAsia" w:cstheme="minorEastAsia"/>
                <w:bCs/>
                <w:szCs w:val="21"/>
                <w:highlight w:val="none"/>
              </w:rPr>
              <w:t>分。</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Theme="minorEastAsia" w:hAnsiTheme="minorEastAsia" w:eastAsiaTheme="minorEastAsia" w:cstheme="minorEastAsia"/>
                <w:bCs/>
                <w:sz w:val="18"/>
                <w:szCs w:val="18"/>
                <w:highlight w:val="none"/>
              </w:rPr>
            </w:pPr>
            <w:r>
              <w:rPr>
                <w:rFonts w:hint="eastAsia" w:asciiTheme="minorEastAsia" w:hAnsiTheme="minorEastAsia" w:eastAsiaTheme="minorEastAsia" w:cstheme="minorEastAsia"/>
                <w:b/>
                <w:bCs w:val="0"/>
                <w:sz w:val="18"/>
                <w:szCs w:val="18"/>
                <w:highlight w:val="none"/>
              </w:rPr>
              <w:t>证明材料：</w:t>
            </w:r>
            <w:r>
              <w:rPr>
                <w:rFonts w:hint="eastAsia" w:asciiTheme="minorEastAsia" w:hAnsiTheme="minorEastAsia" w:eastAsiaTheme="minorEastAsia" w:cstheme="minorEastAsia"/>
                <w:bCs/>
                <w:sz w:val="18"/>
                <w:szCs w:val="18"/>
                <w:highlight w:val="none"/>
              </w:rPr>
              <w:t>提供住建部颁发的全国绿色建筑创新奖获奖证书扫描件并加盖投标人企业电子印章，时间以获奖证书落款时间为准。</w:t>
            </w:r>
            <w:r>
              <w:rPr>
                <w:rFonts w:hint="eastAsia" w:asciiTheme="minorEastAsia" w:hAnsiTheme="minorEastAsia" w:eastAsiaTheme="minorEastAsia" w:cstheme="minorEastAsia"/>
                <w:sz w:val="18"/>
                <w:szCs w:val="18"/>
                <w:highlight w:val="none"/>
              </w:rPr>
              <w:t>同一项目获不同奖项仅按最高等级计算一次。</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2</w:t>
            </w:r>
            <w:r>
              <w:rPr>
                <w:rFonts w:hint="eastAsia" w:asciiTheme="minorEastAsia" w:hAnsiTheme="minorEastAsia" w:eastAsiaTheme="minorEastAsia" w:cstheme="minorEastAsia"/>
                <w:szCs w:val="21"/>
                <w:highlight w:val="none"/>
              </w:rPr>
              <w:t>、投标人（如是联合体投标，指联合体的施工方）自2019年1月1日至今承接的建筑工程项目获得过国家级工程质量奖项，每获得一项得0.2分；获得过省级工程质量奖项，每获得一项得0.15分</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bCs/>
                <w:szCs w:val="21"/>
                <w:highlight w:val="none"/>
              </w:rPr>
              <w:t>本项最多得</w:t>
            </w:r>
            <w:r>
              <w:rPr>
                <w:rFonts w:hint="eastAsia" w:asciiTheme="minorEastAsia" w:hAnsiTheme="minorEastAsia" w:eastAsiaTheme="minorEastAsia" w:cstheme="minorEastAsia"/>
                <w:bCs/>
                <w:szCs w:val="21"/>
                <w:highlight w:val="none"/>
                <w:lang w:val="en-US" w:eastAsia="zh-CN"/>
              </w:rPr>
              <w:t>2</w:t>
            </w:r>
            <w:r>
              <w:rPr>
                <w:rFonts w:hint="eastAsia" w:asciiTheme="minorEastAsia" w:hAnsiTheme="minorEastAsia" w:eastAsiaTheme="minorEastAsia" w:cstheme="minorEastAsia"/>
                <w:bCs/>
                <w:szCs w:val="21"/>
                <w:highlight w:val="none"/>
              </w:rPr>
              <w:t>分。</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Theme="minorEastAsia" w:hAnsiTheme="minorEastAsia" w:eastAsiaTheme="minorEastAsia" w:cstheme="minorEastAsia"/>
                <w:sz w:val="18"/>
                <w:szCs w:val="20"/>
                <w:highlight w:val="none"/>
              </w:rPr>
            </w:pPr>
            <w:r>
              <w:rPr>
                <w:rFonts w:hint="eastAsia" w:asciiTheme="minorEastAsia" w:hAnsiTheme="minorEastAsia" w:eastAsiaTheme="minorEastAsia" w:cstheme="minorEastAsia"/>
                <w:b/>
                <w:bCs/>
                <w:sz w:val="18"/>
                <w:szCs w:val="18"/>
                <w:highlight w:val="none"/>
              </w:rPr>
              <w:t>证明材料：</w:t>
            </w:r>
            <w:r>
              <w:rPr>
                <w:rFonts w:hint="eastAsia" w:asciiTheme="minorEastAsia" w:hAnsiTheme="minorEastAsia" w:eastAsiaTheme="minorEastAsia" w:cstheme="minorEastAsia"/>
                <w:bCs/>
                <w:sz w:val="18"/>
                <w:szCs w:val="18"/>
                <w:highlight w:val="none"/>
              </w:rPr>
              <w:t>提供获奖证书扫描件并加盖投标人企业电子印章</w:t>
            </w:r>
            <w:r>
              <w:rPr>
                <w:rFonts w:hint="eastAsia" w:asciiTheme="minorEastAsia" w:hAnsiTheme="minorEastAsia" w:eastAsiaTheme="minorEastAsia" w:cstheme="minorEastAsia"/>
                <w:sz w:val="18"/>
                <w:szCs w:val="18"/>
                <w:highlight w:val="none"/>
              </w:rPr>
              <w:t>。</w:t>
            </w:r>
            <w:r>
              <w:rPr>
                <w:rFonts w:hint="eastAsia" w:asciiTheme="minorEastAsia" w:hAnsiTheme="minorEastAsia" w:eastAsiaTheme="minorEastAsia" w:cstheme="minorEastAsia"/>
                <w:b w:val="0"/>
                <w:bCs w:val="0"/>
                <w:sz w:val="18"/>
                <w:szCs w:val="18"/>
                <w:highlight w:val="none"/>
              </w:rPr>
              <w:t>①国家级工程质量奖项包括但不限于</w:t>
            </w:r>
            <w:r>
              <w:rPr>
                <w:rFonts w:hint="eastAsia" w:asciiTheme="minorEastAsia" w:hAnsiTheme="minorEastAsia" w:eastAsiaTheme="minorEastAsia" w:cstheme="minorEastAsia"/>
                <w:sz w:val="18"/>
                <w:szCs w:val="18"/>
                <w:highlight w:val="none"/>
              </w:rPr>
              <w:t>：中国建设工程鲁班奖、国家优质工程奖、国家优质工程金奖、中国土木工程詹天佑奖；省级奖项包括但不限于：省建设工程优质奖（原省优良样板工程）。②时间以获奖证书时间为准，同一项目获不同奖项仅按最高等级计算一次。</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rPr>
              <w:t>、投标人（如是联合体投标，指联合体的施工方）自2019年1月1日至今承接的建筑工程项目获得过全国市场质量信用A等用户满意工程（包括但不限于A、AA、AAA）评价奖项的，每个奖项得1分。</w:t>
            </w:r>
            <w:r>
              <w:rPr>
                <w:rFonts w:hint="eastAsia" w:asciiTheme="minorEastAsia" w:hAnsiTheme="minorEastAsia" w:eastAsiaTheme="minorEastAsia" w:cstheme="minorEastAsia"/>
                <w:bCs/>
                <w:szCs w:val="21"/>
                <w:highlight w:val="none"/>
              </w:rPr>
              <w:t>本项最多得6分。</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b/>
                <w:bCs/>
                <w:sz w:val="18"/>
                <w:szCs w:val="18"/>
                <w:highlight w:val="none"/>
              </w:rPr>
              <w:t>证明材料：</w:t>
            </w:r>
            <w:r>
              <w:rPr>
                <w:rFonts w:hint="eastAsia" w:asciiTheme="minorEastAsia" w:hAnsiTheme="minorEastAsia" w:eastAsiaTheme="minorEastAsia" w:cstheme="minorEastAsia"/>
                <w:bCs/>
                <w:sz w:val="18"/>
                <w:szCs w:val="18"/>
                <w:highlight w:val="none"/>
              </w:rPr>
              <w:t>提供获奖证书扫描件和全国用户满意企业信用服务平台（网址：</w:t>
            </w:r>
            <w:r>
              <w:rPr>
                <w:rFonts w:hint="eastAsia" w:asciiTheme="minorEastAsia" w:hAnsiTheme="minorEastAsia" w:eastAsiaTheme="minorEastAsia" w:cstheme="minorEastAsia"/>
                <w:bCs/>
                <w:color w:val="auto"/>
                <w:sz w:val="18"/>
                <w:szCs w:val="18"/>
                <w:highlight w:val="none"/>
              </w:rPr>
              <w:t>http://www.yonghu.org.cn/）上的信息截图并加盖投标人企业电子印章，时间以证书签发日期为准</w:t>
            </w:r>
            <w:r>
              <w:rPr>
                <w:rFonts w:hint="eastAsia" w:asciiTheme="minorEastAsia" w:hAnsiTheme="minorEastAsia" w:eastAsiaTheme="minorEastAsia" w:cstheme="minorEastAsia"/>
                <w:color w:val="auto"/>
                <w:sz w:val="18"/>
                <w:szCs w:val="18"/>
                <w:highlight w:val="none"/>
              </w:rPr>
              <w:t>。</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sz w:val="18"/>
                <w:szCs w:val="20"/>
                <w:highlight w:val="none"/>
              </w:rPr>
              <w:t>注：</w:t>
            </w:r>
            <w:r>
              <w:rPr>
                <w:rFonts w:hint="eastAsia" w:asciiTheme="minorEastAsia" w:hAnsiTheme="minorEastAsia" w:eastAsiaTheme="minorEastAsia" w:cstheme="minorEastAsia"/>
                <w:sz w:val="18"/>
                <w:szCs w:val="20"/>
                <w:highlight w:val="none"/>
              </w:rPr>
              <w:t>本项评分只认可投标人自身作为获奖单位的情形</w:t>
            </w:r>
            <w:r>
              <w:rPr>
                <w:rFonts w:hint="eastAsia" w:asciiTheme="minorEastAsia" w:hAnsiTheme="minorEastAsia" w:eastAsiaTheme="minorEastAsia" w:cstheme="minorEastAsia"/>
                <w:sz w:val="18"/>
                <w:szCs w:val="20"/>
                <w:highlight w:val="none"/>
                <w:lang w:eastAsia="zh-CN"/>
              </w:rPr>
              <w:t>，</w:t>
            </w:r>
            <w:r>
              <w:rPr>
                <w:rFonts w:hint="eastAsia" w:asciiTheme="minorEastAsia" w:hAnsiTheme="minorEastAsia" w:eastAsiaTheme="minorEastAsia" w:cstheme="minorEastAsia"/>
                <w:sz w:val="18"/>
                <w:szCs w:val="20"/>
                <w:highlight w:val="none"/>
              </w:rPr>
              <w:t>获奖证书企业名称须与投标人名称完全一致；同一项目多次获奖只计算一次得分。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0" w:hRule="atLeast"/>
          <w:jc w:val="center"/>
        </w:trPr>
        <w:tc>
          <w:tcPr>
            <w:tcW w:w="1231" w:type="dxa"/>
            <w:vMerge w:val="continue"/>
            <w:tcBorders>
              <w:left w:val="single" w:color="auto" w:sz="4" w:space="0"/>
              <w:right w:val="single" w:color="auto" w:sz="4" w:space="0"/>
            </w:tcBorders>
            <w:vAlign w:val="center"/>
          </w:tcPr>
          <w:p>
            <w:pPr>
              <w:widowControl/>
              <w:spacing w:line="360" w:lineRule="exact"/>
              <w:jc w:val="left"/>
              <w:rPr>
                <w:rFonts w:hint="eastAsia" w:asciiTheme="minorEastAsia" w:hAnsiTheme="minorEastAsia" w:eastAsiaTheme="minorEastAsia" w:cstheme="minorEastAsia"/>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BIM能力</w:t>
            </w:r>
          </w:p>
          <w:p>
            <w:pPr>
              <w:spacing w:line="360" w:lineRule="exact"/>
              <w:jc w:val="center"/>
              <w:rPr>
                <w:rFonts w:hint="eastAsia" w:asciiTheme="minorEastAsia" w:hAnsiTheme="minorEastAsia" w:eastAsiaTheme="minorEastAsia" w:cstheme="minorEastAsia"/>
                <w:strike/>
                <w:szCs w:val="21"/>
                <w:highlight w:val="none"/>
              </w:rPr>
            </w:pPr>
            <w:r>
              <w:rPr>
                <w:rFonts w:hint="eastAsia" w:asciiTheme="minorEastAsia" w:hAnsiTheme="minorEastAsia" w:eastAsiaTheme="minorEastAsia" w:cstheme="minorEastAsia"/>
                <w:szCs w:val="21"/>
                <w:highlight w:val="none"/>
              </w:rPr>
              <w:t>（10分）</w:t>
            </w:r>
          </w:p>
        </w:tc>
        <w:tc>
          <w:tcPr>
            <w:tcW w:w="11321" w:type="dxa"/>
            <w:tcBorders>
              <w:top w:val="single" w:color="auto" w:sz="4" w:space="0"/>
              <w:left w:val="single" w:color="auto" w:sz="4" w:space="0"/>
              <w:bottom w:val="single" w:color="auto" w:sz="4" w:space="0"/>
              <w:right w:val="single" w:color="auto" w:sz="4" w:space="0"/>
            </w:tcBorders>
            <w:vAlign w:val="center"/>
          </w:tcPr>
          <w:p>
            <w:pPr>
              <w:autoSpaceDE/>
              <w:autoSpaceDN/>
              <w:adjustRightInd/>
              <w:snapToGrid w:val="0"/>
              <w:spacing w:line="360" w:lineRule="exact"/>
              <w:jc w:val="both"/>
              <w:rPr>
                <w:rFonts w:hint="eastAsia" w:asciiTheme="minorEastAsia" w:hAnsiTheme="minorEastAsia" w:eastAsiaTheme="minorEastAsia" w:cstheme="minorEastAsia"/>
                <w:strike w:val="0"/>
                <w:szCs w:val="21"/>
                <w:highlight w:val="none"/>
              </w:rPr>
            </w:pPr>
            <w:r>
              <w:rPr>
                <w:rFonts w:hint="eastAsia" w:asciiTheme="minorEastAsia" w:hAnsiTheme="minorEastAsia" w:eastAsiaTheme="minorEastAsia" w:cstheme="minorEastAsia"/>
                <w:strike w:val="0"/>
                <w:szCs w:val="21"/>
                <w:highlight w:val="none"/>
              </w:rPr>
              <w:t>1、2019年1月1日至今，投标人（如是联合体投标，指联合体的设计方）具有与BIM相关的软件著作权，每项得1分，最高得6分。</w:t>
            </w:r>
          </w:p>
          <w:p>
            <w:pPr>
              <w:autoSpaceDE/>
              <w:autoSpaceDN/>
              <w:adjustRightInd/>
              <w:snapToGrid w:val="0"/>
              <w:spacing w:line="360" w:lineRule="exact"/>
              <w:jc w:val="both"/>
              <w:rPr>
                <w:rFonts w:hint="eastAsia" w:asciiTheme="minorEastAsia" w:hAnsiTheme="minorEastAsia" w:eastAsiaTheme="minorEastAsia" w:cstheme="minorEastAsia"/>
                <w:strike w:val="0"/>
                <w:szCs w:val="22"/>
                <w:highlight w:val="none"/>
              </w:rPr>
            </w:pPr>
            <w:r>
              <w:rPr>
                <w:rFonts w:hint="eastAsia" w:asciiTheme="minorEastAsia" w:hAnsiTheme="minorEastAsia" w:eastAsiaTheme="minorEastAsia" w:cstheme="minorEastAsia"/>
                <w:b/>
                <w:bCs/>
                <w:strike w:val="0"/>
                <w:sz w:val="18"/>
                <w:szCs w:val="20"/>
                <w:highlight w:val="none"/>
              </w:rPr>
              <w:t>证明材料</w:t>
            </w:r>
            <w:r>
              <w:rPr>
                <w:rFonts w:hint="eastAsia" w:asciiTheme="minorEastAsia" w:hAnsiTheme="minorEastAsia" w:eastAsiaTheme="minorEastAsia" w:cstheme="minorEastAsia"/>
                <w:strike w:val="0"/>
                <w:sz w:val="18"/>
                <w:szCs w:val="20"/>
                <w:highlight w:val="none"/>
              </w:rPr>
              <w:t>：需提供</w:t>
            </w:r>
            <w:r>
              <w:rPr>
                <w:rFonts w:hint="eastAsia" w:asciiTheme="minorEastAsia" w:hAnsiTheme="minorEastAsia" w:eastAsiaTheme="minorEastAsia" w:cstheme="minorEastAsia"/>
                <w:strike w:val="0"/>
                <w:sz w:val="18"/>
                <w:szCs w:val="20"/>
                <w:highlight w:val="none"/>
                <w:lang w:eastAsia="zh-TW"/>
              </w:rPr>
              <w:t>中华人民共和国</w:t>
            </w:r>
            <w:r>
              <w:rPr>
                <w:rFonts w:hint="eastAsia" w:asciiTheme="minorEastAsia" w:hAnsiTheme="minorEastAsia" w:eastAsiaTheme="minorEastAsia" w:cstheme="minorEastAsia"/>
                <w:strike w:val="0"/>
                <w:sz w:val="18"/>
                <w:szCs w:val="20"/>
                <w:highlight w:val="none"/>
              </w:rPr>
              <w:t>国家版权局颁发的软件著作权登记证书扫描件加盖投标人企业电子印章，时间以证书落款时间为准，否则不得分</w:t>
            </w:r>
            <w:r>
              <w:rPr>
                <w:rFonts w:hint="eastAsia" w:asciiTheme="minorEastAsia" w:hAnsiTheme="minorEastAsia" w:eastAsiaTheme="minorEastAsia" w:cstheme="minorEastAsia"/>
                <w:strike w:val="0"/>
                <w:sz w:val="18"/>
                <w:szCs w:val="20"/>
                <w:highlight w:val="none"/>
                <w:lang w:eastAsia="zh-TW"/>
              </w:rPr>
              <w:t>。软件著作权需由国家版权局颁发，投标人应为著作权人，软件需含“BIM”或“建筑信息模型”</w:t>
            </w:r>
            <w:r>
              <w:rPr>
                <w:rFonts w:hint="eastAsia" w:asciiTheme="minorEastAsia" w:hAnsiTheme="minorEastAsia" w:eastAsiaTheme="minorEastAsia" w:cstheme="minorEastAsia"/>
                <w:strike w:val="0"/>
                <w:sz w:val="18"/>
                <w:szCs w:val="20"/>
                <w:highlight w:val="none"/>
                <w:lang w:val="en-US" w:eastAsia="zh-CN"/>
              </w:rPr>
              <w:t>等相关软件</w:t>
            </w:r>
            <w:r>
              <w:rPr>
                <w:rFonts w:hint="eastAsia" w:asciiTheme="minorEastAsia" w:hAnsiTheme="minorEastAsia" w:eastAsiaTheme="minorEastAsia" w:cstheme="minorEastAsia"/>
                <w:strike w:val="0"/>
                <w:sz w:val="18"/>
                <w:szCs w:val="20"/>
                <w:highlight w:val="none"/>
                <w:lang w:eastAsia="zh-TW"/>
              </w:rPr>
              <w:t>。</w:t>
            </w:r>
          </w:p>
          <w:p>
            <w:pPr>
              <w:autoSpaceDE/>
              <w:autoSpaceDN/>
              <w:adjustRightInd/>
              <w:snapToGrid w:val="0"/>
              <w:spacing w:line="360" w:lineRule="exact"/>
              <w:jc w:val="both"/>
              <w:rPr>
                <w:rFonts w:hint="eastAsia" w:asciiTheme="minorEastAsia" w:hAnsiTheme="minorEastAsia" w:eastAsiaTheme="minorEastAsia" w:cstheme="minorEastAsia"/>
                <w:strike w:val="0"/>
                <w:szCs w:val="21"/>
                <w:highlight w:val="none"/>
              </w:rPr>
            </w:pPr>
            <w:r>
              <w:rPr>
                <w:rFonts w:hint="eastAsia" w:asciiTheme="minorEastAsia" w:hAnsiTheme="minorEastAsia" w:eastAsiaTheme="minorEastAsia" w:cstheme="minorEastAsia"/>
                <w:strike w:val="0"/>
                <w:szCs w:val="21"/>
                <w:highlight w:val="none"/>
              </w:rPr>
              <w:t>2、2019年1月1日至今，投标人（如是联合体投标，指联合体的施工方）每获得一项</w:t>
            </w:r>
            <w:r>
              <w:rPr>
                <w:rFonts w:hint="eastAsia" w:asciiTheme="minorEastAsia" w:hAnsiTheme="minorEastAsia" w:eastAsiaTheme="minorEastAsia" w:cstheme="minorEastAsia"/>
                <w:strike w:val="0"/>
                <w:szCs w:val="21"/>
                <w:highlight w:val="none"/>
                <w:lang w:val="en-US" w:eastAsia="zh-CN"/>
              </w:rPr>
              <w:t>国家级</w:t>
            </w:r>
            <w:r>
              <w:rPr>
                <w:rFonts w:hint="eastAsia" w:asciiTheme="minorEastAsia" w:hAnsiTheme="minorEastAsia" w:eastAsiaTheme="minorEastAsia" w:cstheme="minorEastAsia"/>
                <w:strike w:val="0"/>
                <w:szCs w:val="21"/>
                <w:highlight w:val="none"/>
              </w:rPr>
              <w:t>建设工程BIM大赛BIM技术综合成果得0.5分，每获得一项</w:t>
            </w:r>
            <w:r>
              <w:rPr>
                <w:rFonts w:hint="eastAsia" w:asciiTheme="minorEastAsia" w:hAnsiTheme="minorEastAsia" w:eastAsiaTheme="minorEastAsia" w:cstheme="minorEastAsia"/>
                <w:strike w:val="0"/>
                <w:szCs w:val="21"/>
                <w:highlight w:val="none"/>
                <w:lang w:val="en-US" w:eastAsia="zh-CN"/>
              </w:rPr>
              <w:t>省级</w:t>
            </w:r>
            <w:r>
              <w:rPr>
                <w:rFonts w:hint="eastAsia" w:asciiTheme="minorEastAsia" w:hAnsiTheme="minorEastAsia" w:eastAsiaTheme="minorEastAsia" w:cstheme="minorEastAsia"/>
                <w:strike w:val="0"/>
                <w:szCs w:val="21"/>
                <w:highlight w:val="none"/>
              </w:rPr>
              <w:t>建设工程BIM大赛BIM技术综合成果得0.</w:t>
            </w:r>
            <w:r>
              <w:rPr>
                <w:rFonts w:hint="eastAsia" w:asciiTheme="minorEastAsia" w:hAnsiTheme="minorEastAsia" w:eastAsiaTheme="minorEastAsia" w:cstheme="minorEastAsia"/>
                <w:strike w:val="0"/>
                <w:szCs w:val="21"/>
                <w:highlight w:val="none"/>
                <w:lang w:val="en-US" w:eastAsia="zh-CN"/>
              </w:rPr>
              <w:t>2</w:t>
            </w:r>
            <w:r>
              <w:rPr>
                <w:rFonts w:hint="eastAsia" w:asciiTheme="minorEastAsia" w:hAnsiTheme="minorEastAsia" w:eastAsiaTheme="minorEastAsia" w:cstheme="minorEastAsia"/>
                <w:strike w:val="0"/>
                <w:szCs w:val="21"/>
                <w:highlight w:val="none"/>
              </w:rPr>
              <w:t>分，最多得4分。</w:t>
            </w:r>
          </w:p>
          <w:p>
            <w:pPr>
              <w:autoSpaceDE/>
              <w:autoSpaceDN/>
              <w:adjustRightInd/>
              <w:snapToGrid w:val="0"/>
              <w:spacing w:line="360" w:lineRule="exact"/>
              <w:jc w:val="both"/>
              <w:rPr>
                <w:rFonts w:hint="eastAsia" w:asciiTheme="minorEastAsia" w:hAnsiTheme="minorEastAsia" w:eastAsiaTheme="minorEastAsia" w:cstheme="minorEastAsia"/>
                <w:strike w:val="0"/>
                <w:sz w:val="18"/>
                <w:szCs w:val="20"/>
                <w:highlight w:val="none"/>
                <w:lang w:eastAsia="zh-TW"/>
              </w:rPr>
            </w:pPr>
            <w:r>
              <w:rPr>
                <w:rFonts w:hint="eastAsia" w:asciiTheme="minorEastAsia" w:hAnsiTheme="minorEastAsia" w:eastAsiaTheme="minorEastAsia" w:cstheme="minorEastAsia"/>
                <w:b/>
                <w:bCs/>
                <w:strike w:val="0"/>
                <w:sz w:val="18"/>
                <w:szCs w:val="20"/>
                <w:highlight w:val="none"/>
                <w:lang w:eastAsia="zh-TW"/>
              </w:rPr>
              <w:t>证明材料</w:t>
            </w:r>
            <w:r>
              <w:rPr>
                <w:rFonts w:hint="eastAsia" w:asciiTheme="minorEastAsia" w:hAnsiTheme="minorEastAsia" w:eastAsiaTheme="minorEastAsia" w:cstheme="minorEastAsia"/>
                <w:strike w:val="0"/>
                <w:sz w:val="18"/>
                <w:szCs w:val="20"/>
                <w:highlight w:val="none"/>
                <w:lang w:eastAsia="zh-TW"/>
              </w:rPr>
              <w:t>：需提供获奖证书扫描件或者颁奖单位的颁奖文件扫描件或颁奖单位官网截图文件并加盖投标人企业电子印章，时间以证书落款时间或颁奖文件时间或颁奖单位官网公示时间为准，颁奖单位</w:t>
            </w:r>
            <w:r>
              <w:rPr>
                <w:rFonts w:hint="eastAsia" w:asciiTheme="minorEastAsia" w:hAnsiTheme="minorEastAsia" w:eastAsiaTheme="minorEastAsia" w:cstheme="minorEastAsia"/>
                <w:strike w:val="0"/>
                <w:sz w:val="18"/>
                <w:szCs w:val="20"/>
                <w:highlight w:val="none"/>
                <w:lang w:val="en-US" w:eastAsia="zh-CN"/>
              </w:rPr>
              <w:t>应为建设主管部门或其协会，</w:t>
            </w:r>
            <w:r>
              <w:rPr>
                <w:rFonts w:hint="eastAsia" w:asciiTheme="minorEastAsia" w:hAnsiTheme="minorEastAsia" w:eastAsiaTheme="minorEastAsia" w:cstheme="minorEastAsia"/>
                <w:strike w:val="0"/>
                <w:sz w:val="18"/>
                <w:szCs w:val="20"/>
                <w:highlight w:val="none"/>
                <w:lang w:eastAsia="zh-TW"/>
              </w:rPr>
              <w:t>否则不得分。</w:t>
            </w:r>
          </w:p>
          <w:p>
            <w:pPr>
              <w:autoSpaceDE w:val="0"/>
              <w:autoSpaceDN w:val="0"/>
              <w:adjustRightInd w:val="0"/>
              <w:spacing w:line="360" w:lineRule="exact"/>
              <w:jc w:val="left"/>
              <w:rPr>
                <w:rFonts w:hint="eastAsia" w:asciiTheme="minorEastAsia" w:hAnsiTheme="minorEastAsia" w:eastAsiaTheme="minorEastAsia" w:cstheme="minorEastAsia"/>
                <w:strike w:val="0"/>
                <w:szCs w:val="22"/>
                <w:highlight w:val="none"/>
              </w:rPr>
            </w:pPr>
            <w:r>
              <w:rPr>
                <w:rFonts w:hint="eastAsia" w:asciiTheme="minorEastAsia" w:hAnsiTheme="minorEastAsia" w:eastAsiaTheme="minorEastAsia" w:cstheme="minorEastAsia"/>
                <w:strike w:val="0"/>
                <w:sz w:val="18"/>
                <w:szCs w:val="20"/>
                <w:highlight w:val="none"/>
                <w:lang w:eastAsia="zh-TW"/>
              </w:rPr>
              <w:t>注：本项评分只认可投标人自身作为获奖单位的情形</w:t>
            </w:r>
            <w:r>
              <w:rPr>
                <w:rFonts w:hint="eastAsia" w:asciiTheme="minorEastAsia" w:hAnsiTheme="minorEastAsia" w:eastAsiaTheme="minorEastAsia" w:cstheme="minorEastAsia"/>
                <w:strike w:val="0"/>
                <w:sz w:val="18"/>
                <w:szCs w:val="20"/>
                <w:highlight w:val="none"/>
                <w:lang w:eastAsia="zh-CN"/>
              </w:rPr>
              <w:t>，</w:t>
            </w:r>
            <w:r>
              <w:rPr>
                <w:rFonts w:hint="eastAsia" w:asciiTheme="minorEastAsia" w:hAnsiTheme="minorEastAsia" w:eastAsiaTheme="minorEastAsia" w:cstheme="minorEastAsia"/>
                <w:strike w:val="0"/>
                <w:sz w:val="18"/>
                <w:szCs w:val="20"/>
                <w:highlight w:val="none"/>
                <w:lang w:eastAsia="zh-TW"/>
              </w:rPr>
              <w:t>获奖证书企业名称须与投标人名称完全一致；同一项目多次获奖只计算一次得分。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0" w:hRule="atLeast"/>
          <w:jc w:val="center"/>
        </w:trPr>
        <w:tc>
          <w:tcPr>
            <w:tcW w:w="1231" w:type="dxa"/>
            <w:vMerge w:val="continue"/>
            <w:tcBorders>
              <w:left w:val="single" w:color="auto" w:sz="4" w:space="0"/>
              <w:right w:val="single" w:color="auto" w:sz="4" w:space="0"/>
            </w:tcBorders>
            <w:vAlign w:val="center"/>
          </w:tcPr>
          <w:p>
            <w:pPr>
              <w:widowControl/>
              <w:spacing w:line="360" w:lineRule="exact"/>
              <w:jc w:val="left"/>
              <w:rPr>
                <w:rFonts w:hint="eastAsia" w:asciiTheme="minorEastAsia" w:hAnsiTheme="minorEastAsia" w:eastAsiaTheme="minorEastAsia" w:cstheme="minorEastAsia"/>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heme="minorEastAsia" w:hAnsiTheme="minorEastAsia" w:eastAsiaTheme="minorEastAsia" w:cstheme="minorEastAsia"/>
                <w:color w:val="auto"/>
                <w:kern w:val="2"/>
                <w:szCs w:val="21"/>
                <w:highlight w:val="none"/>
              </w:rPr>
            </w:pPr>
            <w:r>
              <w:rPr>
                <w:rFonts w:hint="eastAsia" w:asciiTheme="minorEastAsia" w:hAnsiTheme="minorEastAsia" w:eastAsiaTheme="minorEastAsia" w:cstheme="minorEastAsia"/>
                <w:color w:val="auto"/>
                <w:kern w:val="2"/>
                <w:szCs w:val="21"/>
                <w:highlight w:val="none"/>
              </w:rPr>
              <w:t>项目</w:t>
            </w:r>
            <w:r>
              <w:rPr>
                <w:rFonts w:hint="eastAsia" w:asciiTheme="minorEastAsia" w:hAnsiTheme="minorEastAsia" w:eastAsiaTheme="minorEastAsia" w:cstheme="minorEastAsia"/>
                <w:color w:val="auto"/>
                <w:kern w:val="2"/>
                <w:szCs w:val="21"/>
                <w:highlight w:val="none"/>
                <w:lang w:val="en-US" w:eastAsia="zh-CN"/>
              </w:rPr>
              <w:t>管理</w:t>
            </w:r>
            <w:r>
              <w:rPr>
                <w:rFonts w:hint="eastAsia" w:asciiTheme="minorEastAsia" w:hAnsiTheme="minorEastAsia" w:eastAsiaTheme="minorEastAsia" w:cstheme="minorEastAsia"/>
                <w:color w:val="auto"/>
                <w:kern w:val="2"/>
                <w:szCs w:val="21"/>
                <w:highlight w:val="none"/>
              </w:rPr>
              <w:t>团队</w:t>
            </w:r>
          </w:p>
          <w:p>
            <w:pPr>
              <w:widowControl/>
              <w:spacing w:line="3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0"/>
                <w:highlight w:val="none"/>
                <w:lang w:val="zh-CN"/>
              </w:rPr>
              <w:t>（1</w:t>
            </w:r>
            <w:r>
              <w:rPr>
                <w:rFonts w:hint="eastAsia" w:asciiTheme="minorEastAsia" w:hAnsiTheme="minorEastAsia" w:eastAsiaTheme="minorEastAsia" w:cstheme="minorEastAsia"/>
                <w:szCs w:val="20"/>
                <w:highlight w:val="none"/>
                <w:lang w:val="en-US" w:eastAsia="zh-CN"/>
              </w:rPr>
              <w:t>0</w:t>
            </w:r>
            <w:r>
              <w:rPr>
                <w:rFonts w:hint="eastAsia" w:asciiTheme="minorEastAsia" w:hAnsiTheme="minorEastAsia" w:eastAsiaTheme="minorEastAsia" w:cstheme="minorEastAsia"/>
                <w:szCs w:val="20"/>
                <w:highlight w:val="none"/>
                <w:lang w:val="zh-CN"/>
              </w:rPr>
              <w:t>分）</w:t>
            </w:r>
          </w:p>
        </w:tc>
        <w:tc>
          <w:tcPr>
            <w:tcW w:w="1132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项目设计团队：</w:t>
            </w:r>
          </w:p>
          <w:p>
            <w:pPr>
              <w:spacing w:line="360" w:lineRule="exact"/>
              <w:ind w:firstLine="0"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建筑专业负责人：一级注册建筑师资格；</w:t>
            </w:r>
          </w:p>
          <w:p>
            <w:pPr>
              <w:spacing w:line="360" w:lineRule="exact"/>
              <w:ind w:firstLine="0"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结构专业负责人：一级注册结构工程师资格；</w:t>
            </w:r>
          </w:p>
          <w:p>
            <w:pPr>
              <w:spacing w:line="360" w:lineRule="exact"/>
              <w:ind w:firstLine="0"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给排水专业负责人：注册公用设备工程师（给水排水）资格；</w:t>
            </w:r>
          </w:p>
          <w:p>
            <w:pPr>
              <w:spacing w:line="360" w:lineRule="exact"/>
              <w:ind w:firstLine="0"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电气专业负责人：注册电气工程师（供配电）资格；</w:t>
            </w:r>
          </w:p>
          <w:p>
            <w:pPr>
              <w:spacing w:line="360" w:lineRule="exact"/>
              <w:ind w:firstLine="0"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暖通专业负责人：注册公用设备工程师（暖通空调）资格；</w:t>
            </w:r>
          </w:p>
          <w:p>
            <w:pPr>
              <w:spacing w:line="360" w:lineRule="exact"/>
              <w:ind w:left="0" w:left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造价专业负责人：注册造价工程师或一级注册造价工程师资格；</w:t>
            </w:r>
            <w:r>
              <w:rPr>
                <w:rFonts w:hint="eastAsia" w:asciiTheme="minorEastAsia" w:hAnsiTheme="minorEastAsia" w:eastAsiaTheme="minorEastAsia" w:cstheme="minorEastAsia"/>
                <w:color w:val="auto"/>
                <w:szCs w:val="21"/>
                <w:highlight w:val="none"/>
              </w:rPr>
              <w:br w:type="textWrapping"/>
            </w:r>
            <w:r>
              <w:rPr>
                <w:rFonts w:hint="eastAsia" w:asciiTheme="minorEastAsia" w:hAnsiTheme="minorEastAsia" w:eastAsiaTheme="minorEastAsia" w:cstheme="minorEastAsia"/>
                <w:color w:val="auto"/>
                <w:szCs w:val="21"/>
                <w:highlight w:val="none"/>
              </w:rPr>
              <w:t>园林专业负责人：风景园林高级工程师技术职称。</w:t>
            </w:r>
          </w:p>
          <w:p>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1、各专业负责人全部具备上述相应专业注册资格的（园林专业除外），得</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分。</w:t>
            </w:r>
          </w:p>
          <w:p>
            <w:pPr>
              <w:spacing w:line="36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2、设计负责人及各专业负责人全部具备上述相应专业注册资格的（园林专业除外）</w:t>
            </w:r>
            <w:r>
              <w:rPr>
                <w:rFonts w:hint="eastAsia" w:asciiTheme="minorEastAsia" w:hAnsiTheme="minorEastAsia" w:eastAsiaTheme="minorEastAsia" w:cstheme="minorEastAsia"/>
                <w:color w:val="auto"/>
                <w:szCs w:val="21"/>
                <w:highlight w:val="none"/>
                <w:lang w:eastAsia="zh-CN"/>
              </w:rPr>
              <w:t>，每</w:t>
            </w:r>
            <w:r>
              <w:rPr>
                <w:rFonts w:hint="eastAsia" w:asciiTheme="minorEastAsia" w:hAnsiTheme="minorEastAsia" w:eastAsiaTheme="minorEastAsia" w:cstheme="minorEastAsia"/>
                <w:color w:val="auto"/>
                <w:szCs w:val="21"/>
                <w:highlight w:val="none"/>
              </w:rPr>
              <w:t>具备</w:t>
            </w:r>
            <w:r>
              <w:rPr>
                <w:rFonts w:hint="eastAsia" w:asciiTheme="minorEastAsia" w:hAnsiTheme="minorEastAsia" w:eastAsiaTheme="minorEastAsia" w:cstheme="minorEastAsia"/>
                <w:color w:val="auto"/>
                <w:szCs w:val="21"/>
                <w:highlight w:val="none"/>
                <w:lang w:val="en-US" w:eastAsia="zh-CN"/>
              </w:rPr>
              <w:t>1个</w:t>
            </w:r>
            <w:r>
              <w:rPr>
                <w:rFonts w:hint="eastAsia" w:asciiTheme="minorEastAsia" w:hAnsiTheme="minorEastAsia" w:eastAsiaTheme="minorEastAsia" w:cstheme="minorEastAsia"/>
                <w:color w:val="auto"/>
                <w:szCs w:val="21"/>
                <w:highlight w:val="none"/>
              </w:rPr>
              <w:t>相应专业正高级（或教授级）职称的</w:t>
            </w:r>
            <w:r>
              <w:rPr>
                <w:rFonts w:hint="eastAsia" w:asciiTheme="minorEastAsia" w:hAnsiTheme="minorEastAsia" w:eastAsiaTheme="minorEastAsia" w:cstheme="minorEastAsia"/>
                <w:color w:val="auto"/>
                <w:szCs w:val="21"/>
                <w:highlight w:val="none"/>
                <w:lang w:val="en-US" w:eastAsia="zh-CN"/>
              </w:rPr>
              <w:t>得1分，最高得</w:t>
            </w:r>
            <w:r>
              <w:rPr>
                <w:rFonts w:hint="eastAsia" w:asciiTheme="minorEastAsia" w:hAnsiTheme="minorEastAsia" w:eastAsiaTheme="minorEastAsia" w:cstheme="minorEastAsia"/>
                <w:color w:val="auto"/>
                <w:szCs w:val="21"/>
                <w:highlight w:val="none"/>
              </w:rPr>
              <w:t>8分。</w:t>
            </w:r>
          </w:p>
          <w:p>
            <w:pPr>
              <w:widowControl/>
              <w:numPr>
                <w:ilvl w:val="-1"/>
                <w:numId w:val="0"/>
              </w:numPr>
              <w:spacing w:line="360" w:lineRule="exact"/>
              <w:ind w:left="0" w:leftChars="0" w:firstLine="0" w:firstLineChars="0"/>
              <w:jc w:val="both"/>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color w:val="auto"/>
                <w:sz w:val="18"/>
                <w:szCs w:val="18"/>
                <w:highlight w:val="none"/>
              </w:rPr>
              <w:t>注：1、投入人员必须为投标人单位人员，须提供相应有效期内的注册资格证书、职称证书扫描件并加盖公章。同时提交在与投标人名称一致的加盖当地社保局印章的近1个月（2023年</w:t>
            </w:r>
            <w:r>
              <w:rPr>
                <w:rFonts w:hint="eastAsia" w:asciiTheme="minorEastAsia" w:hAnsiTheme="minorEastAsia" w:eastAsiaTheme="minorEastAsia" w:cstheme="minorEastAsia"/>
                <w:color w:val="auto"/>
                <w:sz w:val="18"/>
                <w:szCs w:val="18"/>
                <w:highlight w:val="none"/>
                <w:lang w:val="en-US" w:eastAsia="zh-CN"/>
              </w:rPr>
              <w:t>9</w:t>
            </w:r>
            <w:r>
              <w:rPr>
                <w:rFonts w:hint="eastAsia" w:asciiTheme="minorEastAsia" w:hAnsiTheme="minorEastAsia" w:eastAsiaTheme="minorEastAsia" w:cstheme="minorEastAsia"/>
                <w:color w:val="auto"/>
                <w:sz w:val="18"/>
                <w:szCs w:val="18"/>
                <w:highlight w:val="none"/>
              </w:rPr>
              <w:t>月）的社会劳动保险缴费证明扫描件并加盖</w:t>
            </w:r>
            <w:r>
              <w:rPr>
                <w:rFonts w:hint="eastAsia" w:asciiTheme="minorEastAsia" w:hAnsiTheme="minorEastAsia" w:eastAsiaTheme="minorEastAsia" w:cstheme="minorEastAsia"/>
                <w:color w:val="auto"/>
                <w:sz w:val="18"/>
                <w:szCs w:val="18"/>
                <w:highlight w:val="none"/>
                <w:lang w:val="en-US" w:eastAsia="zh-CN"/>
              </w:rPr>
              <w:t>投标人企业电子印章</w:t>
            </w:r>
            <w:r>
              <w:rPr>
                <w:rFonts w:hint="eastAsia" w:asciiTheme="minorEastAsia" w:hAnsiTheme="minorEastAsia" w:eastAsiaTheme="minorEastAsia" w:cstheme="minorEastAsia"/>
                <w:color w:val="auto"/>
                <w:sz w:val="18"/>
                <w:szCs w:val="18"/>
                <w:highlight w:val="none"/>
              </w:rPr>
              <w:t>。不符合上述条件或未提供上述资料的不得分。</w:t>
            </w:r>
            <w:r>
              <w:rPr>
                <w:rFonts w:hint="eastAsia" w:asciiTheme="minorEastAsia" w:hAnsiTheme="minorEastAsia" w:eastAsiaTheme="minorEastAsia" w:cstheme="minorEastAsia"/>
                <w:color w:val="auto"/>
                <w:sz w:val="18"/>
                <w:szCs w:val="18"/>
                <w:highlight w:val="none"/>
                <w:lang w:val="en-US" w:eastAsia="zh-CN"/>
              </w:rPr>
              <w:t>2、</w:t>
            </w:r>
            <w:r>
              <w:rPr>
                <w:rFonts w:hint="eastAsia" w:asciiTheme="minorEastAsia" w:hAnsiTheme="minorEastAsia" w:eastAsiaTheme="minorEastAsia" w:cstheme="minorEastAsia"/>
                <w:color w:val="auto"/>
                <w:sz w:val="18"/>
                <w:szCs w:val="18"/>
                <w:highlight w:val="none"/>
              </w:rPr>
              <w:t>设计负责人与各专业负责人一人一岗，各岗位人员不可互相兼任。不满足以上不得分,本项最高得1</w:t>
            </w:r>
            <w:r>
              <w:rPr>
                <w:rFonts w:hint="eastAsia" w:asciiTheme="minorEastAsia" w:hAnsiTheme="minorEastAsia" w:eastAsiaTheme="minorEastAsia" w:cstheme="minorEastAsia"/>
                <w:color w:val="auto"/>
                <w:sz w:val="18"/>
                <w:szCs w:val="18"/>
                <w:highlight w:val="none"/>
                <w:lang w:val="en-US" w:eastAsia="zh-CN"/>
              </w:rPr>
              <w:t>0</w:t>
            </w:r>
            <w:r>
              <w:rPr>
                <w:rFonts w:hint="eastAsia" w:asciiTheme="minorEastAsia" w:hAnsiTheme="minorEastAsia" w:eastAsiaTheme="minorEastAsia" w:cstheme="minorEastAsia"/>
                <w:color w:val="auto"/>
                <w:sz w:val="18"/>
                <w:szCs w:val="1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698" w:hRule="atLeast"/>
          <w:jc w:val="center"/>
        </w:trPr>
        <w:tc>
          <w:tcPr>
            <w:tcW w:w="1231" w:type="dxa"/>
            <w:vMerge w:val="continue"/>
            <w:tcBorders>
              <w:left w:val="single" w:color="auto" w:sz="4" w:space="0"/>
              <w:right w:val="single" w:color="auto" w:sz="4" w:space="0"/>
            </w:tcBorders>
            <w:vAlign w:val="center"/>
          </w:tcPr>
          <w:p>
            <w:pPr>
              <w:widowControl/>
              <w:spacing w:line="360" w:lineRule="exact"/>
              <w:jc w:val="left"/>
              <w:rPr>
                <w:rFonts w:hint="eastAsia" w:asciiTheme="minorEastAsia" w:hAnsiTheme="minorEastAsia" w:eastAsiaTheme="minorEastAsia" w:cstheme="minorEastAsia"/>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第三方评价</w:t>
            </w:r>
          </w:p>
          <w:p>
            <w:pPr>
              <w:spacing w:line="36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1"/>
                <w:highlight w:val="none"/>
              </w:rPr>
              <w:t>（2分）</w:t>
            </w:r>
          </w:p>
        </w:tc>
        <w:tc>
          <w:tcPr>
            <w:tcW w:w="1132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投标人（如是联合体投标，指联合体的各方）自2019年1月1日至今被税务机关纳税评级评定为“A级纳税人”的：</w:t>
            </w:r>
          </w:p>
          <w:p>
            <w:pPr>
              <w:spacing w:line="36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（1）连续</w:t>
            </w:r>
            <w:r>
              <w:rPr>
                <w:rFonts w:hint="eastAsia" w:asciiTheme="minorEastAsia" w:hAnsiTheme="minorEastAsia" w:eastAsiaTheme="minorEastAsia" w:cstheme="minorEastAsia"/>
                <w:szCs w:val="21"/>
                <w:highlight w:val="none"/>
                <w:lang w:val="en-US" w:eastAsia="zh-CN"/>
              </w:rPr>
              <w:t>4</w:t>
            </w:r>
            <w:r>
              <w:rPr>
                <w:rFonts w:hint="eastAsia" w:asciiTheme="minorEastAsia" w:hAnsiTheme="minorEastAsia" w:eastAsiaTheme="minorEastAsia" w:cstheme="minorEastAsia"/>
                <w:szCs w:val="21"/>
                <w:highlight w:val="none"/>
              </w:rPr>
              <w:t>年获得税务机关纳税评级为A级，得2分；</w:t>
            </w:r>
          </w:p>
          <w:p>
            <w:pPr>
              <w:spacing w:line="36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（2）连续</w:t>
            </w: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rPr>
              <w:t>年获得税务机关纳税评级为A级，得1分；</w:t>
            </w:r>
          </w:p>
          <w:p>
            <w:pPr>
              <w:spacing w:line="36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（3）连续</w:t>
            </w:r>
            <w:r>
              <w:rPr>
                <w:rFonts w:hint="eastAsia" w:asciiTheme="minorEastAsia" w:hAnsiTheme="minorEastAsia" w:eastAsiaTheme="minorEastAsia" w:cstheme="minorEastAsia"/>
                <w:szCs w:val="21"/>
                <w:highlight w:val="none"/>
                <w:lang w:val="en-US" w:eastAsia="zh-CN"/>
              </w:rPr>
              <w:t>2</w:t>
            </w:r>
            <w:r>
              <w:rPr>
                <w:rFonts w:hint="eastAsia" w:asciiTheme="minorEastAsia" w:hAnsiTheme="minorEastAsia" w:eastAsiaTheme="minorEastAsia" w:cstheme="minorEastAsia"/>
                <w:szCs w:val="21"/>
                <w:highlight w:val="none"/>
              </w:rPr>
              <w:t>年获得税务机关纳税评级为A级，得0.5分。</w:t>
            </w:r>
          </w:p>
          <w:p>
            <w:pPr>
              <w:spacing w:line="36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本项最多得2分。</w:t>
            </w:r>
          </w:p>
          <w:p>
            <w:pPr>
              <w:spacing w:line="36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sz w:val="18"/>
                <w:szCs w:val="18"/>
                <w:highlight w:val="none"/>
              </w:rPr>
              <w:t>证明材料：</w:t>
            </w:r>
            <w:r>
              <w:rPr>
                <w:rFonts w:hint="eastAsia" w:asciiTheme="minorEastAsia" w:hAnsiTheme="minorEastAsia" w:eastAsiaTheme="minorEastAsia" w:cstheme="minorEastAsia"/>
                <w:sz w:val="18"/>
                <w:szCs w:val="18"/>
                <w:highlight w:val="none"/>
              </w:rPr>
              <w:t>需提供在税务机关官网网页查询截图并加盖投标人企业电子印章</w:t>
            </w:r>
            <w:r>
              <w:rPr>
                <w:rFonts w:hint="eastAsia" w:asciiTheme="minorEastAsia" w:hAnsiTheme="minorEastAsia" w:eastAsiaTheme="minorEastAsia" w:cstheme="minorEastAsia"/>
                <w:sz w:val="18"/>
                <w:szCs w:val="18"/>
                <w:highlight w:val="none"/>
                <w:lang w:eastAsia="zh-CN"/>
              </w:rPr>
              <w:t>，</w:t>
            </w:r>
            <w:r>
              <w:rPr>
                <w:rFonts w:hint="eastAsia" w:asciiTheme="minorEastAsia" w:hAnsiTheme="minorEastAsia" w:eastAsiaTheme="minorEastAsia" w:cstheme="minorEastAsia"/>
                <w:sz w:val="18"/>
                <w:szCs w:val="18"/>
                <w:highlight w:val="none"/>
                <w:lang w:val="en-US" w:eastAsia="zh-CN"/>
              </w:rPr>
              <w:t>时间以评价年度为准</w:t>
            </w:r>
            <w:r>
              <w:rPr>
                <w:rFonts w:hint="eastAsia" w:asciiTheme="minorEastAsia" w:hAnsiTheme="minorEastAsia" w:eastAsiaTheme="minorEastAsia" w:cstheme="minorEastAsia"/>
                <w:sz w:val="18"/>
                <w:szCs w:val="18"/>
                <w:highlight w:val="none"/>
              </w:rPr>
              <w:t>。不满足上述要求的或未提供相关证明材料的不得分。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 w:type="dxa"/>
            <w:bottom w:w="85" w:type="dxa"/>
            <w:right w:w="10" w:type="dxa"/>
          </w:tblCellMar>
        </w:tblPrEx>
        <w:trPr>
          <w:trHeight w:val="1091" w:hRule="atLeast"/>
          <w:jc w:val="center"/>
        </w:trPr>
        <w:tc>
          <w:tcPr>
            <w:tcW w:w="1231" w:type="dxa"/>
            <w:vMerge w:val="restart"/>
            <w:vAlign w:val="center"/>
          </w:tcPr>
          <w:p>
            <w:pPr>
              <w:widowControl/>
              <w:spacing w:line="360" w:lineRule="exact"/>
              <w:jc w:val="center"/>
              <w:rPr>
                <w:rFonts w:hint="eastAsia" w:asciiTheme="minorEastAsia" w:hAnsiTheme="minorEastAsia" w:eastAsiaTheme="minorEastAsia" w:cstheme="minorEastAsia"/>
                <w:szCs w:val="20"/>
                <w:highlight w:val="none"/>
                <w:lang w:val="zh-CN"/>
              </w:rPr>
            </w:pPr>
            <w:r>
              <w:rPr>
                <w:rFonts w:hint="eastAsia" w:asciiTheme="minorEastAsia" w:hAnsiTheme="minorEastAsia" w:eastAsiaTheme="minorEastAsia" w:cstheme="minorEastAsia"/>
                <w:szCs w:val="20"/>
                <w:highlight w:val="none"/>
                <w:lang w:val="zh-CN"/>
              </w:rPr>
              <w:t>二、设计施工管理方案</w:t>
            </w:r>
          </w:p>
          <w:p>
            <w:pPr>
              <w:widowControl/>
              <w:spacing w:line="360" w:lineRule="exact"/>
              <w:jc w:val="center"/>
              <w:rPr>
                <w:rFonts w:hint="eastAsia" w:asciiTheme="minorEastAsia" w:hAnsiTheme="minorEastAsia" w:eastAsiaTheme="minorEastAsia" w:cstheme="minorEastAsia"/>
                <w:szCs w:val="20"/>
                <w:highlight w:val="none"/>
                <w:lang w:val="zh-CN"/>
              </w:rPr>
            </w:pPr>
            <w:r>
              <w:rPr>
                <w:rFonts w:hint="eastAsia" w:asciiTheme="minorEastAsia" w:hAnsiTheme="minorEastAsia" w:eastAsiaTheme="minorEastAsia" w:cstheme="minorEastAsia"/>
                <w:szCs w:val="20"/>
                <w:highlight w:val="none"/>
                <w:lang w:val="zh-CN"/>
              </w:rPr>
              <w:t>（64分）</w:t>
            </w:r>
          </w:p>
        </w:tc>
        <w:tc>
          <w:tcPr>
            <w:tcW w:w="1430" w:type="dxa"/>
            <w:vAlign w:val="center"/>
          </w:tcPr>
          <w:p>
            <w:pPr>
              <w:widowControl/>
              <w:spacing w:line="360" w:lineRule="exact"/>
              <w:jc w:val="center"/>
              <w:rPr>
                <w:rFonts w:hint="eastAsia" w:asciiTheme="minorEastAsia" w:hAnsiTheme="minorEastAsia" w:eastAsiaTheme="minorEastAsia" w:cstheme="minorEastAsia"/>
                <w:szCs w:val="20"/>
                <w:highlight w:val="none"/>
                <w:lang w:val="zh-CN"/>
              </w:rPr>
            </w:pPr>
            <w:r>
              <w:rPr>
                <w:rFonts w:hint="eastAsia" w:asciiTheme="minorEastAsia" w:hAnsiTheme="minorEastAsia" w:eastAsiaTheme="minorEastAsia" w:cstheme="minorEastAsia"/>
                <w:szCs w:val="20"/>
                <w:highlight w:val="none"/>
                <w:lang w:val="zh-CN"/>
              </w:rPr>
              <w:t>设计和施工</w:t>
            </w:r>
          </w:p>
          <w:p>
            <w:pPr>
              <w:widowControl/>
              <w:spacing w:line="360" w:lineRule="exact"/>
              <w:jc w:val="center"/>
              <w:rPr>
                <w:rFonts w:hint="eastAsia" w:asciiTheme="minorEastAsia" w:hAnsiTheme="minorEastAsia" w:eastAsiaTheme="minorEastAsia" w:cstheme="minorEastAsia"/>
                <w:szCs w:val="20"/>
                <w:highlight w:val="none"/>
                <w:lang w:val="zh-CN"/>
              </w:rPr>
            </w:pPr>
            <w:r>
              <w:rPr>
                <w:rFonts w:hint="eastAsia" w:asciiTheme="minorEastAsia" w:hAnsiTheme="minorEastAsia" w:eastAsiaTheme="minorEastAsia" w:cstheme="minorEastAsia"/>
                <w:szCs w:val="20"/>
                <w:highlight w:val="none"/>
                <w:lang w:val="zh-CN"/>
              </w:rPr>
              <w:t>的融合措施</w:t>
            </w:r>
          </w:p>
          <w:p>
            <w:pPr>
              <w:widowControl/>
              <w:spacing w:line="360" w:lineRule="exact"/>
              <w:jc w:val="center"/>
              <w:rPr>
                <w:rFonts w:hint="eastAsia" w:asciiTheme="minorEastAsia" w:hAnsiTheme="minorEastAsia" w:eastAsiaTheme="minorEastAsia" w:cstheme="minorEastAsia"/>
                <w:szCs w:val="20"/>
                <w:highlight w:val="none"/>
                <w:lang w:val="zh-CN"/>
              </w:rPr>
            </w:pPr>
            <w:r>
              <w:rPr>
                <w:rFonts w:hint="eastAsia" w:asciiTheme="minorEastAsia" w:hAnsiTheme="minorEastAsia" w:eastAsiaTheme="minorEastAsia" w:cstheme="minorEastAsia"/>
                <w:szCs w:val="20"/>
                <w:highlight w:val="none"/>
                <w:lang w:val="zh-CN"/>
              </w:rPr>
              <w:t>（1</w:t>
            </w:r>
            <w:r>
              <w:rPr>
                <w:rFonts w:hint="eastAsia" w:asciiTheme="minorEastAsia" w:hAnsiTheme="minorEastAsia" w:eastAsiaTheme="minorEastAsia" w:cstheme="minorEastAsia"/>
                <w:szCs w:val="20"/>
                <w:highlight w:val="none"/>
                <w:lang w:val="en-US" w:eastAsia="zh-CN"/>
              </w:rPr>
              <w:t>4</w:t>
            </w:r>
            <w:r>
              <w:rPr>
                <w:rFonts w:hint="eastAsia" w:asciiTheme="minorEastAsia" w:hAnsiTheme="minorEastAsia" w:eastAsiaTheme="minorEastAsia" w:cstheme="minorEastAsia"/>
                <w:szCs w:val="20"/>
                <w:highlight w:val="none"/>
                <w:lang w:val="zh-CN"/>
              </w:rPr>
              <w:t>分）</w:t>
            </w:r>
          </w:p>
        </w:tc>
        <w:tc>
          <w:tcPr>
            <w:tcW w:w="11321" w:type="dxa"/>
            <w:vAlign w:val="center"/>
          </w:tcPr>
          <w:p>
            <w:pPr>
              <w:widowControl/>
              <w:spacing w:line="360" w:lineRule="exact"/>
              <w:jc w:val="left"/>
              <w:rPr>
                <w:rFonts w:hint="eastAsia" w:asciiTheme="minorEastAsia" w:hAnsiTheme="minorEastAsia" w:eastAsiaTheme="minorEastAsia" w:cstheme="minorEastAsia"/>
                <w:szCs w:val="20"/>
                <w:highlight w:val="none"/>
                <w:lang w:val="zh-CN"/>
              </w:rPr>
            </w:pPr>
            <w:r>
              <w:rPr>
                <w:rFonts w:hint="eastAsia" w:asciiTheme="minorEastAsia" w:hAnsiTheme="minorEastAsia" w:eastAsiaTheme="minorEastAsia" w:cstheme="minorEastAsia"/>
                <w:b/>
                <w:szCs w:val="21"/>
                <w:highlight w:val="none"/>
                <w:lang w:val="zh-CN"/>
              </w:rPr>
              <w:t>优：</w:t>
            </w:r>
            <w:r>
              <w:rPr>
                <w:rFonts w:hint="eastAsia" w:asciiTheme="minorEastAsia" w:hAnsiTheme="minorEastAsia" w:eastAsiaTheme="minorEastAsia" w:cstheme="minorEastAsia"/>
                <w:szCs w:val="20"/>
                <w:highlight w:val="none"/>
                <w:lang w:val="zh-CN"/>
              </w:rPr>
              <w:t>有设计施工融合措施，且措施合理，[</w:t>
            </w:r>
            <w:r>
              <w:rPr>
                <w:rFonts w:hint="eastAsia" w:asciiTheme="minorEastAsia" w:hAnsiTheme="minorEastAsia" w:eastAsiaTheme="minorEastAsia" w:cstheme="minorEastAsia"/>
                <w:szCs w:val="20"/>
                <w:highlight w:val="none"/>
                <w:lang w:val="en-US" w:eastAsia="zh-CN"/>
              </w:rPr>
              <w:t>11</w:t>
            </w:r>
            <w:r>
              <w:rPr>
                <w:rFonts w:hint="eastAsia" w:asciiTheme="minorEastAsia" w:hAnsiTheme="minorEastAsia" w:eastAsiaTheme="minorEastAsia" w:cstheme="minorEastAsia"/>
                <w:szCs w:val="20"/>
                <w:highlight w:val="none"/>
                <w:lang w:val="zh-CN"/>
              </w:rPr>
              <w:t>,1</w:t>
            </w:r>
            <w:r>
              <w:rPr>
                <w:rFonts w:hint="eastAsia" w:asciiTheme="minorEastAsia" w:hAnsiTheme="minorEastAsia" w:eastAsiaTheme="minorEastAsia" w:cstheme="minorEastAsia"/>
                <w:szCs w:val="20"/>
                <w:highlight w:val="none"/>
                <w:lang w:val="en-US" w:eastAsia="zh-CN"/>
              </w:rPr>
              <w:t>4</w:t>
            </w:r>
            <w:r>
              <w:rPr>
                <w:rFonts w:hint="eastAsia" w:asciiTheme="minorEastAsia" w:hAnsiTheme="minorEastAsia" w:eastAsiaTheme="minorEastAsia" w:cstheme="minorEastAsia"/>
                <w:szCs w:val="20"/>
                <w:highlight w:val="none"/>
                <w:lang w:val="zh-CN"/>
              </w:rPr>
              <w:t>]分；</w:t>
            </w:r>
          </w:p>
          <w:p>
            <w:pPr>
              <w:widowControl/>
              <w:spacing w:line="360" w:lineRule="exact"/>
              <w:jc w:val="left"/>
              <w:rPr>
                <w:rFonts w:hint="eastAsia" w:asciiTheme="minorEastAsia" w:hAnsiTheme="minorEastAsia" w:eastAsiaTheme="minorEastAsia" w:cstheme="minorEastAsia"/>
                <w:szCs w:val="20"/>
                <w:highlight w:val="none"/>
                <w:lang w:val="zh-CN"/>
              </w:rPr>
            </w:pPr>
            <w:r>
              <w:rPr>
                <w:rFonts w:hint="eastAsia" w:asciiTheme="minorEastAsia" w:hAnsiTheme="minorEastAsia" w:eastAsiaTheme="minorEastAsia" w:cstheme="minorEastAsia"/>
                <w:b/>
                <w:bCs/>
                <w:szCs w:val="20"/>
                <w:highlight w:val="none"/>
                <w:lang w:val="zh-CN"/>
              </w:rPr>
              <w:t>良</w:t>
            </w:r>
            <w:r>
              <w:rPr>
                <w:rFonts w:hint="eastAsia" w:asciiTheme="minorEastAsia" w:hAnsiTheme="minorEastAsia" w:eastAsiaTheme="minorEastAsia" w:cstheme="minorEastAsia"/>
                <w:szCs w:val="20"/>
                <w:highlight w:val="none"/>
                <w:lang w:val="zh-CN"/>
              </w:rPr>
              <w:t>：有设计施工融合措施，且措施基本合理，[</w:t>
            </w:r>
            <w:r>
              <w:rPr>
                <w:rFonts w:hint="eastAsia" w:asciiTheme="minorEastAsia" w:hAnsiTheme="minorEastAsia" w:eastAsiaTheme="minorEastAsia" w:cstheme="minorEastAsia"/>
                <w:szCs w:val="20"/>
                <w:highlight w:val="none"/>
                <w:lang w:val="en-US" w:eastAsia="zh-CN"/>
              </w:rPr>
              <w:t>7</w:t>
            </w:r>
            <w:r>
              <w:rPr>
                <w:rFonts w:hint="eastAsia" w:asciiTheme="minorEastAsia" w:hAnsiTheme="minorEastAsia" w:eastAsiaTheme="minorEastAsia" w:cstheme="minorEastAsia"/>
                <w:szCs w:val="20"/>
                <w:highlight w:val="none"/>
                <w:lang w:val="zh-CN"/>
              </w:rPr>
              <w:t>,</w:t>
            </w:r>
            <w:r>
              <w:rPr>
                <w:rFonts w:hint="eastAsia" w:asciiTheme="minorEastAsia" w:hAnsiTheme="minorEastAsia" w:eastAsiaTheme="minorEastAsia" w:cstheme="minorEastAsia"/>
                <w:szCs w:val="20"/>
                <w:highlight w:val="none"/>
                <w:lang w:val="en-US" w:eastAsia="zh-CN"/>
              </w:rPr>
              <w:t>10</w:t>
            </w:r>
            <w:r>
              <w:rPr>
                <w:rFonts w:hint="eastAsia" w:asciiTheme="minorEastAsia" w:hAnsiTheme="minorEastAsia" w:eastAsiaTheme="minorEastAsia" w:cstheme="minorEastAsia"/>
                <w:szCs w:val="20"/>
                <w:highlight w:val="none"/>
                <w:lang w:val="zh-CN"/>
              </w:rPr>
              <w:t>]分；</w:t>
            </w:r>
          </w:p>
          <w:p>
            <w:pPr>
              <w:widowControl/>
              <w:spacing w:line="360" w:lineRule="exact"/>
              <w:jc w:val="left"/>
              <w:rPr>
                <w:rFonts w:hint="eastAsia" w:asciiTheme="minorEastAsia" w:hAnsiTheme="minorEastAsia" w:eastAsiaTheme="minorEastAsia" w:cstheme="minorEastAsia"/>
                <w:szCs w:val="20"/>
                <w:highlight w:val="none"/>
                <w:lang w:val="zh-CN"/>
              </w:rPr>
            </w:pPr>
            <w:r>
              <w:rPr>
                <w:rFonts w:hint="eastAsia" w:asciiTheme="minorEastAsia" w:hAnsiTheme="minorEastAsia" w:eastAsiaTheme="minorEastAsia" w:cstheme="minorEastAsia"/>
                <w:b/>
                <w:bCs/>
                <w:szCs w:val="20"/>
                <w:highlight w:val="none"/>
                <w:lang w:val="zh-CN"/>
              </w:rPr>
              <w:t>中</w:t>
            </w:r>
            <w:r>
              <w:rPr>
                <w:rFonts w:hint="eastAsia" w:asciiTheme="minorEastAsia" w:hAnsiTheme="minorEastAsia" w:eastAsiaTheme="minorEastAsia" w:cstheme="minorEastAsia"/>
                <w:szCs w:val="20"/>
                <w:highlight w:val="none"/>
                <w:lang w:val="zh-CN"/>
              </w:rPr>
              <w:t>：有设计施工融合措施，且措施欠合理，[</w:t>
            </w:r>
            <w:r>
              <w:rPr>
                <w:rFonts w:hint="eastAsia" w:asciiTheme="minorEastAsia" w:hAnsiTheme="minorEastAsia" w:eastAsiaTheme="minorEastAsia" w:cstheme="minorEastAsia"/>
                <w:szCs w:val="20"/>
                <w:highlight w:val="none"/>
                <w:lang w:val="en-US" w:eastAsia="zh-CN"/>
              </w:rPr>
              <w:t>1</w:t>
            </w:r>
            <w:r>
              <w:rPr>
                <w:rFonts w:hint="eastAsia" w:asciiTheme="minorEastAsia" w:hAnsiTheme="minorEastAsia" w:eastAsiaTheme="minorEastAsia" w:cstheme="minorEastAsia"/>
                <w:szCs w:val="20"/>
                <w:highlight w:val="none"/>
                <w:lang w:val="zh-CN"/>
              </w:rPr>
              <w:t>,</w:t>
            </w:r>
            <w:r>
              <w:rPr>
                <w:rFonts w:hint="eastAsia" w:asciiTheme="minorEastAsia" w:hAnsiTheme="minorEastAsia" w:eastAsiaTheme="minorEastAsia" w:cstheme="minorEastAsia"/>
                <w:szCs w:val="20"/>
                <w:highlight w:val="none"/>
                <w:lang w:val="en-US" w:eastAsia="zh-CN"/>
              </w:rPr>
              <w:t>6</w:t>
            </w:r>
            <w:r>
              <w:rPr>
                <w:rFonts w:hint="eastAsia" w:asciiTheme="minorEastAsia" w:hAnsiTheme="minorEastAsia" w:eastAsiaTheme="minorEastAsia" w:cstheme="minorEastAsia"/>
                <w:szCs w:val="20"/>
                <w:highlight w:val="none"/>
                <w:lang w:val="zh-CN"/>
              </w:rPr>
              <w:t>]分；</w:t>
            </w:r>
          </w:p>
          <w:p>
            <w:pPr>
              <w:widowControl/>
              <w:spacing w:line="360" w:lineRule="exact"/>
              <w:jc w:val="left"/>
              <w:rPr>
                <w:rFonts w:hint="eastAsia" w:asciiTheme="minorEastAsia" w:hAnsiTheme="minorEastAsia" w:eastAsiaTheme="minorEastAsia" w:cstheme="minorEastAsia"/>
                <w:b/>
                <w:szCs w:val="21"/>
                <w:highlight w:val="none"/>
                <w:lang w:val="zh-CN"/>
              </w:rPr>
            </w:pPr>
            <w:r>
              <w:rPr>
                <w:rFonts w:hint="eastAsia" w:asciiTheme="minorEastAsia" w:hAnsiTheme="minorEastAsia" w:eastAsiaTheme="minorEastAsia" w:cstheme="minorEastAsia"/>
                <w:b/>
                <w:bCs/>
                <w:szCs w:val="20"/>
                <w:highlight w:val="none"/>
                <w:lang w:val="zh-CN"/>
              </w:rPr>
              <w:t>差</w:t>
            </w:r>
            <w:r>
              <w:rPr>
                <w:rFonts w:hint="eastAsia" w:asciiTheme="minorEastAsia" w:hAnsiTheme="minorEastAsia" w:eastAsiaTheme="minorEastAsia" w:cstheme="minorEastAsia"/>
                <w:szCs w:val="20"/>
                <w:highlight w:val="none"/>
                <w:lang w:val="zh-CN"/>
              </w:rPr>
              <w:t>：不满足前述要求者，得0分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 w:type="dxa"/>
            <w:bottom w:w="85" w:type="dxa"/>
            <w:right w:w="10" w:type="dxa"/>
          </w:tblCellMar>
        </w:tblPrEx>
        <w:trPr>
          <w:trHeight w:val="90" w:hRule="atLeast"/>
          <w:jc w:val="center"/>
        </w:trPr>
        <w:tc>
          <w:tcPr>
            <w:tcW w:w="1231" w:type="dxa"/>
            <w:vMerge w:val="continue"/>
            <w:vAlign w:val="center"/>
          </w:tcPr>
          <w:p>
            <w:pPr>
              <w:widowControl/>
              <w:spacing w:line="360" w:lineRule="exact"/>
              <w:jc w:val="center"/>
              <w:rPr>
                <w:rFonts w:hint="eastAsia" w:asciiTheme="minorEastAsia" w:hAnsiTheme="minorEastAsia" w:eastAsiaTheme="minorEastAsia" w:cstheme="minorEastAsia"/>
                <w:szCs w:val="20"/>
                <w:highlight w:val="none"/>
                <w:lang w:val="zh-CN"/>
              </w:rPr>
            </w:pPr>
          </w:p>
        </w:tc>
        <w:tc>
          <w:tcPr>
            <w:tcW w:w="1430" w:type="dxa"/>
            <w:vAlign w:val="center"/>
          </w:tcPr>
          <w:p>
            <w:pPr>
              <w:widowControl/>
              <w:spacing w:line="360" w:lineRule="exact"/>
              <w:jc w:val="center"/>
              <w:rPr>
                <w:rFonts w:hint="eastAsia" w:asciiTheme="minorEastAsia" w:hAnsiTheme="minorEastAsia" w:eastAsiaTheme="minorEastAsia" w:cstheme="minorEastAsia"/>
                <w:szCs w:val="20"/>
                <w:highlight w:val="none"/>
                <w:lang w:val="zh-CN"/>
              </w:rPr>
            </w:pPr>
            <w:r>
              <w:rPr>
                <w:rFonts w:hint="eastAsia" w:asciiTheme="minorEastAsia" w:hAnsiTheme="minorEastAsia" w:eastAsiaTheme="minorEastAsia" w:cstheme="minorEastAsia"/>
                <w:szCs w:val="20"/>
                <w:highlight w:val="none"/>
                <w:lang w:val="zh-CN"/>
              </w:rPr>
              <w:t>绿色节能</w:t>
            </w:r>
          </w:p>
          <w:p>
            <w:pPr>
              <w:widowControl/>
              <w:spacing w:line="360" w:lineRule="exact"/>
              <w:jc w:val="center"/>
              <w:rPr>
                <w:rFonts w:hint="eastAsia" w:asciiTheme="minorEastAsia" w:hAnsiTheme="minorEastAsia" w:eastAsiaTheme="minorEastAsia" w:cstheme="minorEastAsia"/>
                <w:szCs w:val="20"/>
                <w:highlight w:val="none"/>
                <w:lang w:val="zh-CN"/>
              </w:rPr>
            </w:pPr>
            <w:r>
              <w:rPr>
                <w:rFonts w:hint="eastAsia" w:asciiTheme="minorEastAsia" w:hAnsiTheme="minorEastAsia" w:eastAsiaTheme="minorEastAsia" w:cstheme="minorEastAsia"/>
                <w:szCs w:val="20"/>
                <w:highlight w:val="none"/>
                <w:lang w:val="zh-CN"/>
              </w:rPr>
              <w:t>控制措施</w:t>
            </w:r>
          </w:p>
          <w:p>
            <w:pPr>
              <w:widowControl/>
              <w:spacing w:line="360" w:lineRule="exact"/>
              <w:jc w:val="center"/>
              <w:rPr>
                <w:rFonts w:hint="eastAsia" w:asciiTheme="minorEastAsia" w:hAnsiTheme="minorEastAsia" w:eastAsiaTheme="minorEastAsia" w:cstheme="minorEastAsia"/>
                <w:szCs w:val="20"/>
                <w:highlight w:val="none"/>
                <w:lang w:val="zh-CN"/>
              </w:rPr>
            </w:pPr>
            <w:r>
              <w:rPr>
                <w:rFonts w:hint="eastAsia" w:asciiTheme="minorEastAsia" w:hAnsiTheme="minorEastAsia" w:eastAsiaTheme="minorEastAsia" w:cstheme="minorEastAsia"/>
                <w:szCs w:val="20"/>
                <w:highlight w:val="none"/>
                <w:lang w:val="zh-CN"/>
              </w:rPr>
              <w:t>（1</w:t>
            </w:r>
            <w:r>
              <w:rPr>
                <w:rFonts w:hint="eastAsia" w:asciiTheme="minorEastAsia" w:hAnsiTheme="minorEastAsia" w:eastAsiaTheme="minorEastAsia" w:cstheme="minorEastAsia"/>
                <w:szCs w:val="20"/>
                <w:highlight w:val="none"/>
                <w:lang w:val="en-US" w:eastAsia="zh-CN"/>
              </w:rPr>
              <w:t>2</w:t>
            </w:r>
            <w:r>
              <w:rPr>
                <w:rFonts w:hint="eastAsia" w:asciiTheme="minorEastAsia" w:hAnsiTheme="minorEastAsia" w:eastAsiaTheme="minorEastAsia" w:cstheme="minorEastAsia"/>
                <w:szCs w:val="20"/>
                <w:highlight w:val="none"/>
                <w:lang w:val="zh-CN"/>
              </w:rPr>
              <w:t>分）</w:t>
            </w:r>
          </w:p>
        </w:tc>
        <w:tc>
          <w:tcPr>
            <w:tcW w:w="11321" w:type="dxa"/>
            <w:vAlign w:val="center"/>
          </w:tcPr>
          <w:p>
            <w:pPr>
              <w:widowControl/>
              <w:spacing w:line="360" w:lineRule="exact"/>
              <w:ind w:left="422" w:hanging="422" w:hangingChars="200"/>
              <w:jc w:val="left"/>
              <w:rPr>
                <w:rFonts w:hint="eastAsia" w:asciiTheme="minorEastAsia" w:hAnsiTheme="minorEastAsia" w:eastAsiaTheme="minorEastAsia" w:cstheme="minorEastAsia"/>
                <w:szCs w:val="20"/>
                <w:highlight w:val="none"/>
                <w:lang w:val="zh-CN"/>
              </w:rPr>
            </w:pPr>
            <w:r>
              <w:rPr>
                <w:rFonts w:hint="eastAsia" w:asciiTheme="minorEastAsia" w:hAnsiTheme="minorEastAsia" w:eastAsiaTheme="minorEastAsia" w:cstheme="minorEastAsia"/>
                <w:b/>
                <w:szCs w:val="21"/>
                <w:highlight w:val="none"/>
                <w:lang w:val="zh-CN"/>
              </w:rPr>
              <w:t>优：</w:t>
            </w:r>
            <w:r>
              <w:rPr>
                <w:rFonts w:hint="eastAsia" w:asciiTheme="minorEastAsia" w:hAnsiTheme="minorEastAsia" w:eastAsiaTheme="minorEastAsia" w:cstheme="minorEastAsia"/>
                <w:szCs w:val="20"/>
                <w:highlight w:val="none"/>
                <w:lang w:val="zh-CN"/>
              </w:rPr>
              <w:t>有绿色施工管理体系、绿色施工措施、市容市貌保护措施，并确保按建筑工地绿色施工（“四节一环保”），积极推进建筑工地绿色施工工作，[</w:t>
            </w:r>
            <w:r>
              <w:rPr>
                <w:rFonts w:hint="eastAsia" w:asciiTheme="minorEastAsia" w:hAnsiTheme="minorEastAsia" w:eastAsiaTheme="minorEastAsia" w:cstheme="minorEastAsia"/>
                <w:szCs w:val="20"/>
                <w:highlight w:val="none"/>
                <w:lang w:val="en-US" w:eastAsia="zh-CN"/>
              </w:rPr>
              <w:t>9</w:t>
            </w:r>
            <w:r>
              <w:rPr>
                <w:rFonts w:hint="eastAsia" w:asciiTheme="minorEastAsia" w:hAnsiTheme="minorEastAsia" w:eastAsiaTheme="minorEastAsia" w:cstheme="minorEastAsia"/>
                <w:szCs w:val="20"/>
                <w:highlight w:val="none"/>
                <w:lang w:val="zh-CN"/>
              </w:rPr>
              <w:t>,1</w:t>
            </w:r>
            <w:r>
              <w:rPr>
                <w:rFonts w:hint="eastAsia" w:asciiTheme="minorEastAsia" w:hAnsiTheme="minorEastAsia" w:eastAsiaTheme="minorEastAsia" w:cstheme="minorEastAsia"/>
                <w:szCs w:val="20"/>
                <w:highlight w:val="none"/>
                <w:lang w:val="en-US" w:eastAsia="zh-CN"/>
              </w:rPr>
              <w:t>2</w:t>
            </w:r>
            <w:r>
              <w:rPr>
                <w:rFonts w:hint="eastAsia" w:asciiTheme="minorEastAsia" w:hAnsiTheme="minorEastAsia" w:eastAsiaTheme="minorEastAsia" w:cstheme="minorEastAsia"/>
                <w:szCs w:val="20"/>
                <w:highlight w:val="none"/>
                <w:lang w:val="zh-CN"/>
              </w:rPr>
              <w:t>]分；</w:t>
            </w:r>
          </w:p>
          <w:p>
            <w:pPr>
              <w:widowControl/>
              <w:spacing w:line="360" w:lineRule="exact"/>
              <w:jc w:val="left"/>
              <w:rPr>
                <w:rFonts w:hint="eastAsia" w:asciiTheme="minorEastAsia" w:hAnsiTheme="minorEastAsia" w:eastAsiaTheme="minorEastAsia" w:cstheme="minorEastAsia"/>
                <w:szCs w:val="20"/>
                <w:highlight w:val="none"/>
                <w:lang w:val="zh-CN"/>
              </w:rPr>
            </w:pPr>
            <w:r>
              <w:rPr>
                <w:rFonts w:hint="eastAsia" w:asciiTheme="minorEastAsia" w:hAnsiTheme="minorEastAsia" w:eastAsiaTheme="minorEastAsia" w:cstheme="minorEastAsia"/>
                <w:b/>
                <w:szCs w:val="21"/>
                <w:highlight w:val="none"/>
                <w:lang w:val="zh-CN"/>
              </w:rPr>
              <w:t>良：</w:t>
            </w:r>
            <w:r>
              <w:rPr>
                <w:rFonts w:hint="eastAsia" w:asciiTheme="minorEastAsia" w:hAnsiTheme="minorEastAsia" w:eastAsiaTheme="minorEastAsia" w:cstheme="minorEastAsia"/>
                <w:szCs w:val="20"/>
                <w:highlight w:val="none"/>
                <w:lang w:val="zh-CN"/>
              </w:rPr>
              <w:t>有绿色施工管理体系、绿色施工措施、市容市貌保护措施，且措施基本合理，[5,</w:t>
            </w:r>
            <w:r>
              <w:rPr>
                <w:rFonts w:hint="eastAsia" w:asciiTheme="minorEastAsia" w:hAnsiTheme="minorEastAsia" w:eastAsiaTheme="minorEastAsia" w:cstheme="minorEastAsia"/>
                <w:szCs w:val="20"/>
                <w:highlight w:val="none"/>
                <w:lang w:val="en-US" w:eastAsia="zh-CN"/>
              </w:rPr>
              <w:t>8</w:t>
            </w:r>
            <w:r>
              <w:rPr>
                <w:rFonts w:hint="eastAsia" w:asciiTheme="minorEastAsia" w:hAnsiTheme="minorEastAsia" w:eastAsiaTheme="minorEastAsia" w:cstheme="minorEastAsia"/>
                <w:szCs w:val="20"/>
                <w:highlight w:val="none"/>
                <w:lang w:val="zh-CN"/>
              </w:rPr>
              <w:t>]分；</w:t>
            </w:r>
          </w:p>
          <w:p>
            <w:pPr>
              <w:widowControl/>
              <w:spacing w:line="360" w:lineRule="exact"/>
              <w:jc w:val="left"/>
              <w:rPr>
                <w:rFonts w:hint="eastAsia" w:asciiTheme="minorEastAsia" w:hAnsiTheme="minorEastAsia" w:eastAsiaTheme="minorEastAsia" w:cstheme="minorEastAsia"/>
                <w:szCs w:val="20"/>
                <w:highlight w:val="none"/>
                <w:lang w:val="zh-CN"/>
              </w:rPr>
            </w:pPr>
            <w:r>
              <w:rPr>
                <w:rFonts w:hint="eastAsia" w:asciiTheme="minorEastAsia" w:hAnsiTheme="minorEastAsia" w:eastAsiaTheme="minorEastAsia" w:cstheme="minorEastAsia"/>
                <w:b/>
                <w:szCs w:val="21"/>
                <w:highlight w:val="none"/>
                <w:lang w:val="zh-CN"/>
              </w:rPr>
              <w:t>中：</w:t>
            </w:r>
            <w:r>
              <w:rPr>
                <w:rFonts w:hint="eastAsia" w:asciiTheme="minorEastAsia" w:hAnsiTheme="minorEastAsia" w:eastAsiaTheme="minorEastAsia" w:cstheme="minorEastAsia"/>
                <w:szCs w:val="20"/>
                <w:highlight w:val="none"/>
                <w:lang w:val="zh-CN"/>
              </w:rPr>
              <w:t>有绿色施工管理体系、绿色施工措施，措施欠合理，[</w:t>
            </w:r>
            <w:r>
              <w:rPr>
                <w:rFonts w:hint="eastAsia" w:asciiTheme="minorEastAsia" w:hAnsiTheme="minorEastAsia" w:eastAsiaTheme="minorEastAsia" w:cstheme="minorEastAsia"/>
                <w:szCs w:val="20"/>
                <w:highlight w:val="none"/>
                <w:lang w:val="en-US" w:eastAsia="zh-CN"/>
              </w:rPr>
              <w:t>1</w:t>
            </w:r>
            <w:r>
              <w:rPr>
                <w:rFonts w:hint="eastAsia" w:asciiTheme="minorEastAsia" w:hAnsiTheme="minorEastAsia" w:eastAsiaTheme="minorEastAsia" w:cstheme="minorEastAsia"/>
                <w:szCs w:val="20"/>
                <w:highlight w:val="none"/>
                <w:lang w:val="zh-CN"/>
              </w:rPr>
              <w:t>,4]分；</w:t>
            </w:r>
          </w:p>
          <w:p>
            <w:pPr>
              <w:widowControl/>
              <w:spacing w:line="360" w:lineRule="exact"/>
              <w:jc w:val="left"/>
              <w:rPr>
                <w:rFonts w:hint="eastAsia" w:asciiTheme="minorEastAsia" w:hAnsiTheme="minorEastAsia" w:eastAsiaTheme="minorEastAsia" w:cstheme="minorEastAsia"/>
                <w:b/>
                <w:szCs w:val="21"/>
                <w:highlight w:val="none"/>
                <w:lang w:val="zh-CN"/>
              </w:rPr>
            </w:pPr>
            <w:r>
              <w:rPr>
                <w:rFonts w:hint="eastAsia" w:asciiTheme="minorEastAsia" w:hAnsiTheme="minorEastAsia" w:eastAsiaTheme="minorEastAsia" w:cstheme="minorEastAsia"/>
                <w:b/>
                <w:szCs w:val="21"/>
                <w:highlight w:val="none"/>
                <w:lang w:val="zh-CN"/>
              </w:rPr>
              <w:t>差</w:t>
            </w:r>
            <w:r>
              <w:rPr>
                <w:rFonts w:hint="eastAsia" w:asciiTheme="minorEastAsia" w:hAnsiTheme="minorEastAsia" w:eastAsiaTheme="minorEastAsia" w:cstheme="minorEastAsia"/>
                <w:szCs w:val="21"/>
                <w:highlight w:val="none"/>
                <w:lang w:val="zh-CN"/>
              </w:rPr>
              <w:t>：</w:t>
            </w:r>
            <w:r>
              <w:rPr>
                <w:rFonts w:hint="eastAsia" w:asciiTheme="minorEastAsia" w:hAnsiTheme="minorEastAsia" w:eastAsiaTheme="minorEastAsia" w:cstheme="minorEastAsia"/>
                <w:szCs w:val="20"/>
                <w:highlight w:val="none"/>
                <w:lang w:val="zh-CN"/>
              </w:rPr>
              <w:t>不满足前述要求者，得0分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 w:type="dxa"/>
            <w:bottom w:w="85" w:type="dxa"/>
            <w:right w:w="10" w:type="dxa"/>
          </w:tblCellMar>
        </w:tblPrEx>
        <w:trPr>
          <w:trHeight w:val="2832" w:hRule="atLeast"/>
          <w:jc w:val="center"/>
        </w:trPr>
        <w:tc>
          <w:tcPr>
            <w:tcW w:w="1231" w:type="dxa"/>
            <w:vMerge w:val="continue"/>
            <w:vAlign w:val="center"/>
          </w:tcPr>
          <w:p>
            <w:pPr>
              <w:widowControl/>
              <w:spacing w:line="360" w:lineRule="exact"/>
              <w:jc w:val="center"/>
              <w:rPr>
                <w:rFonts w:hint="eastAsia" w:asciiTheme="minorEastAsia" w:hAnsiTheme="minorEastAsia" w:eastAsiaTheme="minorEastAsia" w:cstheme="minorEastAsia"/>
                <w:szCs w:val="20"/>
                <w:highlight w:val="none"/>
                <w:lang w:val="zh-CN"/>
              </w:rPr>
            </w:pPr>
          </w:p>
        </w:tc>
        <w:tc>
          <w:tcPr>
            <w:tcW w:w="1430" w:type="dxa"/>
            <w:vAlign w:val="center"/>
          </w:tcPr>
          <w:p>
            <w:pPr>
              <w:widowControl/>
              <w:spacing w:line="360" w:lineRule="exact"/>
              <w:jc w:val="center"/>
              <w:rPr>
                <w:rFonts w:hint="eastAsia" w:asciiTheme="minorEastAsia" w:hAnsiTheme="minorEastAsia" w:eastAsiaTheme="minorEastAsia" w:cstheme="minorEastAsia"/>
                <w:szCs w:val="20"/>
                <w:highlight w:val="none"/>
                <w:lang w:val="zh-CN"/>
              </w:rPr>
            </w:pPr>
            <w:r>
              <w:rPr>
                <w:rFonts w:hint="eastAsia" w:asciiTheme="minorEastAsia" w:hAnsiTheme="minorEastAsia" w:eastAsiaTheme="minorEastAsia" w:cstheme="minorEastAsia"/>
                <w:szCs w:val="20"/>
                <w:highlight w:val="none"/>
                <w:lang w:val="zh-CN"/>
              </w:rPr>
              <w:t>安全控制措施</w:t>
            </w:r>
          </w:p>
          <w:p>
            <w:pPr>
              <w:widowControl/>
              <w:spacing w:line="360" w:lineRule="exact"/>
              <w:jc w:val="center"/>
              <w:rPr>
                <w:rFonts w:hint="eastAsia" w:asciiTheme="minorEastAsia" w:hAnsiTheme="minorEastAsia" w:eastAsiaTheme="minorEastAsia" w:cstheme="minorEastAsia"/>
                <w:szCs w:val="20"/>
                <w:highlight w:val="none"/>
                <w:lang w:val="zh-CN"/>
              </w:rPr>
            </w:pPr>
            <w:r>
              <w:rPr>
                <w:rFonts w:hint="eastAsia" w:asciiTheme="minorEastAsia" w:hAnsiTheme="minorEastAsia" w:eastAsiaTheme="minorEastAsia" w:cstheme="minorEastAsia"/>
                <w:szCs w:val="20"/>
                <w:highlight w:val="none"/>
                <w:lang w:val="zh-CN"/>
              </w:rPr>
              <w:t>（1</w:t>
            </w:r>
            <w:r>
              <w:rPr>
                <w:rFonts w:hint="eastAsia" w:asciiTheme="minorEastAsia" w:hAnsiTheme="minorEastAsia" w:eastAsiaTheme="minorEastAsia" w:cstheme="minorEastAsia"/>
                <w:szCs w:val="20"/>
                <w:highlight w:val="none"/>
                <w:lang w:val="en-US" w:eastAsia="zh-CN"/>
              </w:rPr>
              <w:t>2</w:t>
            </w:r>
            <w:r>
              <w:rPr>
                <w:rFonts w:hint="eastAsia" w:asciiTheme="minorEastAsia" w:hAnsiTheme="minorEastAsia" w:eastAsiaTheme="minorEastAsia" w:cstheme="minorEastAsia"/>
                <w:szCs w:val="20"/>
                <w:highlight w:val="none"/>
                <w:lang w:val="zh-CN"/>
              </w:rPr>
              <w:t>分）</w:t>
            </w:r>
          </w:p>
        </w:tc>
        <w:tc>
          <w:tcPr>
            <w:tcW w:w="11321" w:type="dxa"/>
            <w:vAlign w:val="center"/>
          </w:tcPr>
          <w:p>
            <w:pPr>
              <w:snapToGrid w:val="0"/>
              <w:spacing w:line="360" w:lineRule="exact"/>
              <w:ind w:left="422" w:hanging="422" w:hangingChars="200"/>
              <w:jc w:val="both"/>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
                <w:szCs w:val="21"/>
                <w:highlight w:val="none"/>
              </w:rPr>
              <w:t>优:</w:t>
            </w:r>
            <w:r>
              <w:rPr>
                <w:rFonts w:hint="eastAsia" w:asciiTheme="minorEastAsia" w:hAnsiTheme="minorEastAsia" w:eastAsiaTheme="minorEastAsia" w:cstheme="minorEastAsia"/>
                <w:bCs/>
                <w:szCs w:val="21"/>
                <w:highlight w:val="none"/>
              </w:rPr>
              <w:t>有安全保证体系、安全保证措施、消防保证措施，有文明施工保证体系、文明施工保证措施，有文明施工方案。措施针对性强，切实合理可行，</w:t>
            </w:r>
            <w:r>
              <w:rPr>
                <w:rFonts w:hint="eastAsia" w:asciiTheme="minorEastAsia" w:hAnsiTheme="minorEastAsia" w:eastAsiaTheme="minorEastAsia" w:cstheme="minorEastAsia"/>
                <w:szCs w:val="20"/>
                <w:highlight w:val="none"/>
                <w:lang w:val="zh-CN"/>
              </w:rPr>
              <w:t>[</w:t>
            </w:r>
            <w:r>
              <w:rPr>
                <w:rFonts w:hint="eastAsia" w:asciiTheme="minorEastAsia" w:hAnsiTheme="minorEastAsia" w:eastAsiaTheme="minorEastAsia" w:cstheme="minorEastAsia"/>
                <w:szCs w:val="20"/>
                <w:highlight w:val="none"/>
                <w:lang w:val="en-US" w:eastAsia="zh-CN"/>
              </w:rPr>
              <w:t>9</w:t>
            </w:r>
            <w:r>
              <w:rPr>
                <w:rFonts w:hint="eastAsia" w:asciiTheme="minorEastAsia" w:hAnsiTheme="minorEastAsia" w:eastAsiaTheme="minorEastAsia" w:cstheme="minorEastAsia"/>
                <w:szCs w:val="20"/>
                <w:highlight w:val="none"/>
                <w:lang w:val="zh-CN"/>
              </w:rPr>
              <w:t>,1</w:t>
            </w:r>
            <w:r>
              <w:rPr>
                <w:rFonts w:hint="eastAsia" w:asciiTheme="minorEastAsia" w:hAnsiTheme="minorEastAsia" w:eastAsiaTheme="minorEastAsia" w:cstheme="minorEastAsia"/>
                <w:szCs w:val="20"/>
                <w:highlight w:val="none"/>
                <w:lang w:val="en-US" w:eastAsia="zh-CN"/>
              </w:rPr>
              <w:t>2</w:t>
            </w:r>
            <w:r>
              <w:rPr>
                <w:rFonts w:hint="eastAsia" w:asciiTheme="minorEastAsia" w:hAnsiTheme="minorEastAsia" w:eastAsiaTheme="minorEastAsia" w:cstheme="minorEastAsia"/>
                <w:szCs w:val="20"/>
                <w:highlight w:val="none"/>
                <w:lang w:val="zh-CN"/>
              </w:rPr>
              <w:t>]</w:t>
            </w:r>
            <w:r>
              <w:rPr>
                <w:rFonts w:hint="eastAsia" w:asciiTheme="minorEastAsia" w:hAnsiTheme="minorEastAsia" w:eastAsiaTheme="minorEastAsia" w:cstheme="minorEastAsia"/>
                <w:bCs/>
                <w:szCs w:val="21"/>
                <w:highlight w:val="none"/>
              </w:rPr>
              <w:t>分；</w:t>
            </w:r>
          </w:p>
          <w:p>
            <w:pPr>
              <w:snapToGrid w:val="0"/>
              <w:spacing w:line="360" w:lineRule="exact"/>
              <w:ind w:left="422" w:hanging="422" w:hangingChars="200"/>
              <w:jc w:val="both"/>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
                <w:szCs w:val="21"/>
                <w:highlight w:val="none"/>
                <w:lang w:val="zh-CN"/>
              </w:rPr>
              <w:t>良：</w:t>
            </w:r>
            <w:r>
              <w:rPr>
                <w:rFonts w:hint="eastAsia" w:asciiTheme="minorEastAsia" w:hAnsiTheme="minorEastAsia" w:eastAsiaTheme="minorEastAsia" w:cstheme="minorEastAsia"/>
                <w:bCs/>
                <w:szCs w:val="21"/>
                <w:highlight w:val="none"/>
              </w:rPr>
              <w:t>有安全保证体系、安全保证措施、消防保证措施，有文明施工保证体系、文明施工保证措施，有文明施工方案。措施针对性较强，较合理可行，</w:t>
            </w:r>
            <w:r>
              <w:rPr>
                <w:rFonts w:hint="eastAsia" w:asciiTheme="minorEastAsia" w:hAnsiTheme="minorEastAsia" w:eastAsiaTheme="minorEastAsia" w:cstheme="minorEastAsia"/>
                <w:szCs w:val="20"/>
                <w:highlight w:val="none"/>
                <w:lang w:val="zh-CN"/>
              </w:rPr>
              <w:t>[5,</w:t>
            </w:r>
            <w:r>
              <w:rPr>
                <w:rFonts w:hint="eastAsia" w:asciiTheme="minorEastAsia" w:hAnsiTheme="minorEastAsia" w:eastAsiaTheme="minorEastAsia" w:cstheme="minorEastAsia"/>
                <w:szCs w:val="20"/>
                <w:highlight w:val="none"/>
                <w:lang w:val="en-US" w:eastAsia="zh-CN"/>
              </w:rPr>
              <w:t>8</w:t>
            </w:r>
            <w:r>
              <w:rPr>
                <w:rFonts w:hint="eastAsia" w:asciiTheme="minorEastAsia" w:hAnsiTheme="minorEastAsia" w:eastAsiaTheme="minorEastAsia" w:cstheme="minorEastAsia"/>
                <w:szCs w:val="20"/>
                <w:highlight w:val="none"/>
                <w:lang w:val="zh-CN"/>
              </w:rPr>
              <w:t>]</w:t>
            </w:r>
            <w:r>
              <w:rPr>
                <w:rFonts w:hint="eastAsia" w:asciiTheme="minorEastAsia" w:hAnsiTheme="minorEastAsia" w:eastAsiaTheme="minorEastAsia" w:cstheme="minorEastAsia"/>
                <w:bCs/>
                <w:szCs w:val="21"/>
                <w:highlight w:val="none"/>
              </w:rPr>
              <w:t>分；</w:t>
            </w:r>
          </w:p>
          <w:p>
            <w:pPr>
              <w:snapToGrid w:val="0"/>
              <w:spacing w:line="360" w:lineRule="exact"/>
              <w:ind w:left="422" w:hanging="422" w:hangingChars="200"/>
              <w:jc w:val="both"/>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
                <w:szCs w:val="21"/>
                <w:highlight w:val="none"/>
                <w:lang w:val="zh-CN"/>
              </w:rPr>
              <w:t>中：</w:t>
            </w:r>
            <w:r>
              <w:rPr>
                <w:rFonts w:hint="eastAsia" w:asciiTheme="minorEastAsia" w:hAnsiTheme="minorEastAsia" w:eastAsiaTheme="minorEastAsia" w:cstheme="minorEastAsia"/>
                <w:bCs/>
                <w:szCs w:val="21"/>
                <w:highlight w:val="none"/>
              </w:rPr>
              <w:t>有安全保证体系、安全保证措施、消防保证措施，有文明施工保证体系、文明施工保证措施，有文明施工方案。措施针对性一般，基本合理可行，</w:t>
            </w:r>
            <w:r>
              <w:rPr>
                <w:rFonts w:hint="eastAsia" w:asciiTheme="minorEastAsia" w:hAnsiTheme="minorEastAsia" w:eastAsiaTheme="minorEastAsia" w:cstheme="minorEastAsia"/>
                <w:szCs w:val="20"/>
                <w:highlight w:val="none"/>
                <w:lang w:val="zh-CN"/>
              </w:rPr>
              <w:t>[</w:t>
            </w:r>
            <w:r>
              <w:rPr>
                <w:rFonts w:hint="eastAsia" w:asciiTheme="minorEastAsia" w:hAnsiTheme="minorEastAsia" w:eastAsiaTheme="minorEastAsia" w:cstheme="minorEastAsia"/>
                <w:szCs w:val="20"/>
                <w:highlight w:val="none"/>
                <w:lang w:val="en-US" w:eastAsia="zh-CN"/>
              </w:rPr>
              <w:t>1</w:t>
            </w:r>
            <w:r>
              <w:rPr>
                <w:rFonts w:hint="eastAsia" w:asciiTheme="minorEastAsia" w:hAnsiTheme="minorEastAsia" w:eastAsiaTheme="minorEastAsia" w:cstheme="minorEastAsia"/>
                <w:szCs w:val="20"/>
                <w:highlight w:val="none"/>
                <w:lang w:val="zh-CN"/>
              </w:rPr>
              <w:t>,4]</w:t>
            </w:r>
            <w:r>
              <w:rPr>
                <w:rFonts w:hint="eastAsia" w:asciiTheme="minorEastAsia" w:hAnsiTheme="minorEastAsia" w:eastAsiaTheme="minorEastAsia" w:cstheme="minorEastAsia"/>
                <w:bCs/>
                <w:szCs w:val="21"/>
                <w:highlight w:val="none"/>
              </w:rPr>
              <w:t>分；</w:t>
            </w:r>
          </w:p>
          <w:p>
            <w:pPr>
              <w:widowControl/>
              <w:spacing w:line="360" w:lineRule="exact"/>
              <w:jc w:val="left"/>
              <w:rPr>
                <w:rFonts w:hint="eastAsia" w:asciiTheme="minorEastAsia" w:hAnsiTheme="minorEastAsia" w:eastAsiaTheme="minorEastAsia" w:cstheme="minorEastAsia"/>
                <w:b/>
                <w:szCs w:val="21"/>
                <w:highlight w:val="none"/>
                <w:lang w:val="zh-CN"/>
              </w:rPr>
            </w:pPr>
            <w:r>
              <w:rPr>
                <w:rFonts w:hint="eastAsia" w:asciiTheme="minorEastAsia" w:hAnsiTheme="minorEastAsia" w:eastAsiaTheme="minorEastAsia" w:cstheme="minorEastAsia"/>
                <w:b/>
                <w:szCs w:val="21"/>
                <w:highlight w:val="none"/>
                <w:lang w:val="zh-CN"/>
              </w:rPr>
              <w:t>差</w:t>
            </w:r>
            <w:r>
              <w:rPr>
                <w:rFonts w:hint="eastAsia" w:asciiTheme="minorEastAsia" w:hAnsiTheme="minorEastAsia" w:eastAsiaTheme="minorEastAsia" w:cstheme="minorEastAsia"/>
                <w:szCs w:val="21"/>
                <w:highlight w:val="none"/>
                <w:lang w:val="zh-CN"/>
              </w:rPr>
              <w:t>：</w:t>
            </w:r>
            <w:r>
              <w:rPr>
                <w:rFonts w:hint="eastAsia" w:asciiTheme="minorEastAsia" w:hAnsiTheme="minorEastAsia" w:eastAsiaTheme="minorEastAsia" w:cstheme="minorEastAsia"/>
                <w:bCs/>
                <w:szCs w:val="21"/>
                <w:highlight w:val="none"/>
              </w:rPr>
              <w:t>不满足前述要求者，得0分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 w:type="dxa"/>
            <w:bottom w:w="85" w:type="dxa"/>
            <w:right w:w="10" w:type="dxa"/>
          </w:tblCellMar>
        </w:tblPrEx>
        <w:trPr>
          <w:trHeight w:val="243" w:hRule="atLeast"/>
          <w:jc w:val="center"/>
        </w:trPr>
        <w:tc>
          <w:tcPr>
            <w:tcW w:w="1231" w:type="dxa"/>
            <w:vMerge w:val="continue"/>
            <w:vAlign w:val="center"/>
          </w:tcPr>
          <w:p>
            <w:pPr>
              <w:widowControl/>
              <w:spacing w:line="360" w:lineRule="exact"/>
              <w:jc w:val="center"/>
              <w:rPr>
                <w:rFonts w:hint="eastAsia" w:asciiTheme="minorEastAsia" w:hAnsiTheme="minorEastAsia" w:eastAsiaTheme="minorEastAsia" w:cstheme="minorEastAsia"/>
                <w:szCs w:val="20"/>
                <w:highlight w:val="none"/>
                <w:lang w:val="zh-CN"/>
              </w:rPr>
            </w:pPr>
          </w:p>
        </w:tc>
        <w:tc>
          <w:tcPr>
            <w:tcW w:w="1430" w:type="dxa"/>
            <w:vAlign w:val="center"/>
          </w:tcPr>
          <w:p>
            <w:pPr>
              <w:widowControl/>
              <w:spacing w:line="360" w:lineRule="exact"/>
              <w:jc w:val="center"/>
              <w:rPr>
                <w:rFonts w:hint="eastAsia" w:asciiTheme="minorEastAsia" w:hAnsiTheme="minorEastAsia" w:eastAsiaTheme="minorEastAsia" w:cstheme="minorEastAsia"/>
                <w:szCs w:val="21"/>
                <w:highlight w:val="none"/>
                <w:lang w:val="zh-CN"/>
              </w:rPr>
            </w:pPr>
            <w:r>
              <w:rPr>
                <w:rFonts w:hint="eastAsia" w:asciiTheme="minorEastAsia" w:hAnsiTheme="minorEastAsia" w:eastAsiaTheme="minorEastAsia" w:cstheme="minorEastAsia"/>
                <w:szCs w:val="21"/>
                <w:highlight w:val="none"/>
                <w:lang w:val="zh-CN"/>
              </w:rPr>
              <w:t>质量控制措施</w:t>
            </w:r>
          </w:p>
          <w:p>
            <w:pPr>
              <w:widowControl/>
              <w:spacing w:line="360" w:lineRule="exact"/>
              <w:jc w:val="center"/>
              <w:rPr>
                <w:rFonts w:hint="eastAsia" w:asciiTheme="minorEastAsia" w:hAnsiTheme="minorEastAsia" w:eastAsiaTheme="minorEastAsia" w:cstheme="minorEastAsia"/>
                <w:szCs w:val="20"/>
                <w:highlight w:val="none"/>
                <w:lang w:val="zh-CN"/>
              </w:rPr>
            </w:pPr>
            <w:r>
              <w:rPr>
                <w:rFonts w:hint="eastAsia" w:asciiTheme="minorEastAsia" w:hAnsiTheme="minorEastAsia" w:eastAsiaTheme="minorEastAsia" w:cstheme="minorEastAsia"/>
                <w:szCs w:val="20"/>
                <w:highlight w:val="none"/>
                <w:lang w:val="zh-CN"/>
              </w:rPr>
              <w:t>（1</w:t>
            </w:r>
            <w:r>
              <w:rPr>
                <w:rFonts w:hint="eastAsia" w:asciiTheme="minorEastAsia" w:hAnsiTheme="minorEastAsia" w:eastAsiaTheme="minorEastAsia" w:cstheme="minorEastAsia"/>
                <w:szCs w:val="20"/>
                <w:highlight w:val="none"/>
                <w:lang w:val="en-US" w:eastAsia="zh-CN"/>
              </w:rPr>
              <w:t>2</w:t>
            </w:r>
            <w:r>
              <w:rPr>
                <w:rFonts w:hint="eastAsia" w:asciiTheme="minorEastAsia" w:hAnsiTheme="minorEastAsia" w:eastAsiaTheme="minorEastAsia" w:cstheme="minorEastAsia"/>
                <w:szCs w:val="20"/>
                <w:highlight w:val="none"/>
                <w:lang w:val="zh-CN"/>
              </w:rPr>
              <w:t>分）</w:t>
            </w:r>
          </w:p>
        </w:tc>
        <w:tc>
          <w:tcPr>
            <w:tcW w:w="11321" w:type="dxa"/>
            <w:vAlign w:val="center"/>
          </w:tcPr>
          <w:p>
            <w:pPr>
              <w:widowControl/>
              <w:spacing w:line="360" w:lineRule="exact"/>
              <w:ind w:left="422" w:hanging="422" w:hangingChars="200"/>
              <w:jc w:val="both"/>
              <w:rPr>
                <w:rFonts w:hint="eastAsia" w:asciiTheme="minorEastAsia" w:hAnsiTheme="minorEastAsia" w:eastAsiaTheme="minorEastAsia" w:cstheme="minorEastAsia"/>
                <w:szCs w:val="21"/>
                <w:highlight w:val="none"/>
                <w:lang w:val="zh-CN"/>
              </w:rPr>
            </w:pPr>
            <w:r>
              <w:rPr>
                <w:rFonts w:hint="eastAsia" w:asciiTheme="minorEastAsia" w:hAnsiTheme="minorEastAsia" w:eastAsiaTheme="minorEastAsia" w:cstheme="minorEastAsia"/>
                <w:b/>
                <w:szCs w:val="21"/>
                <w:highlight w:val="none"/>
                <w:lang w:val="zh-CN"/>
              </w:rPr>
              <w:t>优：</w:t>
            </w:r>
            <w:r>
              <w:rPr>
                <w:rFonts w:hint="eastAsia" w:asciiTheme="minorEastAsia" w:hAnsiTheme="minorEastAsia" w:eastAsiaTheme="minorEastAsia" w:cstheme="minorEastAsia"/>
                <w:szCs w:val="21"/>
                <w:highlight w:val="none"/>
                <w:lang w:val="zh-CN"/>
              </w:rPr>
              <w:t>对工程（含设计和施工）质量管理措施难点分析及措施完整可行、针对性强的，创省级或以上优质工程，</w:t>
            </w:r>
            <w:r>
              <w:rPr>
                <w:rFonts w:hint="eastAsia" w:asciiTheme="minorEastAsia" w:hAnsiTheme="minorEastAsia" w:eastAsiaTheme="minorEastAsia" w:cstheme="minorEastAsia"/>
                <w:szCs w:val="20"/>
                <w:highlight w:val="none"/>
                <w:lang w:val="zh-CN"/>
              </w:rPr>
              <w:t>[</w:t>
            </w:r>
            <w:r>
              <w:rPr>
                <w:rFonts w:hint="eastAsia" w:asciiTheme="minorEastAsia" w:hAnsiTheme="minorEastAsia" w:eastAsiaTheme="minorEastAsia" w:cstheme="minorEastAsia"/>
                <w:szCs w:val="20"/>
                <w:highlight w:val="none"/>
                <w:lang w:val="en-US" w:eastAsia="zh-CN"/>
              </w:rPr>
              <w:t>9</w:t>
            </w:r>
            <w:r>
              <w:rPr>
                <w:rFonts w:hint="eastAsia" w:asciiTheme="minorEastAsia" w:hAnsiTheme="minorEastAsia" w:eastAsiaTheme="minorEastAsia" w:cstheme="minorEastAsia"/>
                <w:szCs w:val="20"/>
                <w:highlight w:val="none"/>
                <w:lang w:val="zh-CN"/>
              </w:rPr>
              <w:t>,1</w:t>
            </w:r>
            <w:r>
              <w:rPr>
                <w:rFonts w:hint="eastAsia" w:asciiTheme="minorEastAsia" w:hAnsiTheme="minorEastAsia" w:eastAsiaTheme="minorEastAsia" w:cstheme="minorEastAsia"/>
                <w:szCs w:val="20"/>
                <w:highlight w:val="none"/>
                <w:lang w:val="en-US" w:eastAsia="zh-CN"/>
              </w:rPr>
              <w:t>2</w:t>
            </w:r>
            <w:r>
              <w:rPr>
                <w:rFonts w:hint="eastAsia" w:asciiTheme="minorEastAsia" w:hAnsiTheme="minorEastAsia" w:eastAsiaTheme="minorEastAsia" w:cstheme="minorEastAsia"/>
                <w:szCs w:val="20"/>
                <w:highlight w:val="none"/>
                <w:lang w:val="zh-CN"/>
              </w:rPr>
              <w:t>]</w:t>
            </w:r>
            <w:r>
              <w:rPr>
                <w:rFonts w:hint="eastAsia" w:asciiTheme="minorEastAsia" w:hAnsiTheme="minorEastAsia" w:eastAsiaTheme="minorEastAsia" w:cstheme="minorEastAsia"/>
                <w:szCs w:val="21"/>
                <w:highlight w:val="none"/>
                <w:lang w:val="zh-CN"/>
              </w:rPr>
              <w:t>分；</w:t>
            </w:r>
          </w:p>
          <w:p>
            <w:pPr>
              <w:widowControl/>
              <w:spacing w:line="360" w:lineRule="exact"/>
              <w:ind w:left="422" w:hanging="422" w:hangingChars="200"/>
              <w:jc w:val="both"/>
              <w:rPr>
                <w:rFonts w:hint="eastAsia" w:asciiTheme="minorEastAsia" w:hAnsiTheme="minorEastAsia" w:eastAsiaTheme="minorEastAsia" w:cstheme="minorEastAsia"/>
                <w:szCs w:val="21"/>
                <w:highlight w:val="none"/>
                <w:lang w:val="zh-CN"/>
              </w:rPr>
            </w:pPr>
            <w:r>
              <w:rPr>
                <w:rFonts w:hint="eastAsia" w:asciiTheme="minorEastAsia" w:hAnsiTheme="minorEastAsia" w:eastAsiaTheme="minorEastAsia" w:cstheme="minorEastAsia"/>
                <w:b/>
                <w:szCs w:val="21"/>
                <w:highlight w:val="none"/>
                <w:lang w:val="zh-CN"/>
              </w:rPr>
              <w:t>良：</w:t>
            </w:r>
            <w:r>
              <w:rPr>
                <w:rFonts w:hint="eastAsia" w:asciiTheme="minorEastAsia" w:hAnsiTheme="minorEastAsia" w:eastAsiaTheme="minorEastAsia" w:cstheme="minorEastAsia"/>
                <w:szCs w:val="21"/>
                <w:highlight w:val="none"/>
                <w:lang w:val="zh-CN"/>
              </w:rPr>
              <w:t>对工程（含设计和施工）质量管理措施难点分析及措施较完整较可行、针对性较强的，创省级或以上优质工程，</w:t>
            </w:r>
            <w:r>
              <w:rPr>
                <w:rFonts w:hint="eastAsia" w:asciiTheme="minorEastAsia" w:hAnsiTheme="minorEastAsia" w:eastAsiaTheme="minorEastAsia" w:cstheme="minorEastAsia"/>
                <w:szCs w:val="20"/>
                <w:highlight w:val="none"/>
                <w:lang w:val="zh-CN"/>
              </w:rPr>
              <w:t>[5,</w:t>
            </w:r>
            <w:r>
              <w:rPr>
                <w:rFonts w:hint="eastAsia" w:asciiTheme="minorEastAsia" w:hAnsiTheme="minorEastAsia" w:eastAsiaTheme="minorEastAsia" w:cstheme="minorEastAsia"/>
                <w:szCs w:val="20"/>
                <w:highlight w:val="none"/>
                <w:lang w:val="en-US" w:eastAsia="zh-CN"/>
              </w:rPr>
              <w:t>8</w:t>
            </w:r>
            <w:r>
              <w:rPr>
                <w:rFonts w:hint="eastAsia" w:asciiTheme="minorEastAsia" w:hAnsiTheme="minorEastAsia" w:eastAsiaTheme="minorEastAsia" w:cstheme="minorEastAsia"/>
                <w:szCs w:val="20"/>
                <w:highlight w:val="none"/>
                <w:lang w:val="zh-CN"/>
              </w:rPr>
              <w:t>]</w:t>
            </w:r>
            <w:r>
              <w:rPr>
                <w:rFonts w:hint="eastAsia" w:asciiTheme="minorEastAsia" w:hAnsiTheme="minorEastAsia" w:eastAsiaTheme="minorEastAsia" w:cstheme="minorEastAsia"/>
                <w:szCs w:val="21"/>
                <w:highlight w:val="none"/>
                <w:lang w:val="zh-CN"/>
              </w:rPr>
              <w:t>分；</w:t>
            </w:r>
          </w:p>
          <w:p>
            <w:pPr>
              <w:widowControl/>
              <w:spacing w:line="360" w:lineRule="exact"/>
              <w:jc w:val="left"/>
              <w:rPr>
                <w:rFonts w:hint="eastAsia" w:asciiTheme="minorEastAsia" w:hAnsiTheme="minorEastAsia" w:eastAsiaTheme="minorEastAsia" w:cstheme="minorEastAsia"/>
                <w:szCs w:val="21"/>
                <w:highlight w:val="none"/>
                <w:lang w:val="zh-CN"/>
              </w:rPr>
            </w:pPr>
            <w:r>
              <w:rPr>
                <w:rFonts w:hint="eastAsia" w:asciiTheme="minorEastAsia" w:hAnsiTheme="minorEastAsia" w:eastAsiaTheme="minorEastAsia" w:cstheme="minorEastAsia"/>
                <w:b/>
                <w:szCs w:val="21"/>
                <w:highlight w:val="none"/>
                <w:lang w:val="zh-CN"/>
              </w:rPr>
              <w:t>中：</w:t>
            </w:r>
            <w:r>
              <w:rPr>
                <w:rFonts w:hint="eastAsia" w:asciiTheme="minorEastAsia" w:hAnsiTheme="minorEastAsia" w:eastAsiaTheme="minorEastAsia" w:cstheme="minorEastAsia"/>
                <w:szCs w:val="21"/>
                <w:highlight w:val="none"/>
                <w:lang w:val="zh-CN"/>
              </w:rPr>
              <w:t>对工程（含设计和施工）质量管理措施难点分析及措施基本可行、针对性一般的，</w:t>
            </w:r>
            <w:r>
              <w:rPr>
                <w:rFonts w:hint="eastAsia" w:asciiTheme="minorEastAsia" w:hAnsiTheme="minorEastAsia" w:eastAsiaTheme="minorEastAsia" w:cstheme="minorEastAsia"/>
                <w:szCs w:val="20"/>
                <w:highlight w:val="none"/>
                <w:lang w:val="zh-CN"/>
              </w:rPr>
              <w:t>[</w:t>
            </w:r>
            <w:r>
              <w:rPr>
                <w:rFonts w:hint="eastAsia" w:asciiTheme="minorEastAsia" w:hAnsiTheme="minorEastAsia" w:eastAsiaTheme="minorEastAsia" w:cstheme="minorEastAsia"/>
                <w:szCs w:val="20"/>
                <w:highlight w:val="none"/>
                <w:lang w:val="en-US" w:eastAsia="zh-CN"/>
              </w:rPr>
              <w:t>1</w:t>
            </w:r>
            <w:r>
              <w:rPr>
                <w:rFonts w:hint="eastAsia" w:asciiTheme="minorEastAsia" w:hAnsiTheme="minorEastAsia" w:eastAsiaTheme="minorEastAsia" w:cstheme="minorEastAsia"/>
                <w:szCs w:val="20"/>
                <w:highlight w:val="none"/>
                <w:lang w:val="zh-CN"/>
              </w:rPr>
              <w:t>,4]</w:t>
            </w:r>
            <w:r>
              <w:rPr>
                <w:rFonts w:hint="eastAsia" w:asciiTheme="minorEastAsia" w:hAnsiTheme="minorEastAsia" w:eastAsiaTheme="minorEastAsia" w:cstheme="minorEastAsia"/>
                <w:szCs w:val="21"/>
                <w:highlight w:val="none"/>
                <w:lang w:val="zh-CN"/>
              </w:rPr>
              <w:t>分；</w:t>
            </w:r>
          </w:p>
          <w:p>
            <w:pPr>
              <w:widowControl/>
              <w:spacing w:line="360" w:lineRule="exact"/>
              <w:jc w:val="left"/>
              <w:rPr>
                <w:rFonts w:hint="eastAsia" w:asciiTheme="minorEastAsia" w:hAnsiTheme="minorEastAsia" w:eastAsiaTheme="minorEastAsia" w:cstheme="minorEastAsia"/>
                <w:b/>
                <w:szCs w:val="21"/>
                <w:highlight w:val="none"/>
                <w:lang w:val="zh-CN"/>
              </w:rPr>
            </w:pPr>
            <w:r>
              <w:rPr>
                <w:rFonts w:hint="eastAsia" w:asciiTheme="minorEastAsia" w:hAnsiTheme="minorEastAsia" w:eastAsiaTheme="minorEastAsia" w:cstheme="minorEastAsia"/>
                <w:b/>
                <w:szCs w:val="21"/>
                <w:highlight w:val="none"/>
                <w:lang w:val="zh-CN"/>
              </w:rPr>
              <w:t>差</w:t>
            </w:r>
            <w:r>
              <w:rPr>
                <w:rFonts w:hint="eastAsia" w:asciiTheme="minorEastAsia" w:hAnsiTheme="minorEastAsia" w:eastAsiaTheme="minorEastAsia" w:cstheme="minorEastAsia"/>
                <w:szCs w:val="21"/>
                <w:highlight w:val="none"/>
                <w:lang w:val="zh-CN"/>
              </w:rPr>
              <w:t>：不满足前述要求者，得0分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 w:type="dxa"/>
            <w:bottom w:w="85" w:type="dxa"/>
            <w:right w:w="10" w:type="dxa"/>
          </w:tblCellMar>
        </w:tblPrEx>
        <w:trPr>
          <w:trHeight w:val="630" w:hRule="atLeast"/>
          <w:jc w:val="center"/>
        </w:trPr>
        <w:tc>
          <w:tcPr>
            <w:tcW w:w="1231" w:type="dxa"/>
            <w:vMerge w:val="continue"/>
            <w:vAlign w:val="center"/>
          </w:tcPr>
          <w:p>
            <w:pPr>
              <w:widowControl/>
              <w:spacing w:line="360" w:lineRule="exact"/>
              <w:jc w:val="center"/>
              <w:rPr>
                <w:rFonts w:hint="eastAsia" w:asciiTheme="minorEastAsia" w:hAnsiTheme="minorEastAsia" w:eastAsiaTheme="minorEastAsia" w:cstheme="minorEastAsia"/>
                <w:szCs w:val="20"/>
                <w:highlight w:val="none"/>
                <w:lang w:val="zh-CN"/>
              </w:rPr>
            </w:pPr>
          </w:p>
        </w:tc>
        <w:tc>
          <w:tcPr>
            <w:tcW w:w="1430" w:type="dxa"/>
            <w:vAlign w:val="center"/>
          </w:tcPr>
          <w:p>
            <w:pPr>
              <w:widowControl/>
              <w:spacing w:line="360" w:lineRule="exact"/>
              <w:jc w:val="center"/>
              <w:rPr>
                <w:rFonts w:hint="eastAsia" w:asciiTheme="minorEastAsia" w:hAnsiTheme="minorEastAsia" w:eastAsiaTheme="minorEastAsia" w:cstheme="minorEastAsia"/>
                <w:szCs w:val="20"/>
                <w:highlight w:val="none"/>
                <w:lang w:val="zh-CN"/>
              </w:rPr>
            </w:pPr>
            <w:r>
              <w:rPr>
                <w:rFonts w:hint="eastAsia" w:asciiTheme="minorEastAsia" w:hAnsiTheme="minorEastAsia" w:eastAsiaTheme="minorEastAsia" w:cstheme="minorEastAsia"/>
                <w:szCs w:val="20"/>
                <w:highlight w:val="none"/>
                <w:lang w:val="zh-CN"/>
              </w:rPr>
              <w:t>进度控制措施</w:t>
            </w:r>
          </w:p>
          <w:p>
            <w:pPr>
              <w:widowControl/>
              <w:spacing w:line="360" w:lineRule="exact"/>
              <w:jc w:val="center"/>
              <w:rPr>
                <w:rFonts w:hint="eastAsia" w:asciiTheme="minorEastAsia" w:hAnsiTheme="minorEastAsia" w:eastAsiaTheme="minorEastAsia" w:cstheme="minorEastAsia"/>
                <w:szCs w:val="21"/>
                <w:highlight w:val="none"/>
                <w:lang w:val="zh-CN"/>
              </w:rPr>
            </w:pPr>
            <w:r>
              <w:rPr>
                <w:rFonts w:hint="eastAsia" w:asciiTheme="minorEastAsia" w:hAnsiTheme="minorEastAsia" w:eastAsiaTheme="minorEastAsia" w:cstheme="minorEastAsia"/>
                <w:szCs w:val="20"/>
                <w:highlight w:val="none"/>
                <w:lang w:val="zh-CN"/>
              </w:rPr>
              <w:t>（1</w:t>
            </w:r>
            <w:r>
              <w:rPr>
                <w:rFonts w:hint="eastAsia" w:asciiTheme="minorEastAsia" w:hAnsiTheme="minorEastAsia" w:eastAsiaTheme="minorEastAsia" w:cstheme="minorEastAsia"/>
                <w:szCs w:val="20"/>
                <w:highlight w:val="none"/>
                <w:lang w:val="en-US" w:eastAsia="zh-CN"/>
              </w:rPr>
              <w:t>4</w:t>
            </w:r>
            <w:r>
              <w:rPr>
                <w:rFonts w:hint="eastAsia" w:asciiTheme="minorEastAsia" w:hAnsiTheme="minorEastAsia" w:eastAsiaTheme="minorEastAsia" w:cstheme="minorEastAsia"/>
                <w:szCs w:val="20"/>
                <w:highlight w:val="none"/>
                <w:lang w:val="zh-CN"/>
              </w:rPr>
              <w:t>分）</w:t>
            </w:r>
          </w:p>
        </w:tc>
        <w:tc>
          <w:tcPr>
            <w:tcW w:w="11321" w:type="dxa"/>
            <w:vAlign w:val="center"/>
          </w:tcPr>
          <w:p>
            <w:pPr>
              <w:widowControl/>
              <w:spacing w:line="360" w:lineRule="exact"/>
              <w:ind w:left="422" w:hanging="422" w:hangingChars="200"/>
              <w:jc w:val="both"/>
              <w:rPr>
                <w:rFonts w:hint="eastAsia" w:asciiTheme="minorEastAsia" w:hAnsiTheme="minorEastAsia" w:eastAsiaTheme="minorEastAsia" w:cstheme="minorEastAsia"/>
                <w:szCs w:val="20"/>
                <w:highlight w:val="none"/>
                <w:lang w:val="zh-CN"/>
              </w:rPr>
            </w:pPr>
            <w:r>
              <w:rPr>
                <w:rFonts w:hint="eastAsia" w:asciiTheme="minorEastAsia" w:hAnsiTheme="minorEastAsia" w:eastAsiaTheme="minorEastAsia" w:cstheme="minorEastAsia"/>
                <w:b/>
                <w:szCs w:val="21"/>
                <w:highlight w:val="none"/>
                <w:lang w:val="zh-CN"/>
              </w:rPr>
              <w:t>优：</w:t>
            </w:r>
            <w:r>
              <w:rPr>
                <w:rFonts w:hint="eastAsia" w:asciiTheme="minorEastAsia" w:hAnsiTheme="minorEastAsia" w:eastAsiaTheme="minorEastAsia" w:cstheme="minorEastAsia"/>
                <w:szCs w:val="20"/>
                <w:highlight w:val="none"/>
                <w:lang w:val="zh-CN"/>
              </w:rPr>
              <w:t>设计和施工进度控制措施齐全。施工总进度计划合理，保证措施强，投标人承诺施工工期比招标文件要求提前30日历天及以上，[</w:t>
            </w:r>
            <w:r>
              <w:rPr>
                <w:rFonts w:hint="eastAsia" w:asciiTheme="minorEastAsia" w:hAnsiTheme="minorEastAsia" w:eastAsiaTheme="minorEastAsia" w:cstheme="minorEastAsia"/>
                <w:szCs w:val="20"/>
                <w:highlight w:val="none"/>
                <w:lang w:val="en-US" w:eastAsia="zh-CN"/>
              </w:rPr>
              <w:t>11</w:t>
            </w:r>
            <w:r>
              <w:rPr>
                <w:rFonts w:hint="eastAsia" w:asciiTheme="minorEastAsia" w:hAnsiTheme="minorEastAsia" w:eastAsiaTheme="minorEastAsia" w:cstheme="minorEastAsia"/>
                <w:szCs w:val="20"/>
                <w:highlight w:val="none"/>
                <w:lang w:val="zh-CN"/>
              </w:rPr>
              <w:t>,1</w:t>
            </w:r>
            <w:r>
              <w:rPr>
                <w:rFonts w:hint="eastAsia" w:asciiTheme="minorEastAsia" w:hAnsiTheme="minorEastAsia" w:eastAsiaTheme="minorEastAsia" w:cstheme="minorEastAsia"/>
                <w:szCs w:val="20"/>
                <w:highlight w:val="none"/>
                <w:lang w:val="en-US" w:eastAsia="zh-CN"/>
              </w:rPr>
              <w:t>4</w:t>
            </w:r>
            <w:r>
              <w:rPr>
                <w:rFonts w:hint="eastAsia" w:asciiTheme="minorEastAsia" w:hAnsiTheme="minorEastAsia" w:eastAsiaTheme="minorEastAsia" w:cstheme="minorEastAsia"/>
                <w:szCs w:val="20"/>
                <w:highlight w:val="none"/>
                <w:lang w:val="zh-CN"/>
              </w:rPr>
              <w:t>]分；</w:t>
            </w:r>
          </w:p>
          <w:p>
            <w:pPr>
              <w:widowControl/>
              <w:spacing w:line="360" w:lineRule="exact"/>
              <w:ind w:left="422" w:hanging="422" w:hangingChars="200"/>
              <w:jc w:val="left"/>
              <w:rPr>
                <w:rFonts w:hint="eastAsia" w:asciiTheme="minorEastAsia" w:hAnsiTheme="minorEastAsia" w:eastAsiaTheme="minorEastAsia" w:cstheme="minorEastAsia"/>
                <w:szCs w:val="20"/>
                <w:highlight w:val="none"/>
                <w:lang w:val="zh-CN"/>
              </w:rPr>
            </w:pPr>
            <w:r>
              <w:rPr>
                <w:rFonts w:hint="eastAsia" w:asciiTheme="minorEastAsia" w:hAnsiTheme="minorEastAsia" w:eastAsiaTheme="minorEastAsia" w:cstheme="minorEastAsia"/>
                <w:b/>
                <w:szCs w:val="21"/>
                <w:highlight w:val="none"/>
                <w:lang w:val="zh-CN"/>
              </w:rPr>
              <w:t>良：</w:t>
            </w:r>
            <w:r>
              <w:rPr>
                <w:rFonts w:hint="eastAsia" w:asciiTheme="minorEastAsia" w:hAnsiTheme="minorEastAsia" w:eastAsiaTheme="minorEastAsia" w:cstheme="minorEastAsia"/>
                <w:szCs w:val="20"/>
                <w:highlight w:val="none"/>
                <w:lang w:val="zh-CN"/>
              </w:rPr>
              <w:t>设计和施工进度控制措施较齐全。施工总进度计划较合理，保证措施较强，投标人承诺施工工期比招标文件要求提前15日历天，[7,</w:t>
            </w:r>
            <w:r>
              <w:rPr>
                <w:rFonts w:hint="eastAsia" w:asciiTheme="minorEastAsia" w:hAnsiTheme="minorEastAsia" w:eastAsiaTheme="minorEastAsia" w:cstheme="minorEastAsia"/>
                <w:szCs w:val="20"/>
                <w:highlight w:val="none"/>
                <w:lang w:val="en-US" w:eastAsia="zh-CN"/>
              </w:rPr>
              <w:t>10</w:t>
            </w:r>
            <w:r>
              <w:rPr>
                <w:rFonts w:hint="eastAsia" w:asciiTheme="minorEastAsia" w:hAnsiTheme="minorEastAsia" w:eastAsiaTheme="minorEastAsia" w:cstheme="minorEastAsia"/>
                <w:szCs w:val="20"/>
                <w:highlight w:val="none"/>
                <w:lang w:val="zh-CN"/>
              </w:rPr>
              <w:t>]分；</w:t>
            </w:r>
          </w:p>
          <w:p>
            <w:pPr>
              <w:widowControl/>
              <w:spacing w:line="360" w:lineRule="exact"/>
              <w:ind w:left="422" w:hanging="422" w:hangingChars="200"/>
              <w:jc w:val="left"/>
              <w:rPr>
                <w:rFonts w:hint="eastAsia" w:asciiTheme="minorEastAsia" w:hAnsiTheme="minorEastAsia" w:eastAsiaTheme="minorEastAsia" w:cstheme="minorEastAsia"/>
                <w:szCs w:val="20"/>
                <w:highlight w:val="none"/>
                <w:lang w:val="zh-CN"/>
              </w:rPr>
            </w:pPr>
            <w:r>
              <w:rPr>
                <w:rFonts w:hint="eastAsia" w:asciiTheme="minorEastAsia" w:hAnsiTheme="minorEastAsia" w:eastAsiaTheme="minorEastAsia" w:cstheme="minorEastAsia"/>
                <w:b/>
                <w:szCs w:val="21"/>
                <w:highlight w:val="none"/>
                <w:lang w:val="zh-CN"/>
              </w:rPr>
              <w:t>中：</w:t>
            </w:r>
            <w:r>
              <w:rPr>
                <w:rFonts w:hint="eastAsia" w:asciiTheme="minorEastAsia" w:hAnsiTheme="minorEastAsia" w:eastAsiaTheme="minorEastAsia" w:cstheme="minorEastAsia"/>
                <w:szCs w:val="20"/>
                <w:highlight w:val="none"/>
                <w:lang w:val="zh-CN"/>
              </w:rPr>
              <w:t>设计和施工进度控制措施基本满足要求。施工总进度计划基本合理，有一定保证措施，投标人承诺施工工期比招标文件要求提前5日历天，[</w:t>
            </w:r>
            <w:r>
              <w:rPr>
                <w:rFonts w:hint="eastAsia" w:asciiTheme="minorEastAsia" w:hAnsiTheme="minorEastAsia" w:eastAsiaTheme="minorEastAsia" w:cstheme="minorEastAsia"/>
                <w:szCs w:val="20"/>
                <w:highlight w:val="none"/>
                <w:lang w:val="en-US" w:eastAsia="zh-CN"/>
              </w:rPr>
              <w:t>1</w:t>
            </w:r>
            <w:r>
              <w:rPr>
                <w:rFonts w:hint="eastAsia" w:asciiTheme="minorEastAsia" w:hAnsiTheme="minorEastAsia" w:eastAsiaTheme="minorEastAsia" w:cstheme="minorEastAsia"/>
                <w:szCs w:val="20"/>
                <w:highlight w:val="none"/>
                <w:lang w:val="zh-CN"/>
              </w:rPr>
              <w:t>,6]分；</w:t>
            </w:r>
          </w:p>
          <w:p>
            <w:pPr>
              <w:widowControl/>
              <w:spacing w:line="360" w:lineRule="exact"/>
              <w:jc w:val="left"/>
              <w:rPr>
                <w:rFonts w:hint="eastAsia" w:asciiTheme="minorEastAsia" w:hAnsiTheme="minorEastAsia" w:eastAsiaTheme="minorEastAsia" w:cstheme="minorEastAsia"/>
                <w:b/>
                <w:szCs w:val="21"/>
                <w:highlight w:val="none"/>
                <w:lang w:val="zh-CN"/>
              </w:rPr>
            </w:pPr>
            <w:r>
              <w:rPr>
                <w:rFonts w:hint="eastAsia" w:asciiTheme="minorEastAsia" w:hAnsiTheme="minorEastAsia" w:eastAsiaTheme="minorEastAsia" w:cstheme="minorEastAsia"/>
                <w:b/>
                <w:szCs w:val="21"/>
                <w:highlight w:val="none"/>
                <w:lang w:val="zh-CN"/>
              </w:rPr>
              <w:t>差</w:t>
            </w:r>
            <w:r>
              <w:rPr>
                <w:rFonts w:hint="eastAsia" w:asciiTheme="minorEastAsia" w:hAnsiTheme="minorEastAsia" w:eastAsiaTheme="minorEastAsia" w:cstheme="minorEastAsia"/>
                <w:szCs w:val="21"/>
                <w:highlight w:val="none"/>
                <w:lang w:val="zh-CN"/>
              </w:rPr>
              <w:t>：</w:t>
            </w:r>
            <w:r>
              <w:rPr>
                <w:rFonts w:hint="eastAsia" w:asciiTheme="minorEastAsia" w:hAnsiTheme="minorEastAsia" w:eastAsiaTheme="minorEastAsia" w:cstheme="minorEastAsia"/>
                <w:szCs w:val="20"/>
                <w:highlight w:val="none"/>
                <w:lang w:val="zh-CN"/>
              </w:rPr>
              <w:t>不满足前述要求者，得0分</w:t>
            </w:r>
          </w:p>
        </w:tc>
      </w:tr>
    </w:tbl>
    <w:p>
      <w:pPr>
        <w:widowControl/>
        <w:snapToGrid/>
        <w:spacing w:line="240" w:lineRule="auto"/>
        <w:ind w:right="0"/>
        <w:jc w:val="left"/>
        <w:rPr>
          <w:rFonts w:ascii="宋体" w:hAnsi="宋体"/>
          <w:highlight w:val="none"/>
        </w:rPr>
        <w:sectPr>
          <w:pgSz w:w="16838" w:h="11906" w:orient="landscape"/>
          <w:pgMar w:top="1134" w:right="1418" w:bottom="1134" w:left="1418" w:header="851" w:footer="992" w:gutter="0"/>
          <w:pgNumType w:fmt="decimal"/>
          <w:cols w:space="720" w:num="1"/>
          <w:docGrid w:type="lines" w:linePitch="312" w:charSpace="0"/>
        </w:sectPr>
      </w:pPr>
    </w:p>
    <w:p>
      <w:pPr>
        <w:spacing w:line="400" w:lineRule="exact"/>
        <w:rPr>
          <w:rFonts w:ascii="宋体" w:hAnsi="宋体"/>
          <w:b/>
          <w:sz w:val="28"/>
          <w:szCs w:val="28"/>
          <w:highlight w:val="none"/>
        </w:rPr>
      </w:pPr>
      <w:r>
        <w:rPr>
          <w:rFonts w:hint="eastAsia" w:ascii="黑体" w:hAnsi="黑体" w:eastAsia="黑体"/>
          <w:b/>
          <w:sz w:val="28"/>
          <w:szCs w:val="28"/>
          <w:highlight w:val="none"/>
        </w:rPr>
        <w:t>附表4：</w:t>
      </w:r>
    </w:p>
    <w:p>
      <w:pPr>
        <w:spacing w:line="360" w:lineRule="auto"/>
        <w:jc w:val="center"/>
        <w:rPr>
          <w:rFonts w:ascii="宋体" w:hAnsi="宋体"/>
          <w:b/>
          <w:sz w:val="36"/>
          <w:szCs w:val="36"/>
          <w:highlight w:val="none"/>
        </w:rPr>
      </w:pPr>
      <w:r>
        <w:rPr>
          <w:rFonts w:hint="eastAsia" w:ascii="宋体" w:hAnsi="宋体"/>
          <w:b/>
          <w:sz w:val="36"/>
          <w:szCs w:val="36"/>
          <w:highlight w:val="none"/>
          <w:lang w:eastAsia="zh-CN"/>
        </w:rPr>
        <w:t>报价</w:t>
      </w:r>
      <w:r>
        <w:rPr>
          <w:rFonts w:hint="eastAsia" w:ascii="宋体" w:hAnsi="宋体"/>
          <w:b/>
          <w:sz w:val="36"/>
          <w:szCs w:val="36"/>
          <w:highlight w:val="none"/>
        </w:rPr>
        <w:t>有效性审查表</w:t>
      </w:r>
    </w:p>
    <w:p>
      <w:pPr>
        <w:spacing w:line="360" w:lineRule="auto"/>
        <w:rPr>
          <w:rFonts w:ascii="宋体" w:hAnsi="宋体"/>
          <w:b/>
          <w:szCs w:val="21"/>
          <w:highlight w:val="none"/>
        </w:rPr>
      </w:pPr>
      <w:r>
        <w:rPr>
          <w:rFonts w:hint="eastAsia" w:ascii="宋体" w:hAnsi="宋体"/>
          <w:b/>
          <w:szCs w:val="21"/>
          <w:highlight w:val="none"/>
        </w:rPr>
        <w:t>工程名称：</w:t>
      </w:r>
    </w:p>
    <w:tbl>
      <w:tblPr>
        <w:tblStyle w:val="16"/>
        <w:tblW w:w="1417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 w:type="dxa"/>
          <w:bottom w:w="0" w:type="dxa"/>
          <w:right w:w="10" w:type="dxa"/>
        </w:tblCellMar>
      </w:tblPr>
      <w:tblGrid>
        <w:gridCol w:w="965"/>
        <w:gridCol w:w="10387"/>
        <w:gridCol w:w="990"/>
        <w:gridCol w:w="917"/>
        <w:gridCol w:w="91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 w:type="dxa"/>
            <w:bottom w:w="0" w:type="dxa"/>
            <w:right w:w="10" w:type="dxa"/>
          </w:tblCellMar>
        </w:tblPrEx>
        <w:trPr>
          <w:trHeight w:val="735" w:hRule="atLeast"/>
        </w:trPr>
        <w:tc>
          <w:tcPr>
            <w:tcW w:w="965" w:type="dxa"/>
            <w:tcBorders>
              <w:right w:val="single" w:color="auto" w:sz="4" w:space="0"/>
            </w:tcBorders>
            <w:vAlign w:val="center"/>
          </w:tcPr>
          <w:p>
            <w:pPr>
              <w:tabs>
                <w:tab w:val="left" w:pos="0"/>
              </w:tabs>
              <w:spacing w:line="360" w:lineRule="auto"/>
              <w:rPr>
                <w:rFonts w:ascii="宋体" w:hAnsi="宋体" w:cs="宋体"/>
                <w:szCs w:val="21"/>
                <w:highlight w:val="none"/>
              </w:rPr>
            </w:pPr>
            <w:r>
              <w:rPr>
                <w:rFonts w:hint="eastAsia" w:ascii="宋体" w:hAnsi="宋体" w:cs="宋体"/>
                <w:szCs w:val="21"/>
                <w:highlight w:val="none"/>
              </w:rPr>
              <w:t>序号</w:t>
            </w:r>
          </w:p>
        </w:tc>
        <w:tc>
          <w:tcPr>
            <w:tcW w:w="10387" w:type="dxa"/>
            <w:tcBorders>
              <w:top w:val="single" w:color="auto" w:sz="4" w:space="0"/>
              <w:left w:val="single" w:color="auto" w:sz="4" w:space="0"/>
              <w:bottom w:val="single" w:color="auto" w:sz="4" w:space="0"/>
              <w:right w:val="single" w:color="auto" w:sz="4" w:space="0"/>
              <w:tl2br w:val="single" w:color="auto" w:sz="4" w:space="0"/>
            </w:tcBorders>
            <w:vAlign w:val="center"/>
          </w:tcPr>
          <w:p>
            <w:pPr>
              <w:tabs>
                <w:tab w:val="left" w:pos="0"/>
              </w:tabs>
              <w:wordWrap w:val="0"/>
              <w:snapToGrid w:val="0"/>
              <w:ind w:left="3702" w:leftChars="228" w:hanging="3223" w:hangingChars="1535"/>
              <w:jc w:val="right"/>
              <w:rPr>
                <w:rFonts w:ascii="宋体" w:hAnsi="宋体" w:cs="宋体"/>
                <w:szCs w:val="21"/>
                <w:highlight w:val="none"/>
              </w:rPr>
            </w:pPr>
            <w:r>
              <w:rPr>
                <w:rFonts w:hint="eastAsia" w:ascii="宋体" w:hAnsi="宋体" w:cs="宋体"/>
                <w:szCs w:val="21"/>
                <w:highlight w:val="none"/>
              </w:rPr>
              <w:t>投标人名称</w:t>
            </w:r>
          </w:p>
          <w:p>
            <w:pPr>
              <w:tabs>
                <w:tab w:val="left" w:pos="0"/>
              </w:tabs>
              <w:snapToGrid w:val="0"/>
              <w:ind w:firstLine="210" w:firstLineChars="100"/>
              <w:rPr>
                <w:rFonts w:ascii="宋体" w:hAnsi="宋体" w:cs="宋体"/>
                <w:szCs w:val="21"/>
                <w:highlight w:val="none"/>
              </w:rPr>
            </w:pPr>
            <w:r>
              <w:rPr>
                <w:rFonts w:hint="eastAsia" w:ascii="宋体" w:hAnsi="宋体" w:cs="宋体"/>
                <w:szCs w:val="21"/>
                <w:highlight w:val="none"/>
              </w:rPr>
              <w:t>评审内容</w:t>
            </w:r>
          </w:p>
        </w:tc>
        <w:tc>
          <w:tcPr>
            <w:tcW w:w="990" w:type="dxa"/>
            <w:tcBorders>
              <w:left w:val="single" w:color="auto" w:sz="4" w:space="0"/>
            </w:tcBorders>
          </w:tcPr>
          <w:p>
            <w:pPr>
              <w:tabs>
                <w:tab w:val="left" w:pos="0"/>
              </w:tabs>
              <w:spacing w:line="360" w:lineRule="auto"/>
              <w:ind w:left="552" w:leftChars="228" w:hanging="73" w:hangingChars="35"/>
              <w:rPr>
                <w:rFonts w:ascii="宋体" w:hAnsi="宋体" w:cs="宋体"/>
                <w:szCs w:val="21"/>
                <w:highlight w:val="none"/>
              </w:rPr>
            </w:pPr>
          </w:p>
        </w:tc>
        <w:tc>
          <w:tcPr>
            <w:tcW w:w="917" w:type="dxa"/>
          </w:tcPr>
          <w:p>
            <w:pPr>
              <w:tabs>
                <w:tab w:val="left" w:pos="0"/>
              </w:tabs>
              <w:spacing w:line="360" w:lineRule="auto"/>
              <w:ind w:left="552" w:leftChars="228" w:hanging="73" w:hangingChars="35"/>
              <w:rPr>
                <w:rFonts w:ascii="宋体" w:hAnsi="宋体" w:cs="宋体"/>
                <w:szCs w:val="21"/>
                <w:highlight w:val="none"/>
              </w:rPr>
            </w:pPr>
          </w:p>
        </w:tc>
        <w:tc>
          <w:tcPr>
            <w:tcW w:w="917" w:type="dxa"/>
          </w:tcPr>
          <w:p>
            <w:pPr>
              <w:tabs>
                <w:tab w:val="left" w:pos="0"/>
              </w:tabs>
              <w:spacing w:line="360" w:lineRule="auto"/>
              <w:ind w:left="552" w:leftChars="228" w:hanging="73" w:hangingChars="35"/>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 w:type="dxa"/>
            <w:bottom w:w="0" w:type="dxa"/>
            <w:right w:w="10" w:type="dxa"/>
          </w:tblCellMar>
        </w:tblPrEx>
        <w:trPr>
          <w:trHeight w:val="467" w:hRule="atLeast"/>
        </w:trPr>
        <w:tc>
          <w:tcPr>
            <w:tcW w:w="965" w:type="dxa"/>
            <w:vAlign w:val="center"/>
          </w:tcPr>
          <w:p>
            <w:pPr>
              <w:tabs>
                <w:tab w:val="left" w:pos="0"/>
              </w:tabs>
              <w:spacing w:line="240" w:lineRule="atLeast"/>
              <w:jc w:val="center"/>
              <w:rPr>
                <w:rFonts w:ascii="宋体" w:hAnsi="宋体" w:cs="宋体"/>
                <w:szCs w:val="21"/>
                <w:highlight w:val="none"/>
              </w:rPr>
            </w:pPr>
            <w:r>
              <w:rPr>
                <w:rFonts w:hint="eastAsia" w:ascii="宋体" w:hAnsi="宋体" w:cs="宋体"/>
                <w:szCs w:val="21"/>
                <w:highlight w:val="none"/>
              </w:rPr>
              <w:t>1</w:t>
            </w:r>
          </w:p>
        </w:tc>
        <w:tc>
          <w:tcPr>
            <w:tcW w:w="10387" w:type="dxa"/>
            <w:tcBorders>
              <w:top w:val="single" w:color="auto" w:sz="4" w:space="0"/>
            </w:tcBorders>
            <w:vAlign w:val="center"/>
          </w:tcPr>
          <w:p>
            <w:pPr>
              <w:tabs>
                <w:tab w:val="left" w:pos="0"/>
              </w:tabs>
              <w:spacing w:line="240" w:lineRule="atLeast"/>
              <w:rPr>
                <w:rFonts w:ascii="宋体" w:hAnsi="宋体" w:cs="宋体"/>
                <w:szCs w:val="21"/>
                <w:highlight w:val="none"/>
              </w:rPr>
            </w:pPr>
            <w:r>
              <w:rPr>
                <w:rFonts w:hint="eastAsia" w:ascii="宋体" w:hAnsi="宋体" w:cs="宋体"/>
                <w:szCs w:val="21"/>
                <w:highlight w:val="none"/>
              </w:rPr>
              <w:t>投标文件的封面没有加盖投标单位的法定印章并经投标人代表签署或盖章的；</w:t>
            </w:r>
          </w:p>
        </w:tc>
        <w:tc>
          <w:tcPr>
            <w:tcW w:w="990" w:type="dxa"/>
          </w:tcPr>
          <w:p>
            <w:pPr>
              <w:tabs>
                <w:tab w:val="left" w:pos="0"/>
              </w:tabs>
              <w:spacing w:line="240" w:lineRule="atLeast"/>
              <w:ind w:left="552" w:leftChars="228" w:hanging="73" w:hangingChars="35"/>
              <w:rPr>
                <w:rFonts w:ascii="宋体" w:hAnsi="宋体" w:cs="宋体"/>
                <w:szCs w:val="21"/>
                <w:highlight w:val="none"/>
              </w:rPr>
            </w:pPr>
          </w:p>
        </w:tc>
        <w:tc>
          <w:tcPr>
            <w:tcW w:w="917" w:type="dxa"/>
          </w:tcPr>
          <w:p>
            <w:pPr>
              <w:tabs>
                <w:tab w:val="left" w:pos="0"/>
              </w:tabs>
              <w:spacing w:line="240" w:lineRule="atLeast"/>
              <w:ind w:left="552" w:leftChars="228" w:hanging="73" w:hangingChars="35"/>
              <w:rPr>
                <w:rFonts w:ascii="宋体" w:hAnsi="宋体" w:cs="宋体"/>
                <w:szCs w:val="21"/>
                <w:highlight w:val="none"/>
              </w:rPr>
            </w:pPr>
          </w:p>
        </w:tc>
        <w:tc>
          <w:tcPr>
            <w:tcW w:w="917" w:type="dxa"/>
          </w:tcPr>
          <w:p>
            <w:pPr>
              <w:tabs>
                <w:tab w:val="left" w:pos="0"/>
              </w:tabs>
              <w:spacing w:line="240" w:lineRule="atLeast"/>
              <w:ind w:left="552" w:leftChars="228" w:hanging="73" w:hangingChars="35"/>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 w:type="dxa"/>
            <w:bottom w:w="0" w:type="dxa"/>
            <w:right w:w="10" w:type="dxa"/>
          </w:tblCellMar>
        </w:tblPrEx>
        <w:trPr>
          <w:trHeight w:val="467" w:hRule="atLeast"/>
        </w:trPr>
        <w:tc>
          <w:tcPr>
            <w:tcW w:w="965" w:type="dxa"/>
            <w:vAlign w:val="center"/>
          </w:tcPr>
          <w:p>
            <w:pPr>
              <w:tabs>
                <w:tab w:val="left" w:pos="0"/>
              </w:tabs>
              <w:spacing w:line="240" w:lineRule="atLeast"/>
              <w:jc w:val="center"/>
              <w:rPr>
                <w:rFonts w:ascii="宋体" w:hAnsi="宋体" w:cs="宋体"/>
                <w:szCs w:val="21"/>
                <w:highlight w:val="none"/>
              </w:rPr>
            </w:pPr>
            <w:r>
              <w:rPr>
                <w:rFonts w:hint="eastAsia" w:ascii="宋体" w:hAnsi="宋体" w:cs="宋体"/>
                <w:szCs w:val="21"/>
                <w:highlight w:val="none"/>
              </w:rPr>
              <w:t>2</w:t>
            </w:r>
          </w:p>
        </w:tc>
        <w:tc>
          <w:tcPr>
            <w:tcW w:w="10387" w:type="dxa"/>
            <w:vAlign w:val="center"/>
          </w:tcPr>
          <w:p>
            <w:pPr>
              <w:tabs>
                <w:tab w:val="left" w:pos="0"/>
              </w:tabs>
              <w:spacing w:line="240" w:lineRule="atLeast"/>
              <w:rPr>
                <w:rFonts w:ascii="宋体" w:hAnsi="宋体" w:cs="宋体"/>
                <w:szCs w:val="21"/>
                <w:highlight w:val="none"/>
              </w:rPr>
            </w:pPr>
            <w:r>
              <w:rPr>
                <w:rFonts w:hint="eastAsia" w:ascii="宋体" w:hAnsi="宋体" w:cs="宋体"/>
                <w:szCs w:val="21"/>
                <w:highlight w:val="none"/>
              </w:rPr>
              <w:t>对同一招标项目出现两个或以上的投标报价，且没有申明哪个有效；</w:t>
            </w:r>
          </w:p>
        </w:tc>
        <w:tc>
          <w:tcPr>
            <w:tcW w:w="990" w:type="dxa"/>
          </w:tcPr>
          <w:p>
            <w:pPr>
              <w:tabs>
                <w:tab w:val="left" w:pos="0"/>
              </w:tabs>
              <w:spacing w:line="240" w:lineRule="atLeast"/>
              <w:ind w:left="552" w:leftChars="228" w:hanging="73" w:hangingChars="35"/>
              <w:rPr>
                <w:rFonts w:ascii="宋体" w:hAnsi="宋体" w:cs="宋体"/>
                <w:szCs w:val="21"/>
                <w:highlight w:val="none"/>
              </w:rPr>
            </w:pPr>
          </w:p>
        </w:tc>
        <w:tc>
          <w:tcPr>
            <w:tcW w:w="917" w:type="dxa"/>
          </w:tcPr>
          <w:p>
            <w:pPr>
              <w:tabs>
                <w:tab w:val="left" w:pos="0"/>
              </w:tabs>
              <w:spacing w:line="240" w:lineRule="atLeast"/>
              <w:ind w:left="552" w:leftChars="228" w:hanging="73" w:hangingChars="35"/>
              <w:rPr>
                <w:rFonts w:ascii="宋体" w:hAnsi="宋体" w:cs="宋体"/>
                <w:szCs w:val="21"/>
                <w:highlight w:val="none"/>
              </w:rPr>
            </w:pPr>
          </w:p>
        </w:tc>
        <w:tc>
          <w:tcPr>
            <w:tcW w:w="917" w:type="dxa"/>
          </w:tcPr>
          <w:p>
            <w:pPr>
              <w:tabs>
                <w:tab w:val="left" w:pos="0"/>
              </w:tabs>
              <w:spacing w:line="240" w:lineRule="atLeast"/>
              <w:ind w:left="552" w:leftChars="228" w:hanging="73" w:hangingChars="35"/>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 w:type="dxa"/>
            <w:bottom w:w="0" w:type="dxa"/>
            <w:right w:w="10" w:type="dxa"/>
          </w:tblCellMar>
        </w:tblPrEx>
        <w:trPr>
          <w:trHeight w:val="467" w:hRule="atLeast"/>
        </w:trPr>
        <w:tc>
          <w:tcPr>
            <w:tcW w:w="965" w:type="dxa"/>
            <w:vAlign w:val="center"/>
          </w:tcPr>
          <w:p>
            <w:pPr>
              <w:tabs>
                <w:tab w:val="left" w:pos="0"/>
              </w:tabs>
              <w:spacing w:line="240" w:lineRule="atLeast"/>
              <w:jc w:val="center"/>
              <w:rPr>
                <w:rFonts w:ascii="宋体" w:hAnsi="宋体" w:cs="宋体"/>
                <w:szCs w:val="21"/>
                <w:highlight w:val="none"/>
              </w:rPr>
            </w:pPr>
            <w:r>
              <w:rPr>
                <w:rFonts w:hint="eastAsia" w:ascii="宋体" w:hAnsi="宋体" w:cs="宋体"/>
                <w:szCs w:val="21"/>
                <w:highlight w:val="none"/>
              </w:rPr>
              <w:t>3</w:t>
            </w:r>
          </w:p>
        </w:tc>
        <w:tc>
          <w:tcPr>
            <w:tcW w:w="10387" w:type="dxa"/>
            <w:vAlign w:val="center"/>
          </w:tcPr>
          <w:p>
            <w:pPr>
              <w:jc w:val="left"/>
              <w:rPr>
                <w:rFonts w:ascii="宋体" w:hAnsi="宋体" w:cs="宋体"/>
                <w:b/>
                <w:sz w:val="32"/>
                <w:highlight w:val="none"/>
              </w:rPr>
            </w:pPr>
            <w:r>
              <w:rPr>
                <w:rFonts w:hint="eastAsia" w:ascii="宋体" w:hAnsi="宋体" w:cs="宋体"/>
                <w:szCs w:val="21"/>
                <w:highlight w:val="none"/>
              </w:rPr>
              <w:t>投标报价（含分项投标报价）高于最高投标限价。</w:t>
            </w:r>
          </w:p>
        </w:tc>
        <w:tc>
          <w:tcPr>
            <w:tcW w:w="990" w:type="dxa"/>
          </w:tcPr>
          <w:p>
            <w:pPr>
              <w:tabs>
                <w:tab w:val="left" w:pos="0"/>
              </w:tabs>
              <w:spacing w:line="240" w:lineRule="atLeast"/>
              <w:ind w:left="552" w:leftChars="228" w:hanging="73" w:hangingChars="35"/>
              <w:rPr>
                <w:rFonts w:ascii="宋体" w:hAnsi="宋体" w:cs="宋体"/>
                <w:szCs w:val="21"/>
                <w:highlight w:val="none"/>
              </w:rPr>
            </w:pPr>
          </w:p>
        </w:tc>
        <w:tc>
          <w:tcPr>
            <w:tcW w:w="917" w:type="dxa"/>
          </w:tcPr>
          <w:p>
            <w:pPr>
              <w:tabs>
                <w:tab w:val="left" w:pos="0"/>
              </w:tabs>
              <w:spacing w:line="240" w:lineRule="atLeast"/>
              <w:ind w:left="552" w:leftChars="228" w:hanging="73" w:hangingChars="35"/>
              <w:rPr>
                <w:rFonts w:ascii="宋体" w:hAnsi="宋体" w:cs="宋体"/>
                <w:szCs w:val="21"/>
                <w:highlight w:val="none"/>
              </w:rPr>
            </w:pPr>
          </w:p>
        </w:tc>
        <w:tc>
          <w:tcPr>
            <w:tcW w:w="917" w:type="dxa"/>
          </w:tcPr>
          <w:p>
            <w:pPr>
              <w:tabs>
                <w:tab w:val="left" w:pos="0"/>
              </w:tabs>
              <w:spacing w:line="240" w:lineRule="atLeast"/>
              <w:ind w:left="552" w:leftChars="228" w:hanging="73" w:hangingChars="35"/>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 w:type="dxa"/>
            <w:bottom w:w="0" w:type="dxa"/>
            <w:right w:w="10" w:type="dxa"/>
          </w:tblCellMar>
        </w:tblPrEx>
        <w:trPr>
          <w:trHeight w:val="467" w:hRule="atLeast"/>
        </w:trPr>
        <w:tc>
          <w:tcPr>
            <w:tcW w:w="965" w:type="dxa"/>
            <w:vAlign w:val="center"/>
          </w:tcPr>
          <w:p>
            <w:pPr>
              <w:tabs>
                <w:tab w:val="left" w:pos="0"/>
              </w:tabs>
              <w:spacing w:line="240" w:lineRule="atLeast"/>
              <w:jc w:val="center"/>
              <w:rPr>
                <w:rFonts w:ascii="宋体" w:hAnsi="宋体" w:cs="宋体"/>
                <w:szCs w:val="21"/>
                <w:highlight w:val="none"/>
              </w:rPr>
            </w:pPr>
            <w:r>
              <w:rPr>
                <w:rFonts w:hint="eastAsia" w:ascii="宋体" w:hAnsi="宋体" w:cs="宋体"/>
                <w:szCs w:val="21"/>
                <w:highlight w:val="none"/>
              </w:rPr>
              <w:t>4</w:t>
            </w:r>
          </w:p>
        </w:tc>
        <w:tc>
          <w:tcPr>
            <w:tcW w:w="10387" w:type="dxa"/>
            <w:vAlign w:val="center"/>
          </w:tcPr>
          <w:p>
            <w:pPr>
              <w:tabs>
                <w:tab w:val="left" w:pos="0"/>
              </w:tabs>
              <w:spacing w:line="240" w:lineRule="atLeast"/>
              <w:rPr>
                <w:rFonts w:ascii="宋体" w:hAnsi="宋体" w:cs="宋体"/>
                <w:szCs w:val="21"/>
                <w:highlight w:val="none"/>
              </w:rPr>
            </w:pPr>
            <w:r>
              <w:rPr>
                <w:rFonts w:hint="eastAsia" w:ascii="宋体" w:hAnsi="宋体" w:cs="宋体"/>
                <w:szCs w:val="21"/>
                <w:highlight w:val="none"/>
              </w:rPr>
              <w:t>投标人的投标总报价（含分项投标报价）低于最高投标限价的</w:t>
            </w:r>
            <w:r>
              <w:rPr>
                <w:rFonts w:ascii="宋体" w:hAnsi="宋体" w:cs="宋体"/>
                <w:szCs w:val="21"/>
                <w:highlight w:val="none"/>
              </w:rPr>
              <w:t>90</w:t>
            </w:r>
            <w:r>
              <w:rPr>
                <w:rFonts w:hint="eastAsia" w:ascii="宋体" w:hAnsi="宋体" w:cs="宋体"/>
                <w:szCs w:val="21"/>
                <w:highlight w:val="none"/>
              </w:rPr>
              <w:t>%时，未按招标文件要求提供证明材料的。</w:t>
            </w:r>
          </w:p>
        </w:tc>
        <w:tc>
          <w:tcPr>
            <w:tcW w:w="990" w:type="dxa"/>
          </w:tcPr>
          <w:p>
            <w:pPr>
              <w:tabs>
                <w:tab w:val="left" w:pos="0"/>
              </w:tabs>
              <w:spacing w:line="240" w:lineRule="atLeast"/>
              <w:ind w:left="552" w:leftChars="228" w:hanging="73" w:hangingChars="35"/>
              <w:rPr>
                <w:rFonts w:ascii="宋体" w:hAnsi="宋体" w:cs="宋体"/>
                <w:szCs w:val="21"/>
                <w:highlight w:val="none"/>
              </w:rPr>
            </w:pPr>
          </w:p>
        </w:tc>
        <w:tc>
          <w:tcPr>
            <w:tcW w:w="917" w:type="dxa"/>
          </w:tcPr>
          <w:p>
            <w:pPr>
              <w:tabs>
                <w:tab w:val="left" w:pos="0"/>
              </w:tabs>
              <w:spacing w:line="240" w:lineRule="atLeast"/>
              <w:ind w:left="552" w:leftChars="228" w:hanging="73" w:hangingChars="35"/>
              <w:rPr>
                <w:rFonts w:ascii="宋体" w:hAnsi="宋体" w:cs="宋体"/>
                <w:szCs w:val="21"/>
                <w:highlight w:val="none"/>
              </w:rPr>
            </w:pPr>
          </w:p>
        </w:tc>
        <w:tc>
          <w:tcPr>
            <w:tcW w:w="917" w:type="dxa"/>
          </w:tcPr>
          <w:p>
            <w:pPr>
              <w:tabs>
                <w:tab w:val="left" w:pos="0"/>
              </w:tabs>
              <w:spacing w:line="240" w:lineRule="atLeast"/>
              <w:ind w:left="552" w:leftChars="228" w:hanging="73" w:hangingChars="35"/>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 w:type="dxa"/>
            <w:bottom w:w="0" w:type="dxa"/>
            <w:right w:w="10" w:type="dxa"/>
          </w:tblCellMar>
        </w:tblPrEx>
        <w:trPr>
          <w:trHeight w:val="467" w:hRule="atLeast"/>
        </w:trPr>
        <w:tc>
          <w:tcPr>
            <w:tcW w:w="965" w:type="dxa"/>
            <w:vAlign w:val="center"/>
          </w:tcPr>
          <w:p>
            <w:pPr>
              <w:tabs>
                <w:tab w:val="left" w:pos="0"/>
              </w:tabs>
              <w:spacing w:line="240" w:lineRule="atLeast"/>
              <w:jc w:val="center"/>
              <w:rPr>
                <w:rFonts w:ascii="宋体" w:hAnsi="宋体" w:cs="宋体"/>
                <w:szCs w:val="21"/>
                <w:highlight w:val="none"/>
              </w:rPr>
            </w:pPr>
            <w:r>
              <w:rPr>
                <w:rFonts w:hint="eastAsia" w:ascii="宋体" w:hAnsi="宋体" w:cs="宋体"/>
                <w:szCs w:val="21"/>
                <w:highlight w:val="none"/>
              </w:rPr>
              <w:t>5</w:t>
            </w:r>
          </w:p>
        </w:tc>
        <w:tc>
          <w:tcPr>
            <w:tcW w:w="10387" w:type="dxa"/>
            <w:vAlign w:val="center"/>
          </w:tcPr>
          <w:p>
            <w:pPr>
              <w:tabs>
                <w:tab w:val="left" w:pos="0"/>
              </w:tabs>
              <w:spacing w:line="240" w:lineRule="atLeast"/>
              <w:rPr>
                <w:rFonts w:ascii="宋体" w:hAnsi="宋体" w:cs="宋体"/>
                <w:szCs w:val="21"/>
                <w:highlight w:val="none"/>
              </w:rPr>
            </w:pPr>
            <w:r>
              <w:rPr>
                <w:rFonts w:hint="eastAsia" w:ascii="宋体" w:hAnsi="宋体" w:cs="宋体"/>
                <w:szCs w:val="21"/>
                <w:highlight w:val="none"/>
              </w:rPr>
              <w:t>投标文件未按规定的格式填写，或主要内容不全，或关键字迹模糊、无法辨认的；</w:t>
            </w:r>
          </w:p>
        </w:tc>
        <w:tc>
          <w:tcPr>
            <w:tcW w:w="990" w:type="dxa"/>
          </w:tcPr>
          <w:p>
            <w:pPr>
              <w:tabs>
                <w:tab w:val="left" w:pos="0"/>
              </w:tabs>
              <w:spacing w:line="240" w:lineRule="atLeast"/>
              <w:ind w:left="552" w:leftChars="228" w:hanging="73" w:hangingChars="35"/>
              <w:rPr>
                <w:rFonts w:ascii="宋体" w:hAnsi="宋体" w:cs="宋体"/>
                <w:szCs w:val="21"/>
                <w:highlight w:val="none"/>
              </w:rPr>
            </w:pPr>
          </w:p>
        </w:tc>
        <w:tc>
          <w:tcPr>
            <w:tcW w:w="917" w:type="dxa"/>
          </w:tcPr>
          <w:p>
            <w:pPr>
              <w:tabs>
                <w:tab w:val="left" w:pos="0"/>
              </w:tabs>
              <w:spacing w:line="240" w:lineRule="atLeast"/>
              <w:ind w:left="552" w:leftChars="228" w:hanging="73" w:hangingChars="35"/>
              <w:rPr>
                <w:rFonts w:ascii="宋体" w:hAnsi="宋体" w:cs="宋体"/>
                <w:szCs w:val="21"/>
                <w:highlight w:val="none"/>
              </w:rPr>
            </w:pPr>
          </w:p>
        </w:tc>
        <w:tc>
          <w:tcPr>
            <w:tcW w:w="917" w:type="dxa"/>
          </w:tcPr>
          <w:p>
            <w:pPr>
              <w:tabs>
                <w:tab w:val="left" w:pos="0"/>
              </w:tabs>
              <w:spacing w:line="240" w:lineRule="atLeast"/>
              <w:ind w:left="552" w:leftChars="228" w:hanging="73" w:hangingChars="35"/>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 w:type="dxa"/>
            <w:bottom w:w="0" w:type="dxa"/>
            <w:right w:w="10" w:type="dxa"/>
          </w:tblCellMar>
        </w:tblPrEx>
        <w:trPr>
          <w:trHeight w:val="467" w:hRule="atLeast"/>
        </w:trPr>
        <w:tc>
          <w:tcPr>
            <w:tcW w:w="965" w:type="dxa"/>
            <w:vAlign w:val="center"/>
          </w:tcPr>
          <w:p>
            <w:pPr>
              <w:tabs>
                <w:tab w:val="left" w:pos="0"/>
              </w:tabs>
              <w:spacing w:line="240" w:lineRule="atLeast"/>
              <w:jc w:val="center"/>
              <w:rPr>
                <w:rFonts w:ascii="宋体" w:hAnsi="宋体" w:cs="宋体"/>
                <w:szCs w:val="21"/>
                <w:highlight w:val="none"/>
              </w:rPr>
            </w:pPr>
            <w:r>
              <w:rPr>
                <w:rFonts w:hint="eastAsia" w:ascii="宋体" w:hAnsi="宋体" w:cs="宋体"/>
                <w:szCs w:val="21"/>
                <w:highlight w:val="none"/>
              </w:rPr>
              <w:t>6</w:t>
            </w:r>
          </w:p>
        </w:tc>
        <w:tc>
          <w:tcPr>
            <w:tcW w:w="10387" w:type="dxa"/>
            <w:vAlign w:val="center"/>
          </w:tcPr>
          <w:p>
            <w:pPr>
              <w:tabs>
                <w:tab w:val="left" w:pos="0"/>
              </w:tabs>
              <w:spacing w:line="240" w:lineRule="atLeast"/>
              <w:rPr>
                <w:rFonts w:ascii="宋体" w:hAnsi="宋体" w:cs="宋体"/>
                <w:szCs w:val="21"/>
                <w:highlight w:val="none"/>
              </w:rPr>
            </w:pPr>
            <w:r>
              <w:rPr>
                <w:rFonts w:hint="eastAsia" w:ascii="宋体" w:hAnsi="宋体" w:cs="宋体"/>
                <w:szCs w:val="21"/>
                <w:highlight w:val="none"/>
              </w:rPr>
              <w:t>存在串通投标情形（串通投标情形以《中华人民共和国招标投标法实施条例》的规定为准）；</w:t>
            </w:r>
          </w:p>
        </w:tc>
        <w:tc>
          <w:tcPr>
            <w:tcW w:w="990" w:type="dxa"/>
          </w:tcPr>
          <w:p>
            <w:pPr>
              <w:tabs>
                <w:tab w:val="left" w:pos="0"/>
              </w:tabs>
              <w:spacing w:line="240" w:lineRule="atLeast"/>
              <w:ind w:left="552" w:leftChars="228" w:hanging="73" w:hangingChars="35"/>
              <w:rPr>
                <w:rFonts w:ascii="宋体" w:hAnsi="宋体" w:cs="宋体"/>
                <w:szCs w:val="21"/>
                <w:highlight w:val="none"/>
              </w:rPr>
            </w:pPr>
          </w:p>
        </w:tc>
        <w:tc>
          <w:tcPr>
            <w:tcW w:w="917" w:type="dxa"/>
          </w:tcPr>
          <w:p>
            <w:pPr>
              <w:tabs>
                <w:tab w:val="left" w:pos="0"/>
              </w:tabs>
              <w:spacing w:line="240" w:lineRule="atLeast"/>
              <w:ind w:left="552" w:leftChars="228" w:hanging="73" w:hangingChars="35"/>
              <w:rPr>
                <w:rFonts w:ascii="宋体" w:hAnsi="宋体" w:cs="宋体"/>
                <w:szCs w:val="21"/>
                <w:highlight w:val="none"/>
              </w:rPr>
            </w:pPr>
          </w:p>
        </w:tc>
        <w:tc>
          <w:tcPr>
            <w:tcW w:w="917" w:type="dxa"/>
          </w:tcPr>
          <w:p>
            <w:pPr>
              <w:tabs>
                <w:tab w:val="left" w:pos="0"/>
              </w:tabs>
              <w:spacing w:line="240" w:lineRule="atLeast"/>
              <w:ind w:left="552" w:leftChars="228" w:hanging="73" w:hangingChars="35"/>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 w:type="dxa"/>
            <w:bottom w:w="0" w:type="dxa"/>
            <w:right w:w="10" w:type="dxa"/>
          </w:tblCellMar>
        </w:tblPrEx>
        <w:trPr>
          <w:trHeight w:val="467" w:hRule="atLeast"/>
        </w:trPr>
        <w:tc>
          <w:tcPr>
            <w:tcW w:w="965" w:type="dxa"/>
            <w:vAlign w:val="center"/>
          </w:tcPr>
          <w:p>
            <w:pPr>
              <w:tabs>
                <w:tab w:val="left" w:pos="0"/>
              </w:tabs>
              <w:spacing w:line="240" w:lineRule="atLeast"/>
              <w:jc w:val="center"/>
              <w:rPr>
                <w:rFonts w:ascii="宋体" w:hAnsi="宋体" w:cs="宋体"/>
                <w:szCs w:val="21"/>
                <w:highlight w:val="none"/>
              </w:rPr>
            </w:pPr>
            <w:r>
              <w:rPr>
                <w:rFonts w:hint="eastAsia" w:ascii="宋体" w:hAnsi="宋体" w:cs="宋体"/>
                <w:szCs w:val="21"/>
                <w:highlight w:val="none"/>
              </w:rPr>
              <w:t>7</w:t>
            </w:r>
          </w:p>
        </w:tc>
        <w:tc>
          <w:tcPr>
            <w:tcW w:w="10387" w:type="dxa"/>
            <w:vAlign w:val="center"/>
          </w:tcPr>
          <w:p>
            <w:pPr>
              <w:tabs>
                <w:tab w:val="left" w:pos="0"/>
              </w:tabs>
              <w:spacing w:line="240" w:lineRule="atLeast"/>
              <w:rPr>
                <w:rFonts w:ascii="宋体" w:hAnsi="宋体" w:cs="宋体"/>
                <w:szCs w:val="21"/>
                <w:highlight w:val="none"/>
              </w:rPr>
            </w:pPr>
            <w:r>
              <w:rPr>
                <w:rFonts w:hint="eastAsia" w:ascii="宋体" w:hAnsi="宋体" w:cs="宋体"/>
                <w:szCs w:val="21"/>
                <w:highlight w:val="none"/>
              </w:rPr>
              <w:t>投标人与其他投标人加密打包投标文件电脑机器特征码一致的(以广州公共资源交易中心交易平台评标系统的检索信息为准)。</w:t>
            </w:r>
          </w:p>
        </w:tc>
        <w:tc>
          <w:tcPr>
            <w:tcW w:w="990" w:type="dxa"/>
          </w:tcPr>
          <w:p>
            <w:pPr>
              <w:tabs>
                <w:tab w:val="left" w:pos="0"/>
              </w:tabs>
              <w:spacing w:line="240" w:lineRule="atLeast"/>
              <w:ind w:left="552" w:leftChars="228" w:hanging="73" w:hangingChars="35"/>
              <w:rPr>
                <w:rFonts w:ascii="宋体" w:hAnsi="宋体" w:cs="宋体"/>
                <w:szCs w:val="21"/>
                <w:highlight w:val="none"/>
              </w:rPr>
            </w:pPr>
          </w:p>
        </w:tc>
        <w:tc>
          <w:tcPr>
            <w:tcW w:w="917" w:type="dxa"/>
          </w:tcPr>
          <w:p>
            <w:pPr>
              <w:tabs>
                <w:tab w:val="left" w:pos="0"/>
              </w:tabs>
              <w:spacing w:line="240" w:lineRule="atLeast"/>
              <w:ind w:left="552" w:leftChars="228" w:hanging="73" w:hangingChars="35"/>
              <w:rPr>
                <w:rFonts w:ascii="宋体" w:hAnsi="宋体" w:cs="宋体"/>
                <w:szCs w:val="21"/>
                <w:highlight w:val="none"/>
              </w:rPr>
            </w:pPr>
          </w:p>
        </w:tc>
        <w:tc>
          <w:tcPr>
            <w:tcW w:w="917" w:type="dxa"/>
          </w:tcPr>
          <w:p>
            <w:pPr>
              <w:tabs>
                <w:tab w:val="left" w:pos="0"/>
              </w:tabs>
              <w:spacing w:line="240" w:lineRule="atLeast"/>
              <w:ind w:left="552" w:leftChars="228" w:hanging="73" w:hangingChars="35"/>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 w:type="dxa"/>
            <w:bottom w:w="0" w:type="dxa"/>
            <w:right w:w="10" w:type="dxa"/>
          </w:tblCellMar>
        </w:tblPrEx>
        <w:trPr>
          <w:trHeight w:val="467" w:hRule="atLeast"/>
        </w:trPr>
        <w:tc>
          <w:tcPr>
            <w:tcW w:w="965" w:type="dxa"/>
            <w:vAlign w:val="center"/>
          </w:tcPr>
          <w:p>
            <w:pPr>
              <w:tabs>
                <w:tab w:val="left" w:pos="0"/>
              </w:tabs>
              <w:spacing w:line="240" w:lineRule="atLeast"/>
              <w:jc w:val="center"/>
              <w:rPr>
                <w:rFonts w:ascii="宋体" w:hAnsi="宋体" w:cs="宋体"/>
                <w:szCs w:val="21"/>
                <w:highlight w:val="none"/>
              </w:rPr>
            </w:pPr>
            <w:r>
              <w:rPr>
                <w:rFonts w:hint="eastAsia" w:ascii="宋体" w:hAnsi="宋体" w:cs="宋体"/>
                <w:szCs w:val="21"/>
                <w:highlight w:val="none"/>
              </w:rPr>
              <w:t>结论</w:t>
            </w:r>
          </w:p>
        </w:tc>
        <w:tc>
          <w:tcPr>
            <w:tcW w:w="10387" w:type="dxa"/>
            <w:vAlign w:val="center"/>
          </w:tcPr>
          <w:p>
            <w:pPr>
              <w:tabs>
                <w:tab w:val="left" w:pos="0"/>
              </w:tabs>
              <w:spacing w:line="240" w:lineRule="atLeast"/>
              <w:rPr>
                <w:rFonts w:ascii="宋体" w:hAnsi="宋体" w:cs="宋体"/>
                <w:szCs w:val="21"/>
                <w:highlight w:val="none"/>
              </w:rPr>
            </w:pPr>
            <w:r>
              <w:rPr>
                <w:rFonts w:hint="eastAsia" w:ascii="宋体" w:hAnsi="宋体" w:cs="宋体"/>
                <w:szCs w:val="21"/>
                <w:highlight w:val="none"/>
              </w:rPr>
              <w:t>是否通过并进入下一阶段。</w:t>
            </w:r>
          </w:p>
        </w:tc>
        <w:tc>
          <w:tcPr>
            <w:tcW w:w="990" w:type="dxa"/>
          </w:tcPr>
          <w:p>
            <w:pPr>
              <w:tabs>
                <w:tab w:val="left" w:pos="0"/>
              </w:tabs>
              <w:spacing w:line="240" w:lineRule="atLeast"/>
              <w:ind w:left="552" w:leftChars="228" w:hanging="73" w:hangingChars="35"/>
              <w:rPr>
                <w:rFonts w:ascii="宋体" w:hAnsi="宋体" w:cs="宋体"/>
                <w:szCs w:val="21"/>
                <w:highlight w:val="none"/>
              </w:rPr>
            </w:pPr>
          </w:p>
        </w:tc>
        <w:tc>
          <w:tcPr>
            <w:tcW w:w="917" w:type="dxa"/>
          </w:tcPr>
          <w:p>
            <w:pPr>
              <w:tabs>
                <w:tab w:val="left" w:pos="0"/>
              </w:tabs>
              <w:spacing w:line="240" w:lineRule="atLeast"/>
              <w:ind w:left="552" w:leftChars="228" w:hanging="73" w:hangingChars="35"/>
              <w:rPr>
                <w:rFonts w:ascii="宋体" w:hAnsi="宋体" w:cs="宋体"/>
                <w:szCs w:val="21"/>
                <w:highlight w:val="none"/>
              </w:rPr>
            </w:pPr>
          </w:p>
        </w:tc>
        <w:tc>
          <w:tcPr>
            <w:tcW w:w="917" w:type="dxa"/>
          </w:tcPr>
          <w:p>
            <w:pPr>
              <w:tabs>
                <w:tab w:val="left" w:pos="0"/>
              </w:tabs>
              <w:spacing w:line="240" w:lineRule="atLeast"/>
              <w:ind w:left="552" w:leftChars="228" w:hanging="73" w:hangingChars="35"/>
              <w:rPr>
                <w:rFonts w:ascii="宋体" w:hAnsi="宋体" w:cs="宋体"/>
                <w:szCs w:val="21"/>
                <w:highlight w:val="none"/>
              </w:rPr>
            </w:pPr>
          </w:p>
        </w:tc>
      </w:tr>
    </w:tbl>
    <w:p>
      <w:pPr>
        <w:rPr>
          <w:rFonts w:ascii="宋体" w:hAnsi="宋体" w:cs="宋体"/>
          <w:szCs w:val="21"/>
          <w:highlight w:val="none"/>
        </w:rPr>
      </w:pPr>
      <w:r>
        <w:rPr>
          <w:rFonts w:hint="eastAsia" w:ascii="宋体" w:hAnsi="宋体" w:cs="宋体"/>
          <w:sz w:val="18"/>
          <w:szCs w:val="18"/>
          <w:highlight w:val="none"/>
        </w:rPr>
        <w:t>备注：</w:t>
      </w:r>
    </w:p>
    <w:p>
      <w:pPr>
        <w:widowControl/>
        <w:jc w:val="left"/>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rPr>
        <w:t>1</w:t>
      </w:r>
      <w:r>
        <w:rPr>
          <w:rFonts w:hint="eastAsia" w:ascii="宋体" w:hAnsi="宋体" w:eastAsia="宋体" w:cs="宋体"/>
          <w:bCs/>
          <w:color w:val="000000"/>
          <w:kern w:val="0"/>
          <w:sz w:val="18"/>
          <w:szCs w:val="18"/>
        </w:rPr>
        <w:t>.凡出现以上任何一项情形，结论均为无效，否则就为有效。</w:t>
      </w:r>
    </w:p>
    <w:p>
      <w:pPr>
        <w:widowControl/>
        <w:jc w:val="left"/>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rPr>
        <w:t>2</w:t>
      </w:r>
      <w:r>
        <w:rPr>
          <w:rFonts w:hint="eastAsia" w:ascii="宋体" w:hAnsi="宋体" w:eastAsia="宋体" w:cs="宋体"/>
          <w:bCs/>
          <w:color w:val="000000"/>
          <w:kern w:val="0"/>
          <w:sz w:val="18"/>
          <w:szCs w:val="18"/>
        </w:rPr>
        <w:t>.如对本表中某种情形的评审意见不一致时，以评标委员会过半数成员的意见作为评标委员会对该情形的认定结论。</w:t>
      </w:r>
    </w:p>
    <w:p>
      <w:pPr>
        <w:widowControl/>
        <w:spacing w:line="240" w:lineRule="auto"/>
        <w:jc w:val="left"/>
        <w:rPr>
          <w:rFonts w:hint="eastAsia" w:ascii="宋体" w:hAnsi="宋体" w:eastAsia="宋体" w:cs="宋体"/>
          <w:b w:val="0"/>
          <w:bCs/>
          <w:kern w:val="0"/>
          <w:sz w:val="18"/>
          <w:szCs w:val="18"/>
        </w:rPr>
      </w:pPr>
      <w:r>
        <w:rPr>
          <w:rFonts w:hint="eastAsia" w:ascii="宋体" w:hAnsi="宋体" w:cs="宋体"/>
          <w:bCs/>
          <w:sz w:val="18"/>
          <w:szCs w:val="18"/>
          <w:lang w:val="en-US" w:eastAsia="zh-CN"/>
        </w:rPr>
        <w:t>3</w:t>
      </w:r>
      <w:r>
        <w:rPr>
          <w:rFonts w:hint="eastAsia" w:ascii="宋体" w:hAnsi="宋体" w:cs="宋体"/>
          <w:bCs/>
          <w:sz w:val="18"/>
          <w:szCs w:val="18"/>
        </w:rPr>
        <w:t>.</w:t>
      </w:r>
      <w:r>
        <w:rPr>
          <w:rFonts w:hint="eastAsia" w:ascii="宋体" w:hAnsi="宋体" w:eastAsia="宋体" w:cs="宋体"/>
          <w:b w:val="0"/>
          <w:bCs/>
          <w:color w:val="000000"/>
          <w:kern w:val="0"/>
          <w:sz w:val="18"/>
          <w:szCs w:val="18"/>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widowControl/>
        <w:spacing w:line="240" w:lineRule="auto"/>
        <w:jc w:val="left"/>
        <w:rPr>
          <w:rFonts w:ascii="宋体" w:hAnsi="宋体"/>
          <w:szCs w:val="21"/>
          <w:highlight w:val="none"/>
        </w:rPr>
        <w:sectPr>
          <w:pgSz w:w="16838" w:h="11906" w:orient="landscape"/>
          <w:pgMar w:top="1134" w:right="1418" w:bottom="1134" w:left="1418" w:header="851" w:footer="992" w:gutter="0"/>
          <w:pgNumType w:fmt="decimal"/>
          <w:cols w:space="720" w:num="1"/>
          <w:docGrid w:type="lines" w:linePitch="312" w:charSpace="0"/>
        </w:sectPr>
      </w:pPr>
      <w:r>
        <w:rPr>
          <w:rFonts w:hint="eastAsia" w:ascii="宋体" w:hAnsi="宋体"/>
          <w:highlight w:val="none"/>
        </w:rPr>
        <w:t>评委签名：</w:t>
      </w:r>
      <w:r>
        <w:rPr>
          <w:rFonts w:hint="eastAsia" w:ascii="宋体" w:hAnsi="宋体"/>
          <w:szCs w:val="21"/>
          <w:highlight w:val="none"/>
        </w:rPr>
        <w:t xml:space="preserve">                     日期：</w:t>
      </w:r>
    </w:p>
    <w:p>
      <w:pPr>
        <w:spacing w:line="360" w:lineRule="auto"/>
        <w:rPr>
          <w:rFonts w:ascii="宋体" w:hAnsi="宋体"/>
          <w:b/>
          <w:sz w:val="28"/>
          <w:szCs w:val="28"/>
          <w:highlight w:val="none"/>
        </w:rPr>
      </w:pPr>
      <w:r>
        <w:rPr>
          <w:rFonts w:hint="eastAsia" w:ascii="宋体" w:hAnsi="宋体"/>
          <w:b/>
          <w:sz w:val="28"/>
          <w:szCs w:val="28"/>
          <w:highlight w:val="none"/>
        </w:rPr>
        <w:t>附表5：                                     投标报价得分表</w:t>
      </w:r>
    </w:p>
    <w:tbl>
      <w:tblPr>
        <w:tblStyle w:val="16"/>
        <w:tblW w:w="140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3195"/>
        <w:gridCol w:w="980"/>
        <w:gridCol w:w="980"/>
        <w:gridCol w:w="980"/>
        <w:gridCol w:w="979"/>
        <w:gridCol w:w="980"/>
        <w:gridCol w:w="980"/>
        <w:gridCol w:w="980"/>
        <w:gridCol w:w="1"/>
        <w:gridCol w:w="979"/>
        <w:gridCol w:w="1"/>
        <w:gridCol w:w="979"/>
        <w:gridCol w:w="1"/>
        <w:gridCol w:w="980"/>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82" w:hRule="atLeast"/>
          <w:jc w:val="center"/>
        </w:trPr>
        <w:tc>
          <w:tcPr>
            <w:tcW w:w="31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r>
              <w:rPr>
                <w:rFonts w:hint="eastAsia" w:ascii="宋体" w:hAnsi="宋体"/>
                <w:szCs w:val="21"/>
                <w:highlight w:val="none"/>
              </w:rPr>
              <w:t>投标人名称</w:t>
            </w:r>
          </w:p>
        </w:tc>
        <w:tc>
          <w:tcPr>
            <w:tcW w:w="98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8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8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7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8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8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8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8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56" w:hRule="atLeast"/>
          <w:jc w:val="center"/>
        </w:trPr>
        <w:tc>
          <w:tcPr>
            <w:tcW w:w="31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r>
              <w:rPr>
                <w:rFonts w:hint="eastAsia" w:ascii="宋体" w:hAnsi="宋体"/>
                <w:szCs w:val="21"/>
                <w:highlight w:val="none"/>
              </w:rPr>
              <w:t>投标报价PT（万元）</w:t>
            </w:r>
          </w:p>
        </w:tc>
        <w:tc>
          <w:tcPr>
            <w:tcW w:w="98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8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8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7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8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8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8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8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57" w:hRule="atLeast"/>
          <w:jc w:val="center"/>
        </w:trPr>
        <w:tc>
          <w:tcPr>
            <w:tcW w:w="31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r>
              <w:rPr>
                <w:rFonts w:hint="eastAsia" w:ascii="宋体" w:hAnsi="宋体"/>
                <w:szCs w:val="21"/>
                <w:highlight w:val="none"/>
              </w:rPr>
              <w:t>计算参考数据</w:t>
            </w:r>
          </w:p>
        </w:tc>
        <w:tc>
          <w:tcPr>
            <w:tcW w:w="10805" w:type="dxa"/>
            <w:gridSpan w:val="14"/>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r>
              <w:rPr>
                <w:rFonts w:hint="eastAsia" w:ascii="宋体" w:hAnsi="宋体"/>
                <w:szCs w:val="21"/>
                <w:highlight w:val="none"/>
              </w:rPr>
              <w:t>评标基准价（PC）：</w:t>
            </w:r>
            <w:r>
              <w:rPr>
                <w:rFonts w:hint="eastAsia" w:ascii="宋体" w:hAnsi="宋体"/>
                <w:szCs w:val="21"/>
                <w:highlight w:val="none"/>
                <w:u w:val="single"/>
              </w:rPr>
              <w:t xml:space="preserve">               </w:t>
            </w:r>
            <w:r>
              <w:rPr>
                <w:rFonts w:hint="eastAsia" w:ascii="宋体" w:hAnsi="宋体"/>
                <w:szCs w:val="21"/>
                <w:highlight w:val="none"/>
              </w:rPr>
              <w:t>（万元）保留2位小数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57" w:hRule="atLeast"/>
          <w:jc w:val="center"/>
        </w:trPr>
        <w:tc>
          <w:tcPr>
            <w:tcW w:w="31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r>
              <w:rPr>
                <w:rFonts w:hint="eastAsia" w:ascii="宋体" w:hAnsi="宋体"/>
                <w:spacing w:val="-10"/>
                <w:szCs w:val="21"/>
                <w:highlight w:val="none"/>
              </w:rPr>
              <w:t>偏差（（PT-PC）/PC）（%）</w:t>
            </w:r>
          </w:p>
        </w:tc>
        <w:tc>
          <w:tcPr>
            <w:tcW w:w="98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8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8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7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8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8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8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8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56" w:hRule="atLeast"/>
          <w:jc w:val="center"/>
        </w:trPr>
        <w:tc>
          <w:tcPr>
            <w:tcW w:w="31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r>
              <w:rPr>
                <w:rFonts w:hint="eastAsia" w:ascii="宋体" w:hAnsi="宋体"/>
                <w:szCs w:val="21"/>
                <w:highlight w:val="none"/>
              </w:rPr>
              <w:t>减分（A）</w:t>
            </w:r>
          </w:p>
        </w:tc>
        <w:tc>
          <w:tcPr>
            <w:tcW w:w="98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8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8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7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8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8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8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8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67" w:hRule="atLeast"/>
          <w:jc w:val="center"/>
        </w:trPr>
        <w:tc>
          <w:tcPr>
            <w:tcW w:w="31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r>
              <w:rPr>
                <w:rFonts w:hint="eastAsia" w:ascii="宋体" w:hAnsi="宋体"/>
                <w:szCs w:val="21"/>
                <w:highlight w:val="none"/>
              </w:rPr>
              <w:t>得分(I=100-A)</w:t>
            </w:r>
          </w:p>
        </w:tc>
        <w:tc>
          <w:tcPr>
            <w:tcW w:w="98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8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8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7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8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8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80"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98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highlight w:val="none"/>
              </w:rPr>
            </w:pPr>
          </w:p>
        </w:tc>
      </w:tr>
    </w:tbl>
    <w:p>
      <w:pPr>
        <w:spacing w:line="360" w:lineRule="auto"/>
        <w:rPr>
          <w:rFonts w:ascii="宋体" w:hAnsi="宋体"/>
          <w:sz w:val="24"/>
          <w:highlight w:val="none"/>
        </w:rPr>
      </w:pPr>
      <w:r>
        <w:rPr>
          <w:rFonts w:hint="eastAsia" w:ascii="宋体" w:hAnsi="宋体"/>
          <w:szCs w:val="21"/>
          <w:highlight w:val="none"/>
        </w:rPr>
        <w:t>评委签名：                                                       日期：</w:t>
      </w:r>
    </w:p>
    <w:p>
      <w:pPr>
        <w:spacing w:line="360" w:lineRule="auto"/>
        <w:rPr>
          <w:rFonts w:ascii="宋体" w:hAnsi="宋体"/>
          <w:b/>
          <w:sz w:val="28"/>
          <w:szCs w:val="28"/>
          <w:highlight w:val="none"/>
        </w:rPr>
      </w:pPr>
    </w:p>
    <w:p>
      <w:pPr>
        <w:spacing w:line="360" w:lineRule="auto"/>
        <w:rPr>
          <w:rFonts w:ascii="宋体" w:hAnsi="宋体"/>
          <w:b/>
          <w:szCs w:val="21"/>
          <w:highlight w:val="none"/>
        </w:rPr>
      </w:pPr>
    </w:p>
    <w:p>
      <w:pPr>
        <w:widowControl/>
        <w:snapToGrid w:val="0"/>
        <w:spacing w:line="360" w:lineRule="auto"/>
        <w:ind w:right="102"/>
        <w:jc w:val="left"/>
        <w:rPr>
          <w:rFonts w:ascii="宋体" w:hAnsi="宋体"/>
          <w:highlight w:val="none"/>
        </w:rPr>
        <w:sectPr>
          <w:pgSz w:w="16838" w:h="11906" w:orient="landscape"/>
          <w:pgMar w:top="1134" w:right="1418" w:bottom="1134" w:left="1418" w:header="851" w:footer="992" w:gutter="0"/>
          <w:pgNumType w:fmt="decimal"/>
          <w:cols w:space="720" w:num="1"/>
          <w:docGrid w:type="lines" w:linePitch="312" w:charSpace="0"/>
        </w:sectPr>
      </w:pPr>
    </w:p>
    <w:p>
      <w:pPr>
        <w:jc w:val="center"/>
        <w:rPr>
          <w:b/>
          <w:bCs/>
          <w:sz w:val="30"/>
          <w:szCs w:val="30"/>
          <w:highlight w:val="none"/>
        </w:rPr>
      </w:pPr>
      <w:bookmarkStart w:id="1005" w:name="_Toc125"/>
      <w:bookmarkStart w:id="1006" w:name="_Toc247527826"/>
      <w:bookmarkStart w:id="1007" w:name="_Toc13226"/>
      <w:bookmarkStart w:id="1008" w:name="_Toc4814"/>
      <w:bookmarkStart w:id="1009" w:name="_Toc13541"/>
      <w:bookmarkStart w:id="1010" w:name="_Toc51288269"/>
      <w:bookmarkStart w:id="1011" w:name="_Toc29554"/>
      <w:bookmarkStart w:id="1012" w:name="_Toc152045786"/>
      <w:bookmarkStart w:id="1013" w:name="_Toc28411"/>
      <w:bookmarkStart w:id="1014" w:name="_Toc20831"/>
      <w:bookmarkStart w:id="1015" w:name="_Toc29897"/>
      <w:bookmarkStart w:id="1016" w:name="_Toc152042575"/>
      <w:bookmarkStart w:id="1017" w:name="_Toc144974855"/>
      <w:bookmarkStart w:id="1018" w:name="_Toc247514245"/>
      <w:bookmarkStart w:id="1019" w:name="_Toc27704"/>
      <w:r>
        <w:rPr>
          <w:rFonts w:hint="eastAsia"/>
          <w:b/>
          <w:bCs/>
          <w:sz w:val="30"/>
          <w:szCs w:val="30"/>
          <w:highlight w:val="none"/>
        </w:rPr>
        <w:t>第四章  投标文件格式</w:t>
      </w:r>
    </w:p>
    <w:p>
      <w:pPr>
        <w:spacing w:line="400" w:lineRule="exact"/>
        <w:ind w:firstLine="0" w:firstLineChars="0"/>
        <w:rPr>
          <w:rFonts w:hint="eastAsia" w:eastAsia="宋体"/>
          <w:highlight w:val="none"/>
          <w:lang w:eastAsia="zh-CN"/>
        </w:rPr>
        <w:sectPr>
          <w:pgSz w:w="11906" w:h="16838"/>
          <w:pgMar w:top="1440" w:right="1800" w:bottom="1440" w:left="1800" w:header="851" w:footer="992" w:gutter="0"/>
          <w:pgNumType w:fmt="decimal"/>
          <w:cols w:space="720" w:num="1"/>
          <w:docGrid w:type="lines" w:linePitch="312" w:charSpace="0"/>
        </w:sectPr>
      </w:pPr>
    </w:p>
    <w:p>
      <w:pPr>
        <w:pStyle w:val="22"/>
        <w:spacing w:beforeLines="0" w:afterLines="0" w:line="360" w:lineRule="auto"/>
        <w:rPr>
          <w:rFonts w:hint="eastAsia" w:ascii="宋体" w:eastAsia="宋体" w:cs="宋体"/>
          <w:color w:val="auto"/>
        </w:rPr>
      </w:pPr>
      <w:bookmarkStart w:id="1020" w:name="_Toc1098"/>
      <w:bookmarkStart w:id="1021" w:name="_Toc19315"/>
      <w:bookmarkStart w:id="1022" w:name="_Toc17039"/>
      <w:bookmarkStart w:id="1023" w:name="_Toc5461"/>
      <w:r>
        <w:rPr>
          <w:rFonts w:hint="eastAsia" w:ascii="宋体" w:eastAsia="宋体" w:cs="宋体"/>
          <w:color w:val="auto"/>
          <w:kern w:val="1"/>
        </w:rPr>
        <w:t>格式1：</w:t>
      </w:r>
      <w:r>
        <w:rPr>
          <w:rFonts w:hint="eastAsia" w:ascii="宋体" w:eastAsia="宋体" w:cs="宋体"/>
          <w:color w:val="auto"/>
        </w:rPr>
        <w:t>（含资格审查文件、工程总承包实施方案、投标报价）投标文件封面</w:t>
      </w:r>
      <w:bookmarkEnd w:id="1020"/>
      <w:bookmarkEnd w:id="1021"/>
      <w:bookmarkEnd w:id="1022"/>
      <w:bookmarkEnd w:id="1023"/>
    </w:p>
    <w:p>
      <w:pPr>
        <w:widowControl/>
        <w:adjustRightInd w:val="0"/>
        <w:snapToGrid w:val="0"/>
        <w:spacing w:line="360" w:lineRule="auto"/>
        <w:ind w:right="102"/>
        <w:rPr>
          <w:rFonts w:hint="eastAsia" w:ascii="宋体" w:hAnsi="宋体" w:cs="宋体"/>
          <w:color w:val="auto"/>
        </w:rPr>
      </w:pPr>
      <w:r>
        <w:rPr>
          <w:rFonts w:hint="eastAsia" w:ascii="宋体" w:hAnsi="宋体" w:cs="宋体"/>
          <w:color w:val="auto"/>
        </w:rPr>
        <w:t xml:space="preserve"> </w:t>
      </w:r>
    </w:p>
    <w:p>
      <w:pPr>
        <w:spacing w:line="440" w:lineRule="exact"/>
        <w:rPr>
          <w:rFonts w:hint="eastAsia" w:ascii="宋体" w:hAnsi="宋体" w:cs="宋体"/>
          <w:color w:val="auto"/>
          <w:sz w:val="20"/>
          <w:szCs w:val="20"/>
        </w:rPr>
      </w:pPr>
    </w:p>
    <w:p>
      <w:pPr>
        <w:jc w:val="center"/>
        <w:rPr>
          <w:rFonts w:hint="eastAsia" w:ascii="宋体" w:hAnsi="宋体" w:cs="宋体"/>
          <w:color w:val="auto"/>
          <w:sz w:val="28"/>
          <w:szCs w:val="28"/>
        </w:rPr>
      </w:pPr>
      <w:r>
        <w:rPr>
          <w:rFonts w:hint="eastAsia" w:ascii="宋体" w:hAnsi="宋体" w:cs="宋体"/>
          <w:color w:val="auto"/>
          <w:sz w:val="28"/>
          <w:szCs w:val="28"/>
          <w:u w:val="single"/>
        </w:rPr>
        <w:t xml:space="preserve">            </w:t>
      </w:r>
      <w:r>
        <w:rPr>
          <w:rFonts w:hint="eastAsia" w:ascii="宋体" w:hAnsi="宋体" w:cs="宋体"/>
          <w:color w:val="auto"/>
          <w:sz w:val="28"/>
          <w:szCs w:val="28"/>
        </w:rPr>
        <w:t>（项目名称）</w:t>
      </w:r>
    </w:p>
    <w:p>
      <w:pPr>
        <w:rPr>
          <w:rFonts w:hint="eastAsia" w:ascii="宋体" w:hAnsi="宋体" w:cs="宋体"/>
          <w:color w:val="auto"/>
          <w:sz w:val="20"/>
          <w:szCs w:val="20"/>
        </w:rPr>
      </w:pPr>
    </w:p>
    <w:p>
      <w:pPr>
        <w:rPr>
          <w:rFonts w:hint="eastAsia" w:ascii="宋体" w:hAnsi="宋体" w:cs="宋体"/>
          <w:color w:val="auto"/>
          <w:sz w:val="20"/>
          <w:szCs w:val="20"/>
        </w:rPr>
      </w:pPr>
    </w:p>
    <w:p>
      <w:pPr>
        <w:jc w:val="center"/>
        <w:rPr>
          <w:rFonts w:hint="eastAsia" w:ascii="宋体" w:hAnsi="宋体" w:cs="宋体"/>
          <w:color w:val="auto"/>
          <w:sz w:val="44"/>
          <w:szCs w:val="44"/>
        </w:rPr>
      </w:pPr>
    </w:p>
    <w:p>
      <w:pPr>
        <w:jc w:val="center"/>
        <w:rPr>
          <w:rFonts w:hint="eastAsia" w:ascii="宋体" w:hAnsi="宋体" w:cs="宋体"/>
          <w:color w:val="auto"/>
          <w:sz w:val="44"/>
          <w:szCs w:val="44"/>
        </w:rPr>
      </w:pPr>
    </w:p>
    <w:p>
      <w:pPr>
        <w:jc w:val="center"/>
        <w:rPr>
          <w:rFonts w:hint="eastAsia" w:ascii="宋体" w:hAnsi="宋体" w:cs="宋体"/>
          <w:color w:val="auto"/>
          <w:sz w:val="44"/>
          <w:szCs w:val="44"/>
        </w:rPr>
      </w:pPr>
    </w:p>
    <w:p>
      <w:pPr>
        <w:jc w:val="center"/>
        <w:rPr>
          <w:rFonts w:hint="eastAsia" w:ascii="宋体" w:hAnsi="宋体" w:cs="宋体"/>
          <w:color w:val="auto"/>
          <w:sz w:val="44"/>
          <w:szCs w:val="44"/>
        </w:rPr>
      </w:pPr>
    </w:p>
    <w:p>
      <w:pPr>
        <w:jc w:val="center"/>
        <w:rPr>
          <w:rFonts w:hint="eastAsia" w:ascii="宋体" w:hAnsi="宋体" w:cs="宋体"/>
          <w:color w:val="auto"/>
          <w:sz w:val="44"/>
          <w:szCs w:val="44"/>
        </w:rPr>
      </w:pPr>
    </w:p>
    <w:p>
      <w:pPr>
        <w:jc w:val="center"/>
        <w:rPr>
          <w:rFonts w:hint="eastAsia" w:ascii="宋体" w:hAnsi="宋体" w:cs="宋体"/>
          <w:color w:val="auto"/>
          <w:sz w:val="44"/>
          <w:szCs w:val="44"/>
        </w:rPr>
      </w:pPr>
    </w:p>
    <w:p>
      <w:pPr>
        <w:jc w:val="center"/>
        <w:rPr>
          <w:rFonts w:hint="eastAsia" w:ascii="宋体" w:hAnsi="宋体" w:cs="宋体"/>
          <w:color w:val="auto"/>
          <w:sz w:val="44"/>
          <w:szCs w:val="44"/>
        </w:rPr>
      </w:pPr>
      <w:r>
        <w:rPr>
          <w:rFonts w:hint="eastAsia" w:ascii="宋体" w:hAnsi="宋体" w:cs="宋体"/>
          <w:color w:val="auto"/>
          <w:sz w:val="44"/>
          <w:szCs w:val="44"/>
        </w:rPr>
        <w:t>投  标  文  件</w:t>
      </w:r>
    </w:p>
    <w:p>
      <w:pPr>
        <w:rPr>
          <w:rFonts w:hint="eastAsia" w:ascii="宋体" w:hAnsi="宋体" w:cs="宋体"/>
          <w:color w:val="auto"/>
          <w:sz w:val="28"/>
          <w:szCs w:val="28"/>
        </w:rPr>
      </w:pPr>
    </w:p>
    <w:p>
      <w:pPr>
        <w:rPr>
          <w:rFonts w:hint="eastAsia" w:ascii="宋体" w:hAnsi="宋体" w:cs="宋体"/>
          <w:color w:val="auto"/>
          <w:sz w:val="28"/>
          <w:szCs w:val="28"/>
        </w:rPr>
      </w:pPr>
    </w:p>
    <w:p>
      <w:pPr>
        <w:rPr>
          <w:rFonts w:hint="eastAsia" w:ascii="宋体" w:hAnsi="宋体" w:cs="宋体"/>
          <w:color w:val="auto"/>
          <w:sz w:val="28"/>
          <w:szCs w:val="28"/>
        </w:rPr>
      </w:pPr>
    </w:p>
    <w:p>
      <w:pPr>
        <w:rPr>
          <w:rFonts w:hint="eastAsia" w:ascii="宋体" w:hAnsi="宋体" w:cs="宋体"/>
          <w:color w:val="auto"/>
          <w:sz w:val="28"/>
          <w:szCs w:val="28"/>
        </w:rPr>
      </w:pPr>
    </w:p>
    <w:p>
      <w:pPr>
        <w:rPr>
          <w:rFonts w:hint="eastAsia" w:ascii="宋体" w:hAnsi="宋体" w:cs="宋体"/>
          <w:color w:val="auto"/>
          <w:sz w:val="28"/>
          <w:szCs w:val="28"/>
        </w:rPr>
      </w:pPr>
    </w:p>
    <w:p>
      <w:pPr>
        <w:rPr>
          <w:rFonts w:hint="eastAsia" w:ascii="宋体" w:hAnsi="宋体" w:cs="宋体"/>
          <w:color w:val="auto"/>
          <w:sz w:val="28"/>
          <w:szCs w:val="28"/>
        </w:rPr>
      </w:pPr>
    </w:p>
    <w:p>
      <w:pPr>
        <w:jc w:val="center"/>
        <w:rPr>
          <w:rFonts w:hint="eastAsia" w:ascii="宋体" w:hAnsi="宋体" w:cs="宋体"/>
          <w:color w:val="auto"/>
          <w:sz w:val="28"/>
          <w:szCs w:val="28"/>
          <w:u w:val="single"/>
        </w:rPr>
      </w:pPr>
      <w:r>
        <w:rPr>
          <w:rFonts w:hint="eastAsia" w:ascii="宋体" w:hAnsi="宋体" w:cs="宋体"/>
          <w:color w:val="auto"/>
          <w:sz w:val="28"/>
          <w:szCs w:val="28"/>
        </w:rPr>
        <w:t>投标人：</w:t>
      </w:r>
      <w:r>
        <w:rPr>
          <w:rFonts w:hint="eastAsia" w:ascii="宋体" w:hAnsi="宋体" w:cs="宋体"/>
          <w:color w:val="auto"/>
          <w:sz w:val="28"/>
          <w:szCs w:val="28"/>
          <w:u w:val="single"/>
        </w:rPr>
        <w:t xml:space="preserve">                              </w:t>
      </w:r>
      <w:r>
        <w:rPr>
          <w:rFonts w:hint="eastAsia" w:ascii="宋体" w:hAnsi="宋体" w:cs="宋体"/>
          <w:color w:val="auto"/>
          <w:sz w:val="28"/>
          <w:szCs w:val="28"/>
        </w:rPr>
        <w:t>（盖单位章）</w:t>
      </w:r>
    </w:p>
    <w:p>
      <w:pPr>
        <w:jc w:val="center"/>
        <w:rPr>
          <w:rFonts w:hint="eastAsia" w:ascii="宋体" w:hAnsi="宋体" w:cs="宋体"/>
          <w:color w:val="auto"/>
          <w:sz w:val="28"/>
          <w:szCs w:val="28"/>
        </w:rPr>
      </w:pPr>
      <w:r>
        <w:rPr>
          <w:rFonts w:hint="eastAsia" w:ascii="宋体" w:hAnsi="宋体" w:cs="宋体"/>
          <w:color w:val="auto"/>
          <w:sz w:val="28"/>
          <w:szCs w:val="28"/>
        </w:rPr>
        <w:t>法定代表人或其委托代理人：</w:t>
      </w:r>
      <w:r>
        <w:rPr>
          <w:rFonts w:hint="eastAsia" w:ascii="宋体" w:hAnsi="宋体" w:cs="宋体"/>
          <w:color w:val="auto"/>
          <w:sz w:val="28"/>
          <w:szCs w:val="28"/>
          <w:u w:val="single"/>
        </w:rPr>
        <w:t xml:space="preserve">                </w:t>
      </w:r>
      <w:r>
        <w:rPr>
          <w:rFonts w:hint="eastAsia" w:ascii="宋体" w:hAnsi="宋体" w:cs="宋体"/>
          <w:color w:val="auto"/>
          <w:sz w:val="28"/>
          <w:szCs w:val="28"/>
        </w:rPr>
        <w:t>（签字）</w:t>
      </w:r>
    </w:p>
    <w:p>
      <w:pPr>
        <w:jc w:val="center"/>
        <w:rPr>
          <w:rFonts w:hint="eastAsia" w:ascii="宋体" w:hAnsi="宋体" w:cs="宋体"/>
          <w:color w:val="auto"/>
          <w:sz w:val="28"/>
          <w:szCs w:val="28"/>
        </w:rPr>
      </w:pPr>
      <w:r>
        <w:rPr>
          <w:rFonts w:hint="eastAsia" w:ascii="宋体" w:hAnsi="宋体" w:cs="宋体"/>
          <w:color w:val="auto"/>
          <w:sz w:val="28"/>
          <w:szCs w:val="28"/>
          <w:u w:val="single"/>
        </w:rPr>
        <w:t xml:space="preserve">        </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rPr>
        <w:t>日</w:t>
      </w:r>
    </w:p>
    <w:p>
      <w:pPr>
        <w:spacing w:line="440" w:lineRule="exact"/>
        <w:rPr>
          <w:rFonts w:hint="eastAsia" w:ascii="宋体" w:hAnsi="宋体" w:cs="宋体"/>
          <w:color w:val="auto"/>
          <w:sz w:val="20"/>
          <w:szCs w:val="20"/>
        </w:rPr>
      </w:pPr>
    </w:p>
    <w:p>
      <w:pPr>
        <w:pStyle w:val="3"/>
        <w:sectPr>
          <w:pgSz w:w="11906" w:h="16838"/>
          <w:pgMar w:top="1440" w:right="1800" w:bottom="1440" w:left="1800" w:header="851" w:footer="992" w:gutter="0"/>
          <w:pgNumType w:fmt="decimal"/>
          <w:cols w:space="720" w:num="1"/>
          <w:docGrid w:type="lines" w:linePitch="312" w:charSpace="0"/>
        </w:sectPr>
      </w:pPr>
      <w:r>
        <w:rPr>
          <w:rFonts w:hint="eastAsia" w:cs="宋体"/>
          <w:color w:val="auto"/>
        </w:rPr>
        <w:br w:type="page"/>
      </w:r>
    </w:p>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pPr>
        <w:spacing w:line="360" w:lineRule="auto"/>
        <w:rPr>
          <w:rFonts w:ascii="宋体" w:hAnsi="宋体"/>
          <w:sz w:val="48"/>
          <w:szCs w:val="48"/>
          <w:highlight w:val="none"/>
        </w:rPr>
      </w:pPr>
      <w:bookmarkStart w:id="1024" w:name="_Toc22159"/>
      <w:bookmarkStart w:id="1025" w:name="_Toc23018"/>
      <w:bookmarkStart w:id="1026" w:name="_Toc11641"/>
      <w:bookmarkStart w:id="1027" w:name="_Toc2675480"/>
      <w:bookmarkStart w:id="1028" w:name="_Toc11060"/>
      <w:bookmarkStart w:id="1029" w:name="_Toc14846"/>
      <w:bookmarkStart w:id="1030" w:name="_Toc51288270"/>
      <w:bookmarkStart w:id="1031" w:name="_Toc13789"/>
      <w:bookmarkStart w:id="1032" w:name="_Toc50453125"/>
      <w:bookmarkStart w:id="1033" w:name="_Toc11155"/>
      <w:bookmarkStart w:id="1034" w:name="_Toc12198"/>
      <w:bookmarkStart w:id="1035" w:name="_Toc33695120"/>
      <w:bookmarkStart w:id="1036" w:name="_Toc13475"/>
      <w:bookmarkStart w:id="1037" w:name="_Toc32585"/>
      <w:r>
        <w:rPr>
          <w:rFonts w:hint="eastAsia" w:ascii="宋体" w:hAnsi="宋体"/>
          <w:highlight w:val="none"/>
        </w:rPr>
        <w:t>格式一：</w:t>
      </w:r>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p>
    <w:p>
      <w:pPr>
        <w:autoSpaceDE w:val="0"/>
        <w:autoSpaceDN w:val="0"/>
        <w:adjustRightInd w:val="0"/>
        <w:spacing w:line="360" w:lineRule="auto"/>
        <w:jc w:val="center"/>
        <w:rPr>
          <w:rFonts w:ascii="宋体" w:hAnsi="宋体" w:cs="宋体"/>
          <w:b/>
          <w:bCs/>
          <w:sz w:val="32"/>
          <w:szCs w:val="32"/>
          <w:highlight w:val="none"/>
          <w:lang w:val="zh-CN"/>
        </w:rPr>
      </w:pPr>
      <w:r>
        <w:rPr>
          <w:rFonts w:hint="eastAsia" w:ascii="宋体" w:hAnsi="宋体" w:cs="宋体"/>
          <w:b/>
          <w:bCs/>
          <w:sz w:val="36"/>
          <w:szCs w:val="36"/>
          <w:highlight w:val="none"/>
          <w:lang w:val="zh-CN"/>
        </w:rPr>
        <w:t>投标书</w:t>
      </w:r>
    </w:p>
    <w:tbl>
      <w:tblPr>
        <w:tblStyle w:val="16"/>
        <w:tblW w:w="96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59"/>
        <w:gridCol w:w="2100"/>
        <w:gridCol w:w="2640"/>
        <w:gridCol w:w="3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05" w:hRule="atLeast"/>
          <w:jc w:val="center"/>
        </w:trPr>
        <w:tc>
          <w:tcPr>
            <w:tcW w:w="315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4"/>
                <w:szCs w:val="24"/>
                <w:highlight w:val="none"/>
              </w:rPr>
            </w:pPr>
            <w:r>
              <w:rPr>
                <w:rFonts w:hint="eastAsia" w:ascii="宋体" w:hAnsi="宋体" w:cs="宋体"/>
                <w:b/>
                <w:sz w:val="24"/>
                <w:szCs w:val="24"/>
                <w:highlight w:val="none"/>
                <w:lang w:val="zh-CN"/>
              </w:rPr>
              <w:t>项目名称</w:t>
            </w:r>
          </w:p>
        </w:tc>
        <w:tc>
          <w:tcPr>
            <w:tcW w:w="651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szCs w:val="24"/>
                <w:highlight w:val="none"/>
                <w:lang w:val="zh-CN"/>
              </w:rPr>
            </w:pPr>
            <w:r>
              <w:rPr>
                <w:rFonts w:hint="eastAsia" w:ascii="宋体" w:hAnsi="宋体" w:cs="宋体"/>
                <w:kern w:val="0"/>
                <w:sz w:val="24"/>
                <w:szCs w:val="24"/>
                <w:highlight w:val="none"/>
                <w:u w:val="single"/>
              </w:rPr>
              <w:t>番禺电力科技园三期C、D、E、H栋设计施工总承包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803" w:hRule="atLeast"/>
          <w:jc w:val="center"/>
        </w:trPr>
        <w:tc>
          <w:tcPr>
            <w:tcW w:w="3159" w:type="dxa"/>
            <w:gridSpan w:val="2"/>
            <w:tcBorders>
              <w:top w:val="single" w:color="auto" w:sz="4" w:space="0"/>
              <w:left w:val="single" w:color="auto" w:sz="4" w:space="0"/>
              <w:right w:val="single" w:color="auto" w:sz="4" w:space="0"/>
            </w:tcBorders>
            <w:vAlign w:val="center"/>
          </w:tcPr>
          <w:p>
            <w:pPr>
              <w:spacing w:line="360" w:lineRule="auto"/>
              <w:jc w:val="center"/>
              <w:rPr>
                <w:rFonts w:ascii="宋体" w:hAnsi="宋体"/>
                <w:b/>
                <w:sz w:val="24"/>
                <w:szCs w:val="24"/>
                <w:highlight w:val="none"/>
              </w:rPr>
            </w:pPr>
            <w:r>
              <w:rPr>
                <w:rFonts w:hint="eastAsia" w:ascii="宋体" w:hAnsi="宋体" w:cs="宋体"/>
                <w:b/>
                <w:sz w:val="24"/>
                <w:szCs w:val="24"/>
                <w:highlight w:val="none"/>
                <w:lang w:val="zh-CN"/>
              </w:rPr>
              <w:t>投标总报价（元）</w:t>
            </w:r>
          </w:p>
        </w:tc>
        <w:tc>
          <w:tcPr>
            <w:tcW w:w="651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
                <w:sz w:val="24"/>
                <w:szCs w:val="24"/>
                <w:highlight w:val="none"/>
              </w:rPr>
            </w:pPr>
            <w:r>
              <w:rPr>
                <w:rFonts w:hint="eastAsia" w:ascii="宋体" w:hAnsi="宋体"/>
                <w:b/>
                <w:sz w:val="24"/>
                <w:szCs w:val="24"/>
                <w:highlight w:val="none"/>
              </w:rPr>
              <w:t>大写：</w:t>
            </w:r>
            <w:r>
              <w:rPr>
                <w:rFonts w:hint="eastAsia" w:ascii="宋体" w:hAnsi="宋体"/>
                <w:b/>
                <w:sz w:val="24"/>
                <w:szCs w:val="24"/>
                <w:highlight w:val="none"/>
                <w:u w:val="single"/>
              </w:rPr>
              <w:t xml:space="preserve">         </w:t>
            </w:r>
            <w:r>
              <w:rPr>
                <w:rFonts w:hint="eastAsia" w:ascii="宋体" w:hAnsi="宋体"/>
                <w:b/>
                <w:sz w:val="24"/>
                <w:szCs w:val="24"/>
                <w:highlight w:val="none"/>
                <w:u w:val="none"/>
                <w:lang w:eastAsia="zh-CN"/>
              </w:rPr>
              <w:t>，</w:t>
            </w:r>
            <w:r>
              <w:rPr>
                <w:rFonts w:hint="eastAsia" w:ascii="宋体" w:hAnsi="宋体"/>
                <w:b/>
                <w:sz w:val="24"/>
                <w:szCs w:val="24"/>
                <w:highlight w:val="none"/>
              </w:rPr>
              <w:t>小写：</w:t>
            </w:r>
            <w:r>
              <w:rPr>
                <w:rFonts w:hint="eastAsia" w:ascii="宋体" w:hAnsi="宋体"/>
                <w:b/>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75" w:hRule="atLeast"/>
          <w:jc w:val="center"/>
        </w:trPr>
        <w:tc>
          <w:tcPr>
            <w:tcW w:w="1059"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宋体" w:hAnsi="宋体"/>
                <w:bCs/>
                <w:sz w:val="24"/>
                <w:szCs w:val="24"/>
                <w:highlight w:val="none"/>
              </w:rPr>
            </w:pPr>
            <w:r>
              <w:rPr>
                <w:rFonts w:hint="eastAsia" w:ascii="宋体" w:hAnsi="宋体" w:cs="宋体"/>
                <w:bCs/>
                <w:sz w:val="24"/>
                <w:szCs w:val="24"/>
                <w:highlight w:val="none"/>
                <w:lang w:val="zh-CN"/>
              </w:rPr>
              <w:t>其中</w:t>
            </w:r>
          </w:p>
        </w:tc>
        <w:tc>
          <w:tcPr>
            <w:tcW w:w="210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bCs/>
                <w:sz w:val="24"/>
                <w:szCs w:val="24"/>
                <w:highlight w:val="none"/>
                <w:lang w:val="zh-CN"/>
              </w:rPr>
            </w:pPr>
            <w:r>
              <w:rPr>
                <w:rFonts w:hint="eastAsia" w:ascii="宋体" w:hAnsi="宋体"/>
                <w:bCs/>
                <w:sz w:val="24"/>
                <w:szCs w:val="24"/>
                <w:highlight w:val="none"/>
              </w:rPr>
              <w:t>建安工程费</w:t>
            </w:r>
          </w:p>
        </w:tc>
        <w:tc>
          <w:tcPr>
            <w:tcW w:w="651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Cs/>
                <w:sz w:val="24"/>
                <w:szCs w:val="24"/>
                <w:highlight w:val="none"/>
              </w:rPr>
            </w:pPr>
            <w:r>
              <w:rPr>
                <w:rFonts w:hint="eastAsia" w:ascii="宋体" w:hAnsi="宋体"/>
                <w:bCs/>
                <w:sz w:val="24"/>
                <w:szCs w:val="24"/>
                <w:highlight w:val="none"/>
              </w:rPr>
              <w:t>大写：</w:t>
            </w:r>
            <w:r>
              <w:rPr>
                <w:rFonts w:hint="eastAsia" w:ascii="宋体" w:hAnsi="宋体"/>
                <w:bCs/>
                <w:sz w:val="24"/>
                <w:szCs w:val="24"/>
                <w:highlight w:val="none"/>
                <w:u w:val="single"/>
              </w:rPr>
              <w:t xml:space="preserve">         </w:t>
            </w:r>
            <w:r>
              <w:rPr>
                <w:rFonts w:hint="eastAsia" w:ascii="宋体" w:hAnsi="宋体"/>
                <w:bCs/>
                <w:sz w:val="24"/>
                <w:szCs w:val="24"/>
                <w:highlight w:val="none"/>
              </w:rPr>
              <w:t>，小写：</w:t>
            </w:r>
            <w:r>
              <w:rPr>
                <w:rFonts w:hint="eastAsia" w:ascii="宋体" w:hAnsi="宋体"/>
                <w:bCs/>
                <w:sz w:val="24"/>
                <w:szCs w:val="24"/>
                <w:highlight w:val="none"/>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24" w:hRule="atLeast"/>
          <w:jc w:val="center"/>
        </w:trPr>
        <w:tc>
          <w:tcPr>
            <w:tcW w:w="1059" w:type="dxa"/>
            <w:vMerge w:val="continue"/>
            <w:tcBorders>
              <w:left w:val="single" w:color="auto" w:sz="4" w:space="0"/>
              <w:right w:val="single" w:color="auto" w:sz="4" w:space="0"/>
            </w:tcBorders>
            <w:vAlign w:val="center"/>
          </w:tcPr>
          <w:p>
            <w:pPr>
              <w:spacing w:line="240" w:lineRule="auto"/>
              <w:ind w:firstLine="700" w:firstLineChars="292"/>
              <w:jc w:val="center"/>
              <w:rPr>
                <w:rFonts w:ascii="宋体" w:hAnsi="宋体" w:cs="宋体"/>
                <w:bCs/>
                <w:sz w:val="24"/>
                <w:szCs w:val="24"/>
                <w:highlight w:val="none"/>
                <w:lang w:val="zh-CN"/>
              </w:rPr>
            </w:pPr>
          </w:p>
        </w:tc>
        <w:tc>
          <w:tcPr>
            <w:tcW w:w="21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宋体" w:hAnsi="宋体"/>
                <w:bCs/>
                <w:sz w:val="24"/>
                <w:szCs w:val="24"/>
                <w:highlight w:val="none"/>
              </w:rPr>
            </w:pPr>
            <w:r>
              <w:rPr>
                <w:rFonts w:hint="eastAsia" w:ascii="宋体" w:hAnsi="宋体" w:cs="宋体"/>
                <w:bCs/>
                <w:sz w:val="24"/>
                <w:szCs w:val="24"/>
                <w:highlight w:val="none"/>
                <w:lang w:val="zh-CN"/>
              </w:rPr>
              <w:t>设计费</w:t>
            </w:r>
          </w:p>
        </w:tc>
        <w:tc>
          <w:tcPr>
            <w:tcW w:w="651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 w:val="24"/>
                <w:szCs w:val="24"/>
                <w:highlight w:val="none"/>
              </w:rPr>
            </w:pPr>
            <w:r>
              <w:rPr>
                <w:rFonts w:hint="eastAsia" w:ascii="宋体" w:hAnsi="宋体"/>
                <w:bCs/>
                <w:sz w:val="24"/>
                <w:szCs w:val="24"/>
                <w:highlight w:val="none"/>
              </w:rPr>
              <w:t>大写：</w:t>
            </w:r>
            <w:r>
              <w:rPr>
                <w:rFonts w:hint="eastAsia" w:ascii="宋体" w:hAnsi="宋体"/>
                <w:bCs/>
                <w:sz w:val="24"/>
                <w:szCs w:val="24"/>
                <w:highlight w:val="none"/>
                <w:u w:val="single"/>
              </w:rPr>
              <w:t xml:space="preserve">         </w:t>
            </w:r>
            <w:r>
              <w:rPr>
                <w:rFonts w:hint="eastAsia" w:ascii="宋体" w:hAnsi="宋体"/>
                <w:bCs/>
                <w:sz w:val="24"/>
                <w:szCs w:val="24"/>
                <w:highlight w:val="none"/>
              </w:rPr>
              <w:t xml:space="preserve"> ，小写：</w:t>
            </w:r>
            <w:r>
              <w:rPr>
                <w:rFonts w:hint="eastAsia" w:ascii="宋体" w:hAnsi="宋体"/>
                <w:bCs/>
                <w:sz w:val="24"/>
                <w:szCs w:val="24"/>
                <w:highlight w:val="none"/>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24" w:hRule="atLeast"/>
          <w:jc w:val="center"/>
        </w:trPr>
        <w:tc>
          <w:tcPr>
            <w:tcW w:w="1059" w:type="dxa"/>
            <w:vMerge w:val="continue"/>
            <w:tcBorders>
              <w:left w:val="single" w:color="auto" w:sz="4" w:space="0"/>
              <w:bottom w:val="single" w:color="auto" w:sz="4" w:space="0"/>
              <w:right w:val="single" w:color="auto" w:sz="4" w:space="0"/>
            </w:tcBorders>
            <w:vAlign w:val="center"/>
          </w:tcPr>
          <w:p>
            <w:pPr>
              <w:spacing w:line="240" w:lineRule="auto"/>
              <w:ind w:firstLine="700" w:firstLineChars="292"/>
              <w:jc w:val="center"/>
              <w:rPr>
                <w:rFonts w:ascii="宋体" w:hAnsi="宋体"/>
                <w:bCs/>
                <w:sz w:val="24"/>
                <w:szCs w:val="24"/>
                <w:highlight w:val="none"/>
              </w:rPr>
            </w:pPr>
          </w:p>
        </w:tc>
        <w:tc>
          <w:tcPr>
            <w:tcW w:w="21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宋体" w:hAnsi="宋体"/>
                <w:bCs/>
                <w:sz w:val="24"/>
                <w:szCs w:val="24"/>
                <w:highlight w:val="none"/>
              </w:rPr>
            </w:pPr>
            <w:r>
              <w:rPr>
                <w:rFonts w:hint="eastAsia" w:ascii="宋体" w:hAnsi="宋体"/>
                <w:bCs/>
                <w:sz w:val="24"/>
                <w:szCs w:val="24"/>
                <w:highlight w:val="none"/>
              </w:rPr>
              <w:t>其他费</w:t>
            </w:r>
          </w:p>
        </w:tc>
        <w:tc>
          <w:tcPr>
            <w:tcW w:w="651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 w:val="24"/>
                <w:szCs w:val="24"/>
                <w:highlight w:val="none"/>
              </w:rPr>
            </w:pPr>
            <w:r>
              <w:rPr>
                <w:rFonts w:hint="eastAsia" w:ascii="宋体" w:hAnsi="宋体"/>
                <w:bCs/>
                <w:sz w:val="24"/>
                <w:szCs w:val="24"/>
                <w:highlight w:val="none"/>
              </w:rPr>
              <w:t>大写：</w:t>
            </w:r>
            <w:r>
              <w:rPr>
                <w:rFonts w:hint="eastAsia" w:ascii="宋体" w:hAnsi="宋体"/>
                <w:bCs/>
                <w:sz w:val="24"/>
                <w:szCs w:val="24"/>
                <w:highlight w:val="none"/>
                <w:u w:val="single"/>
              </w:rPr>
              <w:t xml:space="preserve">         </w:t>
            </w:r>
            <w:r>
              <w:rPr>
                <w:rFonts w:hint="eastAsia" w:ascii="宋体" w:hAnsi="宋体"/>
                <w:bCs/>
                <w:sz w:val="24"/>
                <w:szCs w:val="24"/>
                <w:highlight w:val="none"/>
              </w:rPr>
              <w:t xml:space="preserve"> ，小写：</w:t>
            </w:r>
            <w:r>
              <w:rPr>
                <w:rFonts w:hint="eastAsia" w:ascii="宋体" w:hAnsi="宋体"/>
                <w:bCs/>
                <w:sz w:val="24"/>
                <w:szCs w:val="24"/>
                <w:highlight w:val="none"/>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80" w:hRule="atLeast"/>
          <w:jc w:val="center"/>
        </w:trPr>
        <w:tc>
          <w:tcPr>
            <w:tcW w:w="315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
                <w:sz w:val="24"/>
                <w:szCs w:val="24"/>
                <w:highlight w:val="none"/>
                <w:lang w:val="zh-CN"/>
              </w:rPr>
            </w:pPr>
            <w:r>
              <w:rPr>
                <w:rFonts w:hint="eastAsia" w:ascii="宋体" w:hAnsi="宋体" w:cs="宋体"/>
                <w:b/>
                <w:sz w:val="24"/>
                <w:szCs w:val="24"/>
                <w:highlight w:val="none"/>
                <w:lang w:val="zh-CN"/>
              </w:rPr>
              <w:t>投标总工期</w:t>
            </w:r>
          </w:p>
        </w:tc>
        <w:tc>
          <w:tcPr>
            <w:tcW w:w="651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00" w:hRule="atLeast"/>
          <w:jc w:val="center"/>
        </w:trPr>
        <w:tc>
          <w:tcPr>
            <w:tcW w:w="315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b/>
                <w:sz w:val="24"/>
                <w:szCs w:val="24"/>
                <w:highlight w:val="none"/>
              </w:rPr>
            </w:pPr>
            <w:r>
              <w:rPr>
                <w:rFonts w:hint="eastAsia" w:ascii="宋体" w:hAnsi="宋体" w:cs="宋体"/>
                <w:b/>
                <w:sz w:val="24"/>
                <w:szCs w:val="24"/>
                <w:highlight w:val="none"/>
                <w:lang w:val="zh-CN"/>
              </w:rPr>
              <w:t>工程质量标准</w:t>
            </w:r>
          </w:p>
        </w:tc>
        <w:tc>
          <w:tcPr>
            <w:tcW w:w="651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30" w:hRule="atLeast"/>
          <w:jc w:val="center"/>
        </w:trPr>
        <w:tc>
          <w:tcPr>
            <w:tcW w:w="315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
                <w:sz w:val="24"/>
                <w:szCs w:val="24"/>
                <w:highlight w:val="none"/>
                <w:lang w:val="zh-CN"/>
              </w:rPr>
            </w:pPr>
            <w:r>
              <w:rPr>
                <w:rFonts w:hint="eastAsia" w:ascii="宋体" w:hAnsi="宋体" w:cs="宋体"/>
                <w:b/>
                <w:sz w:val="24"/>
                <w:szCs w:val="24"/>
                <w:highlight w:val="none"/>
                <w:lang w:val="zh-CN"/>
              </w:rPr>
              <w:t>保修期限</w:t>
            </w:r>
          </w:p>
        </w:tc>
        <w:tc>
          <w:tcPr>
            <w:tcW w:w="651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30" w:hRule="atLeast"/>
          <w:jc w:val="center"/>
        </w:trPr>
        <w:tc>
          <w:tcPr>
            <w:tcW w:w="315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ascii="宋体" w:hAnsi="宋体" w:cs="宋体"/>
                <w:b/>
                <w:sz w:val="24"/>
                <w:szCs w:val="24"/>
                <w:highlight w:val="none"/>
                <w:lang w:val="zh-CN"/>
              </w:rPr>
            </w:pPr>
            <w:r>
              <w:rPr>
                <w:rFonts w:hint="eastAsia" w:ascii="宋体" w:hAnsi="宋体" w:cs="宋体"/>
                <w:b/>
                <w:sz w:val="24"/>
                <w:szCs w:val="24"/>
                <w:highlight w:val="none"/>
                <w:lang w:val="zh-CN"/>
              </w:rPr>
              <w:t>委派的项目负责人及资格证号</w:t>
            </w:r>
          </w:p>
        </w:tc>
        <w:tc>
          <w:tcPr>
            <w:tcW w:w="2640" w:type="dxa"/>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ascii="宋体" w:hAnsi="宋体" w:cs="宋体"/>
                <w:b/>
                <w:sz w:val="24"/>
                <w:szCs w:val="24"/>
                <w:highlight w:val="none"/>
                <w:lang w:val="zh-CN"/>
              </w:rPr>
            </w:pPr>
            <w:r>
              <w:rPr>
                <w:rFonts w:hint="eastAsia" w:ascii="宋体" w:hAnsi="宋体" w:cs="宋体"/>
                <w:b/>
                <w:sz w:val="24"/>
                <w:szCs w:val="24"/>
                <w:highlight w:val="none"/>
                <w:lang w:val="zh-CN"/>
              </w:rPr>
              <w:t>姓</w:t>
            </w:r>
            <w:r>
              <w:rPr>
                <w:rFonts w:hint="eastAsia" w:ascii="宋体" w:hAnsi="宋体" w:cs="宋体"/>
                <w:b/>
                <w:sz w:val="24"/>
                <w:szCs w:val="24"/>
                <w:highlight w:val="none"/>
                <w:lang w:val="en-US" w:eastAsia="zh-CN"/>
              </w:rPr>
              <w:t xml:space="preserve">  </w:t>
            </w:r>
            <w:r>
              <w:rPr>
                <w:rFonts w:hint="eastAsia" w:ascii="宋体" w:hAnsi="宋体" w:cs="宋体"/>
                <w:b/>
                <w:sz w:val="24"/>
                <w:szCs w:val="24"/>
                <w:highlight w:val="none"/>
                <w:lang w:val="zh-CN"/>
              </w:rPr>
              <w:t>名：</w:t>
            </w:r>
          </w:p>
        </w:tc>
        <w:tc>
          <w:tcPr>
            <w:tcW w:w="3876"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b/>
                <w:sz w:val="24"/>
                <w:szCs w:val="24"/>
                <w:highlight w:val="none"/>
              </w:rPr>
            </w:pPr>
            <w:r>
              <w:rPr>
                <w:rFonts w:hint="eastAsia" w:ascii="宋体" w:hAnsi="宋体" w:cs="宋体"/>
                <w:b/>
                <w:sz w:val="24"/>
                <w:szCs w:val="24"/>
                <w:highlight w:val="none"/>
                <w:lang w:val="zh-CN"/>
              </w:rPr>
              <w:t>资格证号：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30" w:hRule="atLeast"/>
          <w:jc w:val="center"/>
        </w:trPr>
        <w:tc>
          <w:tcPr>
            <w:tcW w:w="315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ascii="宋体" w:hAnsi="宋体" w:cs="宋体"/>
                <w:b/>
                <w:sz w:val="24"/>
                <w:szCs w:val="24"/>
                <w:highlight w:val="none"/>
                <w:lang w:val="zh-CN"/>
              </w:rPr>
            </w:pPr>
            <w:r>
              <w:rPr>
                <w:rFonts w:hint="eastAsia" w:ascii="宋体" w:hAnsi="宋体" w:cs="宋体"/>
                <w:b/>
                <w:sz w:val="24"/>
                <w:szCs w:val="24"/>
                <w:highlight w:val="none"/>
                <w:lang w:val="zh-CN"/>
              </w:rPr>
              <w:t>委派的设计负责人及资格证号</w:t>
            </w:r>
          </w:p>
        </w:tc>
        <w:tc>
          <w:tcPr>
            <w:tcW w:w="2640" w:type="dxa"/>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ascii="宋体" w:hAnsi="宋体" w:cs="宋体"/>
                <w:b/>
                <w:sz w:val="24"/>
                <w:szCs w:val="24"/>
                <w:highlight w:val="none"/>
                <w:lang w:val="zh-CN"/>
              </w:rPr>
            </w:pPr>
            <w:r>
              <w:rPr>
                <w:rFonts w:hint="eastAsia" w:ascii="宋体" w:hAnsi="宋体" w:cs="宋体"/>
                <w:b/>
                <w:sz w:val="24"/>
                <w:szCs w:val="24"/>
                <w:highlight w:val="none"/>
                <w:lang w:val="zh-CN"/>
              </w:rPr>
              <w:t>姓</w:t>
            </w:r>
            <w:r>
              <w:rPr>
                <w:rFonts w:hint="eastAsia" w:ascii="宋体" w:hAnsi="宋体" w:cs="宋体"/>
                <w:b/>
                <w:sz w:val="24"/>
                <w:szCs w:val="24"/>
                <w:highlight w:val="none"/>
                <w:lang w:val="en-US" w:eastAsia="zh-CN"/>
              </w:rPr>
              <w:t xml:space="preserve">  </w:t>
            </w:r>
            <w:r>
              <w:rPr>
                <w:rFonts w:hint="eastAsia" w:ascii="宋体" w:hAnsi="宋体" w:cs="宋体"/>
                <w:b/>
                <w:sz w:val="24"/>
                <w:szCs w:val="24"/>
                <w:highlight w:val="none"/>
                <w:lang w:val="zh-CN"/>
              </w:rPr>
              <w:t>名：</w:t>
            </w:r>
          </w:p>
        </w:tc>
        <w:tc>
          <w:tcPr>
            <w:tcW w:w="3876"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b/>
                <w:sz w:val="24"/>
                <w:szCs w:val="24"/>
                <w:highlight w:val="none"/>
              </w:rPr>
            </w:pPr>
            <w:r>
              <w:rPr>
                <w:rFonts w:hint="eastAsia" w:ascii="宋体" w:hAnsi="宋体" w:cs="宋体"/>
                <w:b/>
                <w:sz w:val="24"/>
                <w:szCs w:val="24"/>
                <w:highlight w:val="none"/>
                <w:lang w:val="zh-CN"/>
              </w:rPr>
              <w:t>资格证号：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30" w:hRule="atLeast"/>
          <w:jc w:val="center"/>
        </w:trPr>
        <w:tc>
          <w:tcPr>
            <w:tcW w:w="315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ascii="宋体" w:hAnsi="宋体" w:cs="宋体"/>
                <w:b/>
                <w:sz w:val="24"/>
                <w:szCs w:val="24"/>
                <w:highlight w:val="none"/>
                <w:lang w:val="zh-CN"/>
              </w:rPr>
            </w:pPr>
            <w:r>
              <w:rPr>
                <w:rFonts w:hint="eastAsia" w:ascii="宋体" w:hAnsi="宋体" w:cs="宋体"/>
                <w:b/>
                <w:sz w:val="24"/>
                <w:szCs w:val="24"/>
                <w:highlight w:val="none"/>
                <w:lang w:val="zh-CN"/>
              </w:rPr>
              <w:t>委派的施工负责人及资格证号</w:t>
            </w:r>
          </w:p>
        </w:tc>
        <w:tc>
          <w:tcPr>
            <w:tcW w:w="2640" w:type="dxa"/>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ascii="宋体" w:hAnsi="宋体" w:cs="宋体"/>
                <w:b/>
                <w:sz w:val="24"/>
                <w:szCs w:val="24"/>
                <w:highlight w:val="none"/>
                <w:lang w:val="zh-CN"/>
              </w:rPr>
            </w:pPr>
            <w:r>
              <w:rPr>
                <w:rFonts w:hint="eastAsia" w:ascii="宋体" w:hAnsi="宋体" w:cs="宋体"/>
                <w:b/>
                <w:sz w:val="24"/>
                <w:szCs w:val="24"/>
                <w:highlight w:val="none"/>
                <w:lang w:val="zh-CN"/>
              </w:rPr>
              <w:t>姓</w:t>
            </w:r>
            <w:r>
              <w:rPr>
                <w:rFonts w:hint="eastAsia" w:ascii="宋体" w:hAnsi="宋体" w:cs="宋体"/>
                <w:b/>
                <w:sz w:val="24"/>
                <w:szCs w:val="24"/>
                <w:highlight w:val="none"/>
                <w:lang w:val="en-US" w:eastAsia="zh-CN"/>
              </w:rPr>
              <w:t xml:space="preserve">  </w:t>
            </w:r>
            <w:r>
              <w:rPr>
                <w:rFonts w:hint="eastAsia" w:ascii="宋体" w:hAnsi="宋体" w:cs="宋体"/>
                <w:b/>
                <w:sz w:val="24"/>
                <w:szCs w:val="24"/>
                <w:highlight w:val="none"/>
                <w:lang w:val="zh-CN"/>
              </w:rPr>
              <w:t>名：</w:t>
            </w:r>
          </w:p>
        </w:tc>
        <w:tc>
          <w:tcPr>
            <w:tcW w:w="3876"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b/>
                <w:sz w:val="24"/>
                <w:szCs w:val="24"/>
                <w:highlight w:val="none"/>
              </w:rPr>
            </w:pPr>
            <w:r>
              <w:rPr>
                <w:rFonts w:hint="eastAsia" w:ascii="宋体" w:hAnsi="宋体" w:cs="宋体"/>
                <w:b/>
                <w:sz w:val="24"/>
                <w:szCs w:val="24"/>
                <w:highlight w:val="none"/>
                <w:lang w:val="zh-CN"/>
              </w:rPr>
              <w:t>资格证号：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30" w:hRule="atLeast"/>
          <w:jc w:val="center"/>
        </w:trPr>
        <w:tc>
          <w:tcPr>
            <w:tcW w:w="315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ascii="宋体" w:hAnsi="宋体" w:cs="宋体"/>
                <w:b/>
                <w:sz w:val="24"/>
                <w:szCs w:val="24"/>
                <w:highlight w:val="none"/>
                <w:lang w:val="zh-CN"/>
              </w:rPr>
            </w:pPr>
            <w:r>
              <w:rPr>
                <w:rFonts w:hint="eastAsia" w:ascii="宋体" w:hAnsi="宋体" w:cs="宋体"/>
                <w:b/>
                <w:sz w:val="24"/>
                <w:szCs w:val="24"/>
                <w:highlight w:val="none"/>
                <w:lang w:val="zh-CN"/>
              </w:rPr>
              <w:t>委派的</w:t>
            </w:r>
            <w:r>
              <w:rPr>
                <w:rFonts w:hint="eastAsia" w:ascii="宋体" w:hAnsi="宋体" w:cs="宋体"/>
                <w:b/>
                <w:sz w:val="24"/>
                <w:szCs w:val="24"/>
                <w:highlight w:val="none"/>
                <w:lang w:val="en-US" w:eastAsia="zh-CN"/>
              </w:rPr>
              <w:t>专职</w:t>
            </w:r>
            <w:r>
              <w:rPr>
                <w:rFonts w:hint="eastAsia" w:ascii="宋体" w:hAnsi="宋体" w:cs="宋体"/>
                <w:b/>
                <w:sz w:val="24"/>
                <w:szCs w:val="24"/>
                <w:highlight w:val="none"/>
                <w:lang w:val="zh-CN"/>
              </w:rPr>
              <w:t>安全员及资格证号</w:t>
            </w:r>
          </w:p>
        </w:tc>
        <w:tc>
          <w:tcPr>
            <w:tcW w:w="2640" w:type="dxa"/>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ascii="宋体" w:hAnsi="宋体" w:cs="宋体"/>
                <w:b/>
                <w:sz w:val="24"/>
                <w:szCs w:val="24"/>
                <w:highlight w:val="none"/>
                <w:lang w:val="zh-CN"/>
              </w:rPr>
            </w:pPr>
            <w:r>
              <w:rPr>
                <w:rFonts w:hint="eastAsia" w:ascii="宋体" w:hAnsi="宋体" w:cs="宋体"/>
                <w:b/>
                <w:sz w:val="24"/>
                <w:szCs w:val="24"/>
                <w:highlight w:val="none"/>
                <w:lang w:val="zh-CN"/>
              </w:rPr>
              <w:t>姓</w:t>
            </w:r>
            <w:r>
              <w:rPr>
                <w:rFonts w:hint="eastAsia" w:ascii="宋体" w:hAnsi="宋体" w:cs="宋体"/>
                <w:b/>
                <w:sz w:val="24"/>
                <w:szCs w:val="24"/>
                <w:highlight w:val="none"/>
                <w:lang w:val="en-US" w:eastAsia="zh-CN"/>
              </w:rPr>
              <w:t xml:space="preserve">  </w:t>
            </w:r>
            <w:r>
              <w:rPr>
                <w:rFonts w:hint="eastAsia" w:ascii="宋体" w:hAnsi="宋体" w:cs="宋体"/>
                <w:b/>
                <w:sz w:val="24"/>
                <w:szCs w:val="24"/>
                <w:highlight w:val="none"/>
                <w:lang w:val="zh-CN"/>
              </w:rPr>
              <w:t>名：</w:t>
            </w:r>
          </w:p>
        </w:tc>
        <w:tc>
          <w:tcPr>
            <w:tcW w:w="3876"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b/>
                <w:sz w:val="24"/>
                <w:szCs w:val="24"/>
                <w:highlight w:val="none"/>
              </w:rPr>
            </w:pPr>
            <w:r>
              <w:rPr>
                <w:rFonts w:hint="eastAsia" w:ascii="宋体" w:hAnsi="宋体" w:cs="宋体"/>
                <w:b/>
                <w:sz w:val="24"/>
                <w:szCs w:val="24"/>
                <w:highlight w:val="none"/>
                <w:lang w:val="zh-CN"/>
              </w:rPr>
              <w:t>资格证号：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93" w:hRule="atLeast"/>
          <w:jc w:val="center"/>
        </w:trPr>
        <w:tc>
          <w:tcPr>
            <w:tcW w:w="315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
                <w:sz w:val="24"/>
                <w:szCs w:val="24"/>
                <w:highlight w:val="none"/>
                <w:lang w:val="zh-CN"/>
              </w:rPr>
            </w:pPr>
            <w:r>
              <w:rPr>
                <w:rFonts w:hint="eastAsia" w:ascii="宋体" w:hAnsi="宋体" w:cs="宋体"/>
                <w:b/>
                <w:sz w:val="24"/>
                <w:szCs w:val="24"/>
                <w:highlight w:val="none"/>
                <w:lang w:val="zh-CN"/>
              </w:rPr>
              <w:t>投标有效期</w:t>
            </w:r>
          </w:p>
        </w:tc>
        <w:tc>
          <w:tcPr>
            <w:tcW w:w="651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b/>
                <w:sz w:val="24"/>
                <w:szCs w:val="24"/>
                <w:highlight w:val="none"/>
              </w:rPr>
            </w:pPr>
            <w:r>
              <w:rPr>
                <w:rFonts w:hint="eastAsia" w:ascii="宋体" w:hAnsi="宋体" w:cs="宋体"/>
                <w:b/>
                <w:sz w:val="24"/>
                <w:szCs w:val="24"/>
                <w:highlight w:val="none"/>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802" w:hRule="atLeast"/>
          <w:jc w:val="center"/>
        </w:trPr>
        <w:tc>
          <w:tcPr>
            <w:tcW w:w="315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
                <w:sz w:val="24"/>
                <w:szCs w:val="24"/>
                <w:highlight w:val="none"/>
                <w:lang w:val="zh-CN"/>
              </w:rPr>
            </w:pPr>
            <w:r>
              <w:rPr>
                <w:rFonts w:hint="eastAsia" w:ascii="宋体" w:hAnsi="宋体"/>
                <w:b/>
                <w:sz w:val="24"/>
                <w:szCs w:val="24"/>
                <w:highlight w:val="none"/>
              </w:rPr>
              <w:t>法定代表人或其委托代理人（签字或盖章）</w:t>
            </w:r>
          </w:p>
        </w:tc>
        <w:tc>
          <w:tcPr>
            <w:tcW w:w="651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76" w:hRule="atLeast"/>
          <w:jc w:val="center"/>
        </w:trPr>
        <w:tc>
          <w:tcPr>
            <w:tcW w:w="315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
                <w:sz w:val="24"/>
                <w:szCs w:val="24"/>
                <w:highlight w:val="none"/>
                <w:lang w:val="zh-CN"/>
              </w:rPr>
            </w:pPr>
            <w:r>
              <w:rPr>
                <w:rFonts w:hint="eastAsia" w:ascii="宋体" w:hAnsi="宋体" w:cs="宋体"/>
                <w:b/>
                <w:sz w:val="24"/>
                <w:szCs w:val="24"/>
                <w:highlight w:val="none"/>
                <w:lang w:val="zh-CN"/>
              </w:rPr>
              <w:t>投标单位（盖章）</w:t>
            </w:r>
          </w:p>
        </w:tc>
        <w:tc>
          <w:tcPr>
            <w:tcW w:w="651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b/>
                <w:sz w:val="24"/>
                <w:szCs w:val="24"/>
                <w:highlight w:val="none"/>
              </w:rPr>
            </w:pPr>
          </w:p>
        </w:tc>
      </w:tr>
    </w:tbl>
    <w:p>
      <w:pPr>
        <w:spacing w:line="360" w:lineRule="auto"/>
        <w:rPr>
          <w:rFonts w:ascii="宋体" w:hAnsi="宋体"/>
          <w:highlight w:val="none"/>
        </w:rPr>
      </w:pPr>
      <w:bookmarkStart w:id="1038" w:name="_Toc17222"/>
      <w:bookmarkStart w:id="1039" w:name="_Toc2675481"/>
      <w:bookmarkStart w:id="1040" w:name="_Toc33695121"/>
    </w:p>
    <w:p>
      <w:pPr>
        <w:pStyle w:val="8"/>
        <w:rPr>
          <w:rFonts w:ascii="宋体" w:hAnsi="宋体"/>
          <w:highlight w:val="none"/>
        </w:rPr>
      </w:pPr>
    </w:p>
    <w:p>
      <w:pPr>
        <w:rPr>
          <w:rFonts w:ascii="宋体" w:hAnsi="宋体"/>
          <w:highlight w:val="none"/>
        </w:rPr>
      </w:pPr>
    </w:p>
    <w:p>
      <w:pPr>
        <w:pStyle w:val="8"/>
        <w:rPr>
          <w:rFonts w:ascii="宋体" w:hAnsi="宋体"/>
          <w:highlight w:val="none"/>
        </w:rPr>
      </w:pPr>
    </w:p>
    <w:p>
      <w:pPr>
        <w:pStyle w:val="8"/>
        <w:rPr>
          <w:rFonts w:ascii="宋体" w:hAnsi="宋体"/>
          <w:highlight w:val="none"/>
        </w:rPr>
      </w:pPr>
    </w:p>
    <w:p>
      <w:pPr>
        <w:rPr>
          <w:rFonts w:ascii="宋体" w:hAnsi="宋体"/>
          <w:highlight w:val="none"/>
        </w:rPr>
      </w:pPr>
    </w:p>
    <w:p>
      <w:pPr>
        <w:pStyle w:val="8"/>
        <w:rPr>
          <w:rFonts w:ascii="宋体" w:hAnsi="宋体"/>
          <w:highlight w:val="none"/>
        </w:rPr>
      </w:pPr>
    </w:p>
    <w:p>
      <w:pPr>
        <w:autoSpaceDE w:val="0"/>
        <w:autoSpaceDN w:val="0"/>
        <w:adjustRightInd w:val="0"/>
        <w:spacing w:line="360" w:lineRule="auto"/>
        <w:jc w:val="center"/>
        <w:rPr>
          <w:rFonts w:hint="eastAsia" w:ascii="宋体" w:hAnsi="宋体" w:cs="宋体"/>
          <w:b/>
          <w:bCs/>
          <w:sz w:val="36"/>
          <w:szCs w:val="36"/>
          <w:highlight w:val="none"/>
          <w:lang w:val="zh-CN"/>
        </w:rPr>
      </w:pPr>
      <w:r>
        <w:rPr>
          <w:rFonts w:hint="eastAsia" w:ascii="宋体" w:hAnsi="宋体" w:cs="宋体"/>
          <w:b/>
          <w:bCs/>
          <w:sz w:val="36"/>
          <w:szCs w:val="36"/>
          <w:highlight w:val="none"/>
          <w:lang w:val="zh-CN"/>
        </w:rPr>
        <w:t>投标报价表</w:t>
      </w:r>
    </w:p>
    <w:p>
      <w:pP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单位：万元</w:t>
      </w:r>
    </w:p>
    <w:tbl>
      <w:tblPr>
        <w:tblStyle w:val="16"/>
        <w:tblW w:w="90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56"/>
        <w:gridCol w:w="2680"/>
        <w:gridCol w:w="1670"/>
        <w:gridCol w:w="1910"/>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883" w:hRule="atLeast"/>
          <w:tblHeader/>
          <w:jc w:val="center"/>
        </w:trPr>
        <w:tc>
          <w:tcPr>
            <w:tcW w:w="1056" w:type="dxa"/>
            <w:tcBorders>
              <w:top w:val="single" w:color="auto" w:sz="4" w:space="0"/>
            </w:tcBorders>
            <w:vAlign w:val="center"/>
          </w:tcPr>
          <w:p>
            <w:pPr>
              <w:jc w:val="center"/>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序号</w:t>
            </w:r>
          </w:p>
        </w:tc>
        <w:tc>
          <w:tcPr>
            <w:tcW w:w="2680" w:type="dxa"/>
            <w:tcBorders>
              <w:top w:val="single" w:color="auto" w:sz="4" w:space="0"/>
            </w:tcBorders>
            <w:vAlign w:val="center"/>
          </w:tcPr>
          <w:p>
            <w:pPr>
              <w:jc w:val="center"/>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工程或费用名称</w:t>
            </w:r>
          </w:p>
        </w:tc>
        <w:tc>
          <w:tcPr>
            <w:tcW w:w="1670" w:type="dxa"/>
            <w:tcBorders>
              <w:top w:val="single" w:color="auto" w:sz="4" w:space="0"/>
            </w:tcBorders>
            <w:vAlign w:val="center"/>
          </w:tcPr>
          <w:p>
            <w:pPr>
              <w:jc w:val="center"/>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最高投标限价</w:t>
            </w:r>
          </w:p>
        </w:tc>
        <w:tc>
          <w:tcPr>
            <w:tcW w:w="1910" w:type="dxa"/>
            <w:tcBorders>
              <w:top w:val="single" w:color="auto" w:sz="4" w:space="0"/>
            </w:tcBorders>
            <w:vAlign w:val="center"/>
          </w:tcPr>
          <w:p>
            <w:pPr>
              <w:jc w:val="center"/>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投标报价</w:t>
            </w:r>
          </w:p>
        </w:tc>
        <w:tc>
          <w:tcPr>
            <w:tcW w:w="1748" w:type="dxa"/>
            <w:tcBorders>
              <w:top w:val="single" w:color="auto" w:sz="4" w:space="0"/>
            </w:tcBorders>
            <w:vAlign w:val="center"/>
          </w:tcPr>
          <w:p>
            <w:pPr>
              <w:ind w:firstLine="241" w:firstLineChars="100"/>
              <w:jc w:val="center"/>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98" w:hRule="atLeast"/>
          <w:tblHeader/>
          <w:jc w:val="center"/>
        </w:trPr>
        <w:tc>
          <w:tcPr>
            <w:tcW w:w="1056" w:type="dxa"/>
            <w:vAlign w:val="center"/>
          </w:tcPr>
          <w:p>
            <w:pPr>
              <w:jc w:val="center"/>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一</w:t>
            </w:r>
          </w:p>
        </w:tc>
        <w:tc>
          <w:tcPr>
            <w:tcW w:w="2680" w:type="dxa"/>
            <w:vAlign w:val="center"/>
          </w:tcPr>
          <w:p>
            <w:pPr>
              <w:jc w:val="left"/>
              <w:rPr>
                <w:rFonts w:hint="eastAsia" w:ascii="仿宋_GB2312" w:hAnsi="仿宋_GB2312" w:eastAsia="仿宋_GB2312" w:cs="仿宋_GB2312"/>
                <w:b/>
                <w:bCs/>
                <w:sz w:val="24"/>
                <w:highlight w:val="none"/>
                <w:lang w:eastAsia="zh-CN"/>
              </w:rPr>
            </w:pPr>
            <w:r>
              <w:rPr>
                <w:rFonts w:hint="eastAsia" w:ascii="仿宋_GB2312" w:hAnsi="仿宋_GB2312" w:eastAsia="仿宋_GB2312" w:cs="仿宋_GB2312"/>
                <w:b/>
                <w:bCs/>
                <w:sz w:val="24"/>
                <w:highlight w:val="none"/>
              </w:rPr>
              <w:t>建安工程费</w:t>
            </w:r>
          </w:p>
        </w:tc>
        <w:tc>
          <w:tcPr>
            <w:tcW w:w="1670" w:type="dxa"/>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 xml:space="preserve">82,961.25 </w:t>
            </w:r>
          </w:p>
        </w:tc>
        <w:tc>
          <w:tcPr>
            <w:tcW w:w="1910" w:type="dxa"/>
            <w:vAlign w:val="center"/>
          </w:tcPr>
          <w:p>
            <w:pPr>
              <w:jc w:val="center"/>
              <w:rPr>
                <w:rFonts w:ascii="仿宋_GB2312" w:hAnsi="仿宋_GB2312" w:eastAsia="仿宋_GB2312" w:cs="仿宋_GB2312"/>
                <w:sz w:val="24"/>
                <w:highlight w:val="none"/>
              </w:rPr>
            </w:pPr>
          </w:p>
        </w:tc>
        <w:tc>
          <w:tcPr>
            <w:tcW w:w="1748" w:type="dxa"/>
            <w:vAlign w:val="center"/>
          </w:tcPr>
          <w:p>
            <w:pPr>
              <w:rPr>
                <w:rFonts w:hint="eastAsia" w:ascii="Times New Roman" w:hAnsi="Times New Roman" w:eastAsia="宋体" w:cs="Times New Roman"/>
                <w:sz w:val="21"/>
                <w:highlight w:val="none"/>
              </w:rPr>
            </w:pPr>
            <w:r>
              <w:rPr>
                <w:rFonts w:hint="eastAsia" w:cs="Times New Roman"/>
                <w:sz w:val="21"/>
                <w:highlight w:val="none"/>
                <w:lang w:val="en-US" w:eastAsia="zh-CN"/>
              </w:rPr>
              <w:t>包括除电梯外的设备购置费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98" w:hRule="atLeast"/>
          <w:tblHeader/>
          <w:jc w:val="center"/>
        </w:trPr>
        <w:tc>
          <w:tcPr>
            <w:tcW w:w="1056" w:type="dxa"/>
            <w:vAlign w:val="center"/>
          </w:tcPr>
          <w:p>
            <w:pPr>
              <w:jc w:val="center"/>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二</w:t>
            </w:r>
          </w:p>
        </w:tc>
        <w:tc>
          <w:tcPr>
            <w:tcW w:w="2680" w:type="dxa"/>
            <w:vAlign w:val="center"/>
          </w:tcPr>
          <w:p>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设计费</w:t>
            </w:r>
          </w:p>
        </w:tc>
        <w:tc>
          <w:tcPr>
            <w:tcW w:w="1670" w:type="dxa"/>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 xml:space="preserve">1,509.02 </w:t>
            </w:r>
          </w:p>
        </w:tc>
        <w:tc>
          <w:tcPr>
            <w:tcW w:w="1910" w:type="dxa"/>
            <w:vAlign w:val="center"/>
          </w:tcPr>
          <w:p>
            <w:pPr>
              <w:jc w:val="center"/>
              <w:rPr>
                <w:rFonts w:ascii="仿宋_GB2312" w:hAnsi="仿宋_GB2312" w:eastAsia="仿宋_GB2312" w:cs="仿宋_GB2312"/>
                <w:b/>
                <w:bCs/>
                <w:sz w:val="24"/>
                <w:highlight w:val="none"/>
              </w:rPr>
            </w:pPr>
          </w:p>
        </w:tc>
        <w:tc>
          <w:tcPr>
            <w:tcW w:w="1748" w:type="dxa"/>
            <w:vAlign w:val="center"/>
          </w:tcPr>
          <w:p>
            <w:pPr>
              <w:rPr>
                <w:rFonts w:hint="eastAsia" w:ascii="Times New Roman" w:hAnsi="Times New Roman" w:eastAsia="宋体" w:cs="Times New Roman"/>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33" w:hRule="atLeast"/>
          <w:tblHeader/>
          <w:jc w:val="center"/>
        </w:trPr>
        <w:tc>
          <w:tcPr>
            <w:tcW w:w="1056" w:type="dxa"/>
            <w:vAlign w:val="center"/>
          </w:tcPr>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2.1</w:t>
            </w:r>
          </w:p>
        </w:tc>
        <w:tc>
          <w:tcPr>
            <w:tcW w:w="2680" w:type="dxa"/>
            <w:vAlign w:val="center"/>
          </w:tcPr>
          <w:p>
            <w:pPr>
              <w:jc w:val="left"/>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基本设计费</w:t>
            </w:r>
          </w:p>
        </w:tc>
        <w:tc>
          <w:tcPr>
            <w:tcW w:w="1670" w:type="dxa"/>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1,079.27 </w:t>
            </w:r>
          </w:p>
        </w:tc>
        <w:tc>
          <w:tcPr>
            <w:tcW w:w="1910" w:type="dxa"/>
            <w:vAlign w:val="center"/>
          </w:tcPr>
          <w:p>
            <w:pPr>
              <w:jc w:val="center"/>
              <w:rPr>
                <w:rFonts w:ascii="仿宋_GB2312" w:hAnsi="仿宋_GB2312" w:eastAsia="仿宋_GB2312" w:cs="仿宋_GB2312"/>
                <w:sz w:val="24"/>
                <w:highlight w:val="none"/>
              </w:rPr>
            </w:pPr>
          </w:p>
        </w:tc>
        <w:tc>
          <w:tcPr>
            <w:tcW w:w="1748" w:type="dxa"/>
            <w:vAlign w:val="center"/>
          </w:tcPr>
          <w:p>
            <w:pP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98" w:hRule="atLeast"/>
          <w:tblHeader/>
          <w:jc w:val="center"/>
        </w:trPr>
        <w:tc>
          <w:tcPr>
            <w:tcW w:w="1056" w:type="dxa"/>
            <w:vAlign w:val="center"/>
          </w:tcPr>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2.2</w:t>
            </w:r>
          </w:p>
        </w:tc>
        <w:tc>
          <w:tcPr>
            <w:tcW w:w="2680" w:type="dxa"/>
            <w:vAlign w:val="center"/>
          </w:tcPr>
          <w:p>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绿色建筑设计、BIM设计</w:t>
            </w:r>
          </w:p>
        </w:tc>
        <w:tc>
          <w:tcPr>
            <w:tcW w:w="1670" w:type="dxa"/>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235.48 </w:t>
            </w:r>
          </w:p>
        </w:tc>
        <w:tc>
          <w:tcPr>
            <w:tcW w:w="1910" w:type="dxa"/>
            <w:vAlign w:val="center"/>
          </w:tcPr>
          <w:p>
            <w:pPr>
              <w:jc w:val="center"/>
              <w:rPr>
                <w:rFonts w:ascii="仿宋_GB2312" w:hAnsi="仿宋_GB2312" w:eastAsia="仿宋_GB2312" w:cs="仿宋_GB2312"/>
                <w:sz w:val="24"/>
                <w:highlight w:val="none"/>
              </w:rPr>
            </w:pPr>
          </w:p>
        </w:tc>
        <w:tc>
          <w:tcPr>
            <w:tcW w:w="1748" w:type="dxa"/>
            <w:vAlign w:val="center"/>
          </w:tcPr>
          <w:p>
            <w:pP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98" w:hRule="atLeast"/>
          <w:tblHeader/>
          <w:jc w:val="center"/>
        </w:trPr>
        <w:tc>
          <w:tcPr>
            <w:tcW w:w="1056" w:type="dxa"/>
            <w:vAlign w:val="center"/>
          </w:tcPr>
          <w:p>
            <w:pPr>
              <w:jc w:val="center"/>
              <w:rPr>
                <w:rFonts w:hint="eastAsia" w:eastAsia="宋体"/>
                <w:highlight w:val="none"/>
                <w:lang w:eastAsia="zh-CN"/>
              </w:rPr>
            </w:pPr>
            <w:r>
              <w:rPr>
                <w:rFonts w:hint="eastAsia"/>
                <w:highlight w:val="none"/>
              </w:rPr>
              <w:t>2.</w:t>
            </w:r>
            <w:r>
              <w:rPr>
                <w:rFonts w:hint="eastAsia"/>
                <w:highlight w:val="none"/>
                <w:lang w:val="en-US" w:eastAsia="zh-CN"/>
              </w:rPr>
              <w:t>2</w:t>
            </w:r>
          </w:p>
        </w:tc>
        <w:tc>
          <w:tcPr>
            <w:tcW w:w="2680" w:type="dxa"/>
            <w:vAlign w:val="center"/>
          </w:tcPr>
          <w:p>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施工图预算编制费</w:t>
            </w:r>
          </w:p>
        </w:tc>
        <w:tc>
          <w:tcPr>
            <w:tcW w:w="1670" w:type="dxa"/>
            <w:vAlign w:val="center"/>
          </w:tcPr>
          <w:p>
            <w:pPr>
              <w:keepNext w:val="0"/>
              <w:keepLines w:val="0"/>
              <w:widowControl/>
              <w:suppressLineNumbers w:val="0"/>
              <w:jc w:val="right"/>
              <w:textAlignment w:val="center"/>
              <w:rPr>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107.93 </w:t>
            </w:r>
          </w:p>
        </w:tc>
        <w:tc>
          <w:tcPr>
            <w:tcW w:w="1910" w:type="dxa"/>
            <w:vAlign w:val="center"/>
          </w:tcPr>
          <w:p>
            <w:pPr>
              <w:jc w:val="center"/>
              <w:rPr>
                <w:rFonts w:ascii="仿宋_GB2312" w:hAnsi="仿宋_GB2312" w:eastAsia="仿宋_GB2312" w:cs="仿宋_GB2312"/>
                <w:sz w:val="24"/>
                <w:highlight w:val="none"/>
              </w:rPr>
            </w:pPr>
          </w:p>
        </w:tc>
        <w:tc>
          <w:tcPr>
            <w:tcW w:w="1748" w:type="dxa"/>
            <w:vAlign w:val="center"/>
          </w:tcPr>
          <w:p>
            <w:pP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98" w:hRule="atLeast"/>
          <w:tblHeader/>
          <w:jc w:val="center"/>
        </w:trPr>
        <w:tc>
          <w:tcPr>
            <w:tcW w:w="1056" w:type="dxa"/>
            <w:vAlign w:val="center"/>
          </w:tcPr>
          <w:p>
            <w:pPr>
              <w:jc w:val="center"/>
              <w:rPr>
                <w:rFonts w:hint="eastAsia" w:eastAsia="宋体"/>
                <w:highlight w:val="none"/>
                <w:lang w:eastAsia="zh-CN"/>
              </w:rPr>
            </w:pPr>
            <w:r>
              <w:rPr>
                <w:rFonts w:hint="eastAsia"/>
                <w:highlight w:val="none"/>
              </w:rPr>
              <w:t>2.</w:t>
            </w:r>
            <w:r>
              <w:rPr>
                <w:rFonts w:hint="eastAsia"/>
                <w:highlight w:val="none"/>
                <w:lang w:val="en-US" w:eastAsia="zh-CN"/>
              </w:rPr>
              <w:t>3</w:t>
            </w:r>
          </w:p>
        </w:tc>
        <w:tc>
          <w:tcPr>
            <w:tcW w:w="2680" w:type="dxa"/>
            <w:vAlign w:val="center"/>
          </w:tcPr>
          <w:p>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竣工图编制费</w:t>
            </w:r>
          </w:p>
        </w:tc>
        <w:tc>
          <w:tcPr>
            <w:tcW w:w="1670" w:type="dxa"/>
            <w:vAlign w:val="center"/>
          </w:tcPr>
          <w:p>
            <w:pPr>
              <w:keepNext w:val="0"/>
              <w:keepLines w:val="0"/>
              <w:widowControl/>
              <w:suppressLineNumbers w:val="0"/>
              <w:jc w:val="right"/>
              <w:textAlignment w:val="center"/>
              <w:rPr>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86.34 </w:t>
            </w:r>
          </w:p>
        </w:tc>
        <w:tc>
          <w:tcPr>
            <w:tcW w:w="1910" w:type="dxa"/>
            <w:vAlign w:val="center"/>
          </w:tcPr>
          <w:p>
            <w:pPr>
              <w:jc w:val="center"/>
              <w:rPr>
                <w:rFonts w:ascii="仿宋_GB2312" w:hAnsi="仿宋_GB2312" w:eastAsia="仿宋_GB2312" w:cs="仿宋_GB2312"/>
                <w:sz w:val="24"/>
                <w:highlight w:val="none"/>
              </w:rPr>
            </w:pPr>
          </w:p>
        </w:tc>
        <w:tc>
          <w:tcPr>
            <w:tcW w:w="1748" w:type="dxa"/>
            <w:vAlign w:val="center"/>
          </w:tcPr>
          <w:p>
            <w:pP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845" w:hRule="atLeast"/>
          <w:tblHeader/>
          <w:jc w:val="center"/>
        </w:trPr>
        <w:tc>
          <w:tcPr>
            <w:tcW w:w="1056" w:type="dxa"/>
            <w:vAlign w:val="center"/>
          </w:tcPr>
          <w:p>
            <w:pPr>
              <w:jc w:val="center"/>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三</w:t>
            </w:r>
          </w:p>
        </w:tc>
        <w:tc>
          <w:tcPr>
            <w:tcW w:w="2680" w:type="dxa"/>
            <w:vAlign w:val="center"/>
          </w:tcPr>
          <w:p>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其他费</w:t>
            </w:r>
          </w:p>
        </w:tc>
        <w:tc>
          <w:tcPr>
            <w:tcW w:w="1670" w:type="dxa"/>
            <w:vAlign w:val="center"/>
          </w:tcPr>
          <w:p>
            <w:pPr>
              <w:keepNext w:val="0"/>
              <w:keepLines w:val="0"/>
              <w:widowControl/>
              <w:suppressLineNumbers w:val="0"/>
              <w:jc w:val="right"/>
              <w:textAlignment w:val="center"/>
              <w:rPr>
                <w:rFonts w:ascii="仿宋_GB2312" w:hAnsi="仿宋_GB2312" w:eastAsia="仿宋_GB2312" w:cs="仿宋_GB2312"/>
                <w:b/>
                <w:bCs/>
                <w:sz w:val="24"/>
                <w:highlight w:val="none"/>
              </w:rPr>
            </w:pPr>
            <w:r>
              <w:rPr>
                <w:rFonts w:hint="eastAsia" w:ascii="宋体" w:hAnsi="宋体" w:eastAsia="宋体" w:cs="宋体"/>
                <w:b/>
                <w:bCs/>
                <w:i w:val="0"/>
                <w:iCs w:val="0"/>
                <w:color w:val="000000"/>
                <w:kern w:val="0"/>
                <w:sz w:val="22"/>
                <w:szCs w:val="22"/>
                <w:highlight w:val="none"/>
                <w:u w:val="none"/>
                <w:lang w:val="en-US" w:eastAsia="zh-CN" w:bidi="ar"/>
              </w:rPr>
              <w:t xml:space="preserve">230.08 </w:t>
            </w:r>
          </w:p>
        </w:tc>
        <w:tc>
          <w:tcPr>
            <w:tcW w:w="1910" w:type="dxa"/>
            <w:vAlign w:val="center"/>
          </w:tcPr>
          <w:p>
            <w:pPr>
              <w:jc w:val="center"/>
              <w:rPr>
                <w:rFonts w:ascii="仿宋_GB2312" w:hAnsi="仿宋_GB2312" w:eastAsia="仿宋_GB2312" w:cs="仿宋_GB2312"/>
                <w:b/>
                <w:bCs/>
                <w:sz w:val="24"/>
                <w:highlight w:val="none"/>
              </w:rPr>
            </w:pPr>
          </w:p>
        </w:tc>
        <w:tc>
          <w:tcPr>
            <w:tcW w:w="1748" w:type="dxa"/>
            <w:vAlign w:val="center"/>
          </w:tcPr>
          <w:p>
            <w:pPr>
              <w:rPr>
                <w:rFonts w:ascii="仿宋_GB2312" w:hAnsi="仿宋_GB2312" w:eastAsia="仿宋_GB2312" w:cs="仿宋_GB2312"/>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98" w:hRule="atLeast"/>
          <w:tblHeader/>
          <w:jc w:val="center"/>
        </w:trPr>
        <w:tc>
          <w:tcPr>
            <w:tcW w:w="1056" w:type="dxa"/>
            <w:vAlign w:val="center"/>
          </w:tcPr>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3.1</w:t>
            </w:r>
          </w:p>
        </w:tc>
        <w:tc>
          <w:tcPr>
            <w:tcW w:w="2680" w:type="dxa"/>
            <w:vAlign w:val="center"/>
          </w:tcPr>
          <w:p>
            <w:pPr>
              <w:widowControl/>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工程保险费</w:t>
            </w:r>
          </w:p>
        </w:tc>
        <w:tc>
          <w:tcPr>
            <w:tcW w:w="1670" w:type="dxa"/>
            <w:vAlign w:val="center"/>
          </w:tcPr>
          <w:p>
            <w:pPr>
              <w:keepNext w:val="0"/>
              <w:keepLines w:val="0"/>
              <w:widowControl/>
              <w:suppressLineNumbers w:val="0"/>
              <w:jc w:val="right"/>
              <w:textAlignment w:val="center"/>
              <w:rPr>
                <w:rFonts w:ascii="仿宋_GB2312" w:hAnsi="仿宋_GB2312" w:eastAsia="仿宋_GB2312" w:cs="仿宋_GB2312"/>
                <w:sz w:val="24"/>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70.08 </w:t>
            </w:r>
          </w:p>
        </w:tc>
        <w:tc>
          <w:tcPr>
            <w:tcW w:w="1910" w:type="dxa"/>
            <w:vAlign w:val="center"/>
          </w:tcPr>
          <w:p>
            <w:pPr>
              <w:jc w:val="center"/>
              <w:rPr>
                <w:rFonts w:ascii="仿宋_GB2312" w:hAnsi="仿宋_GB2312" w:eastAsia="仿宋_GB2312" w:cs="仿宋_GB2312"/>
                <w:sz w:val="24"/>
                <w:highlight w:val="none"/>
              </w:rPr>
            </w:pPr>
          </w:p>
        </w:tc>
        <w:tc>
          <w:tcPr>
            <w:tcW w:w="1748" w:type="dxa"/>
            <w:vAlign w:val="center"/>
          </w:tcPr>
          <w:p>
            <w:pP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98" w:hRule="atLeast"/>
          <w:tblHeader/>
          <w:jc w:val="center"/>
        </w:trPr>
        <w:tc>
          <w:tcPr>
            <w:tcW w:w="1056" w:type="dxa"/>
            <w:vAlign w:val="center"/>
          </w:tcPr>
          <w:p>
            <w:pPr>
              <w:jc w:val="cente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3.2</w:t>
            </w:r>
          </w:p>
        </w:tc>
        <w:tc>
          <w:tcPr>
            <w:tcW w:w="2680" w:type="dxa"/>
            <w:vAlign w:val="center"/>
          </w:tcPr>
          <w:p>
            <w:pPr>
              <w:widowControl/>
              <w:jc w:val="left"/>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lang w:bidi="ar"/>
              </w:rPr>
              <w:t>佛莞</w:t>
            </w:r>
            <w:r>
              <w:rPr>
                <w:rFonts w:hint="eastAsia" w:ascii="仿宋_GB2312" w:hAnsi="仿宋_GB2312" w:eastAsia="仿宋_GB2312" w:cs="仿宋_GB2312"/>
                <w:sz w:val="24"/>
                <w:highlight w:val="none"/>
                <w:lang w:eastAsia="zh-CN" w:bidi="ar"/>
              </w:rPr>
              <w:t>城际轨道隧道</w:t>
            </w:r>
            <w:r>
              <w:rPr>
                <w:rFonts w:hint="eastAsia" w:ascii="仿宋_GB2312" w:hAnsi="仿宋_GB2312" w:eastAsia="仿宋_GB2312" w:cs="仿宋_GB2312"/>
                <w:sz w:val="24"/>
                <w:highlight w:val="none"/>
                <w:lang w:bidi="ar"/>
              </w:rPr>
              <w:t>安全评估费</w:t>
            </w:r>
          </w:p>
        </w:tc>
        <w:tc>
          <w:tcPr>
            <w:tcW w:w="1670" w:type="dxa"/>
            <w:vAlign w:val="center"/>
          </w:tcPr>
          <w:p>
            <w:pPr>
              <w:keepNext w:val="0"/>
              <w:keepLines w:val="0"/>
              <w:widowControl/>
              <w:suppressLineNumbers w:val="0"/>
              <w:jc w:val="right"/>
              <w:textAlignment w:val="center"/>
              <w:rPr>
                <w:rFonts w:ascii="仿宋_GB2312" w:hAnsi="仿宋_GB2312" w:eastAsia="仿宋_GB2312" w:cs="仿宋_GB2312"/>
                <w:sz w:val="24"/>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160.00 </w:t>
            </w:r>
          </w:p>
        </w:tc>
        <w:tc>
          <w:tcPr>
            <w:tcW w:w="1910" w:type="dxa"/>
            <w:vAlign w:val="center"/>
          </w:tcPr>
          <w:p>
            <w:pPr>
              <w:jc w:val="center"/>
              <w:rPr>
                <w:rFonts w:ascii="仿宋_GB2312" w:hAnsi="仿宋_GB2312" w:eastAsia="仿宋_GB2312" w:cs="仿宋_GB2312"/>
                <w:sz w:val="24"/>
                <w:highlight w:val="none"/>
              </w:rPr>
            </w:pPr>
          </w:p>
        </w:tc>
        <w:tc>
          <w:tcPr>
            <w:tcW w:w="1748" w:type="dxa"/>
            <w:vAlign w:val="center"/>
          </w:tcPr>
          <w:p>
            <w:pP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19" w:hRule="atLeast"/>
          <w:tblHeader/>
          <w:jc w:val="center"/>
        </w:trPr>
        <w:tc>
          <w:tcPr>
            <w:tcW w:w="1056" w:type="dxa"/>
            <w:vAlign w:val="center"/>
          </w:tcPr>
          <w:p>
            <w:pPr>
              <w:snapToGrid w:val="0"/>
              <w:jc w:val="center"/>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四</w:t>
            </w:r>
          </w:p>
        </w:tc>
        <w:tc>
          <w:tcPr>
            <w:tcW w:w="2680" w:type="dxa"/>
            <w:vAlign w:val="center"/>
          </w:tcPr>
          <w:p>
            <w:pPr>
              <w:snapToGrid w:val="0"/>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合    计</w:t>
            </w:r>
          </w:p>
        </w:tc>
        <w:tc>
          <w:tcPr>
            <w:tcW w:w="1670" w:type="dxa"/>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 xml:space="preserve">84,700.35 </w:t>
            </w:r>
          </w:p>
        </w:tc>
        <w:tc>
          <w:tcPr>
            <w:tcW w:w="1910" w:type="dxa"/>
            <w:vAlign w:val="center"/>
          </w:tcPr>
          <w:p>
            <w:pPr>
              <w:jc w:val="center"/>
              <w:rPr>
                <w:rFonts w:ascii="仿宋_GB2312" w:hAnsi="仿宋_GB2312" w:eastAsia="仿宋_GB2312" w:cs="仿宋_GB2312"/>
                <w:b/>
                <w:bCs/>
                <w:sz w:val="24"/>
                <w:highlight w:val="none"/>
              </w:rPr>
            </w:pPr>
          </w:p>
        </w:tc>
        <w:tc>
          <w:tcPr>
            <w:tcW w:w="1748" w:type="dxa"/>
            <w:vAlign w:val="center"/>
          </w:tcPr>
          <w:p>
            <w:pPr>
              <w:jc w:val="center"/>
              <w:rPr>
                <w:rFonts w:ascii="仿宋_GB2312" w:hAnsi="仿宋_GB2312" w:eastAsia="仿宋_GB2312" w:cs="仿宋_GB2312"/>
                <w:b/>
                <w:bCs/>
                <w:sz w:val="24"/>
                <w:highlight w:val="none"/>
              </w:rPr>
            </w:pPr>
          </w:p>
        </w:tc>
      </w:tr>
    </w:tbl>
    <w:p>
      <w:pPr>
        <w:pStyle w:val="8"/>
        <w:rPr>
          <w:rFonts w:hint="eastAsia" w:asciiTheme="minorEastAsia" w:hAnsiTheme="minorEastAsia" w:eastAsiaTheme="minorEastAsia" w:cstheme="minorEastAsia"/>
          <w:sz w:val="18"/>
          <w:szCs w:val="20"/>
        </w:rPr>
        <w:sectPr>
          <w:pgSz w:w="11907" w:h="16840"/>
          <w:pgMar w:top="1418" w:right="1418" w:bottom="1418" w:left="1418" w:header="851" w:footer="851" w:gutter="0"/>
          <w:pgNumType w:fmt="decimal"/>
          <w:cols w:space="720" w:num="1"/>
          <w:docGrid w:type="lines" w:linePitch="312" w:charSpace="0"/>
        </w:sectPr>
      </w:pPr>
      <w:r>
        <w:rPr>
          <w:rFonts w:hint="eastAsia" w:asciiTheme="minorEastAsia" w:hAnsiTheme="minorEastAsia" w:eastAsiaTheme="minorEastAsia" w:cstheme="minorEastAsia"/>
          <w:b/>
          <w:bCs/>
          <w:highlight w:val="none"/>
        </w:rPr>
        <w:t>报价说明：</w:t>
      </w:r>
      <w:r>
        <w:rPr>
          <w:rFonts w:hint="eastAsia" w:asciiTheme="minorEastAsia" w:hAnsiTheme="minorEastAsia" w:eastAsiaTheme="minorEastAsia" w:cstheme="minorEastAsia"/>
          <w:b w:val="0"/>
          <w:bCs w:val="0"/>
          <w:sz w:val="22"/>
          <w:szCs w:val="24"/>
          <w:highlight w:val="none"/>
        </w:rPr>
        <w:t>投标人应填写投标报价。合同承包范围内的建安工程费下浮</w:t>
      </w:r>
      <w:r>
        <w:rPr>
          <w:rFonts w:hint="eastAsia" w:asciiTheme="minorEastAsia" w:hAnsiTheme="minorEastAsia" w:eastAsiaTheme="minorEastAsia" w:cstheme="minorEastAsia"/>
          <w:b w:val="0"/>
          <w:bCs w:val="0"/>
          <w:sz w:val="22"/>
          <w:szCs w:val="24"/>
          <w:highlight w:val="none"/>
          <w:lang w:val="en-US" w:eastAsia="zh-CN"/>
        </w:rPr>
        <w:t>率为</w:t>
      </w:r>
      <w:r>
        <w:rPr>
          <w:rFonts w:hint="eastAsia" w:asciiTheme="minorEastAsia" w:hAnsiTheme="minorEastAsia" w:eastAsiaTheme="minorEastAsia" w:cstheme="minorEastAsia"/>
          <w:b w:val="0"/>
          <w:bCs w:val="0"/>
          <w:sz w:val="22"/>
          <w:szCs w:val="24"/>
          <w:highlight w:val="none"/>
        </w:rPr>
        <w:t>β%</w:t>
      </w:r>
      <w:r>
        <w:rPr>
          <w:rFonts w:hint="eastAsia" w:asciiTheme="minorEastAsia" w:hAnsiTheme="minorEastAsia" w:eastAsiaTheme="minorEastAsia" w:cstheme="minorEastAsia"/>
          <w:b w:val="0"/>
          <w:bCs w:val="0"/>
          <w:sz w:val="22"/>
          <w:szCs w:val="24"/>
          <w:highlight w:val="none"/>
          <w:lang w:eastAsia="zh-CN"/>
        </w:rPr>
        <w:t>，</w:t>
      </w:r>
      <w:r>
        <w:rPr>
          <w:rFonts w:hint="eastAsia" w:asciiTheme="minorEastAsia" w:hAnsiTheme="minorEastAsia" w:eastAsiaTheme="minorEastAsia" w:cstheme="minorEastAsia"/>
          <w:b w:val="0"/>
          <w:bCs w:val="0"/>
          <w:sz w:val="22"/>
          <w:szCs w:val="24"/>
          <w:highlight w:val="none"/>
          <w:lang w:val="en-US" w:eastAsia="zh-CN"/>
        </w:rPr>
        <w:t>计算方式</w:t>
      </w:r>
      <w:r>
        <w:rPr>
          <w:rFonts w:hint="eastAsia" w:asciiTheme="minorEastAsia" w:hAnsiTheme="minorEastAsia" w:eastAsiaTheme="minorEastAsia" w:cstheme="minorEastAsia"/>
          <w:b w:val="0"/>
          <w:bCs w:val="0"/>
          <w:sz w:val="22"/>
          <w:szCs w:val="24"/>
          <w:highlight w:val="none"/>
          <w:u w:val="none"/>
        </w:rPr>
        <w:t>β%=1-建安工程费中标价/可研估算中的建安工程费89,205.64</w:t>
      </w:r>
      <w:r>
        <w:rPr>
          <w:rFonts w:hint="eastAsia" w:asciiTheme="minorEastAsia" w:hAnsiTheme="minorEastAsia" w:eastAsiaTheme="minorEastAsia" w:cstheme="minorEastAsia"/>
          <w:b w:val="0"/>
          <w:bCs w:val="0"/>
          <w:sz w:val="22"/>
          <w:szCs w:val="24"/>
          <w:highlight w:val="none"/>
          <w:u w:val="none"/>
          <w:lang w:eastAsia="zh-CN"/>
        </w:rPr>
        <w:t>万元，</w:t>
      </w:r>
      <w:r>
        <w:rPr>
          <w:rFonts w:hint="eastAsia" w:asciiTheme="minorEastAsia" w:hAnsiTheme="minorEastAsia" w:eastAsiaTheme="minorEastAsia" w:cstheme="minorEastAsia"/>
          <w:b w:val="0"/>
          <w:bCs w:val="0"/>
          <w:sz w:val="22"/>
          <w:szCs w:val="24"/>
          <w:highlight w:val="none"/>
          <w:u w:val="none"/>
          <w:lang w:val="en-US" w:eastAsia="zh-CN"/>
        </w:rPr>
        <w:t>详见合同</w:t>
      </w:r>
      <w:r>
        <w:rPr>
          <w:rFonts w:hint="eastAsia" w:asciiTheme="minorEastAsia" w:hAnsiTheme="minorEastAsia" w:eastAsiaTheme="minorEastAsia" w:cstheme="minorEastAsia"/>
          <w:sz w:val="18"/>
          <w:szCs w:val="20"/>
          <w:highlight w:val="none"/>
          <w:u w:val="none"/>
          <w:lang w:eastAsia="zh-CN"/>
        </w:rPr>
        <w:t>。</w:t>
      </w:r>
    </w:p>
    <w:p>
      <w:pPr>
        <w:spacing w:line="360" w:lineRule="auto"/>
        <w:rPr>
          <w:rFonts w:ascii="宋体" w:hAnsi="宋体"/>
          <w:b/>
          <w:bCs/>
          <w:sz w:val="32"/>
          <w:szCs w:val="32"/>
          <w:highlight w:val="none"/>
        </w:rPr>
      </w:pPr>
      <w:bookmarkStart w:id="1041" w:name="_Toc21659"/>
      <w:bookmarkStart w:id="1042" w:name="_Toc17151"/>
      <w:bookmarkStart w:id="1043" w:name="_Toc2431"/>
      <w:bookmarkStart w:id="1044" w:name="_Toc13028"/>
      <w:bookmarkStart w:id="1045" w:name="_Toc15122"/>
      <w:bookmarkStart w:id="1046" w:name="_Toc18787"/>
      <w:bookmarkStart w:id="1047" w:name="_Toc13375"/>
      <w:bookmarkStart w:id="1048" w:name="_Toc337"/>
      <w:bookmarkStart w:id="1049" w:name="_Toc24062"/>
      <w:bookmarkStart w:id="1050" w:name="_Toc32502"/>
      <w:r>
        <w:rPr>
          <w:rFonts w:hint="eastAsia" w:ascii="宋体" w:hAnsi="宋体"/>
          <w:b/>
          <w:bCs/>
          <w:sz w:val="32"/>
          <w:szCs w:val="32"/>
          <w:highlight w:val="none"/>
        </w:rPr>
        <w:t>格式二：资格审查文件</w:t>
      </w:r>
      <w:bookmarkEnd w:id="1041"/>
      <w:bookmarkEnd w:id="1042"/>
      <w:bookmarkEnd w:id="1043"/>
      <w:bookmarkEnd w:id="1044"/>
      <w:bookmarkEnd w:id="1045"/>
      <w:bookmarkEnd w:id="1046"/>
      <w:bookmarkEnd w:id="1047"/>
      <w:bookmarkEnd w:id="1048"/>
      <w:bookmarkEnd w:id="1049"/>
      <w:bookmarkEnd w:id="1050"/>
    </w:p>
    <w:bookmarkEnd w:id="1038"/>
    <w:p>
      <w:pPr>
        <w:spacing w:line="360" w:lineRule="auto"/>
        <w:jc w:val="center"/>
        <w:rPr>
          <w:rFonts w:hint="eastAsia" w:ascii="宋体" w:hAnsi="宋体" w:cs="宋体"/>
          <w:b/>
          <w:color w:val="auto"/>
          <w:kern w:val="1"/>
          <w:sz w:val="36"/>
          <w:szCs w:val="36"/>
        </w:rPr>
      </w:pPr>
      <w:r>
        <w:rPr>
          <w:rFonts w:hint="eastAsia" w:ascii="宋体" w:hAnsi="宋体" w:cs="宋体"/>
          <w:b/>
          <w:color w:val="auto"/>
          <w:kern w:val="1"/>
          <w:sz w:val="36"/>
          <w:szCs w:val="36"/>
        </w:rPr>
        <w:t>（按招标文件的资格审查要求提供相应的资料，格式自拟）</w:t>
      </w:r>
    </w:p>
    <w:p>
      <w:pPr>
        <w:spacing w:line="360" w:lineRule="auto"/>
        <w:rPr>
          <w:rFonts w:ascii="宋体" w:hAnsi="宋体"/>
          <w:sz w:val="20"/>
          <w:highlight w:val="none"/>
        </w:rPr>
      </w:pPr>
      <w:r>
        <w:rPr>
          <w:rFonts w:ascii="宋体" w:hAnsi="宋体"/>
          <w:highlight w:val="none"/>
        </w:rPr>
        <w:br w:type="page"/>
      </w:r>
      <w:bookmarkStart w:id="1051" w:name="_Toc21334"/>
      <w:bookmarkStart w:id="1052" w:name="_Toc23446"/>
      <w:bookmarkStart w:id="1053" w:name="_Toc16489"/>
      <w:bookmarkStart w:id="1054" w:name="_Toc4095"/>
      <w:bookmarkStart w:id="1055" w:name="_Toc283"/>
      <w:bookmarkStart w:id="1056" w:name="_Toc51288272"/>
      <w:bookmarkStart w:id="1057" w:name="_Toc2296"/>
      <w:bookmarkStart w:id="1058" w:name="_Toc22344"/>
      <w:bookmarkStart w:id="1059" w:name="_Toc22595"/>
      <w:bookmarkStart w:id="1060" w:name="_Toc50453127"/>
      <w:bookmarkStart w:id="1061" w:name="_Toc11618"/>
      <w:bookmarkStart w:id="1062" w:name="_Toc1744"/>
      <w:r>
        <w:rPr>
          <w:rFonts w:hint="eastAsia" w:ascii="宋体" w:hAnsi="宋体"/>
          <w:highlight w:val="none"/>
        </w:rPr>
        <w:t>格式三：</w:t>
      </w:r>
      <w:bookmarkEnd w:id="1039"/>
      <w:bookmarkEnd w:id="1040"/>
      <w:bookmarkEnd w:id="1051"/>
      <w:bookmarkEnd w:id="1052"/>
      <w:bookmarkEnd w:id="1053"/>
      <w:bookmarkEnd w:id="1054"/>
      <w:bookmarkEnd w:id="1055"/>
      <w:bookmarkEnd w:id="1056"/>
      <w:bookmarkEnd w:id="1057"/>
      <w:bookmarkEnd w:id="1058"/>
      <w:bookmarkEnd w:id="1059"/>
      <w:bookmarkEnd w:id="1060"/>
      <w:bookmarkEnd w:id="1061"/>
      <w:bookmarkEnd w:id="1062"/>
    </w:p>
    <w:p>
      <w:pPr>
        <w:spacing w:line="360" w:lineRule="auto"/>
        <w:jc w:val="center"/>
        <w:rPr>
          <w:rFonts w:ascii="宋体" w:hAnsi="宋体"/>
          <w:b/>
          <w:sz w:val="28"/>
          <w:szCs w:val="28"/>
          <w:highlight w:val="none"/>
        </w:rPr>
      </w:pPr>
      <w:r>
        <w:rPr>
          <w:rFonts w:hint="eastAsia" w:ascii="宋体" w:hAnsi="宋体"/>
          <w:b/>
          <w:sz w:val="28"/>
          <w:szCs w:val="28"/>
          <w:highlight w:val="none"/>
        </w:rPr>
        <w:t>法定代表人证明书、授权委托书</w:t>
      </w:r>
    </w:p>
    <w:p>
      <w:pPr>
        <w:ind w:firstLine="496"/>
        <w:rPr>
          <w:rFonts w:ascii="宋体" w:hAnsi="宋体"/>
          <w:highlight w:val="none"/>
        </w:rPr>
      </w:pPr>
      <w:r>
        <w:rPr>
          <w:rFonts w:hint="eastAsia" w:ascii="宋体" w:hAnsi="宋体"/>
          <w:highlight w:val="none"/>
        </w:rPr>
        <w:t>（1）法定代表人证明书</w:t>
      </w:r>
    </w:p>
    <w:p>
      <w:pPr>
        <w:ind w:firstLine="480"/>
        <w:rPr>
          <w:rFonts w:ascii="宋体" w:hAnsi="宋体"/>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column">
                  <wp:posOffset>76200</wp:posOffset>
                </wp:positionH>
                <wp:positionV relativeFrom="paragraph">
                  <wp:posOffset>41275</wp:posOffset>
                </wp:positionV>
                <wp:extent cx="5198745" cy="2773680"/>
                <wp:effectExtent l="4445" t="5080" r="16510" b="21590"/>
                <wp:wrapNone/>
                <wp:docPr id="3" name="文本框 3"/>
                <wp:cNvGraphicFramePr/>
                <a:graphic xmlns:a="http://schemas.openxmlformats.org/drawingml/2006/main">
                  <a:graphicData uri="http://schemas.microsoft.com/office/word/2010/wordprocessingShape">
                    <wps:wsp>
                      <wps:cNvSpPr txBox="1"/>
                      <wps:spPr>
                        <a:xfrm>
                          <a:off x="0" y="0"/>
                          <a:ext cx="5198745" cy="27736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Cs w:val="28"/>
                              </w:rPr>
                            </w:pPr>
                          </w:p>
                          <w:p>
                            <w:pPr>
                              <w:rPr>
                                <w:szCs w:val="28"/>
                              </w:rPr>
                            </w:pPr>
                            <w:r>
                              <w:rPr>
                                <w:rFonts w:hint="eastAsia"/>
                                <w:szCs w:val="28"/>
                              </w:rPr>
                              <w:t>　　</w:t>
                            </w:r>
                            <w:r>
                              <w:rPr>
                                <w:rFonts w:hint="eastAsia"/>
                                <w:szCs w:val="28"/>
                                <w:u w:val="single"/>
                              </w:rPr>
                              <w:t>　　　　　　</w:t>
                            </w:r>
                            <w:r>
                              <w:rPr>
                                <w:rFonts w:hint="eastAsia"/>
                                <w:szCs w:val="28"/>
                              </w:rPr>
                              <w:t>现任我单位</w:t>
                            </w:r>
                            <w:r>
                              <w:rPr>
                                <w:rFonts w:hint="eastAsia"/>
                                <w:szCs w:val="28"/>
                                <w:u w:val="single"/>
                              </w:rPr>
                              <w:t>　　　　　</w:t>
                            </w:r>
                            <w:r>
                              <w:rPr>
                                <w:rFonts w:hint="eastAsia"/>
                                <w:szCs w:val="28"/>
                              </w:rPr>
                              <w:t>职务，为法定代表人（负责人），特此证明。</w:t>
                            </w:r>
                          </w:p>
                          <w:p>
                            <w:pPr>
                              <w:rPr>
                                <w:szCs w:val="28"/>
                              </w:rPr>
                            </w:pPr>
                            <w:r>
                              <w:rPr>
                                <w:rFonts w:hint="eastAsia"/>
                                <w:szCs w:val="28"/>
                              </w:rPr>
                              <w:t>有效期限：</w:t>
                            </w:r>
                            <w:r>
                              <w:rPr>
                                <w:szCs w:val="28"/>
                                <w:u w:val="single"/>
                              </w:rPr>
                              <w:t xml:space="preserve">                                  </w:t>
                            </w:r>
                          </w:p>
                          <w:p>
                            <w:pPr>
                              <w:rPr>
                                <w:szCs w:val="28"/>
                              </w:rPr>
                            </w:pPr>
                            <w:r>
                              <w:rPr>
                                <w:rFonts w:hint="eastAsia"/>
                                <w:szCs w:val="28"/>
                              </w:rPr>
                              <w:t>附：法定代表人（负责人）性别：</w:t>
                            </w:r>
                            <w:r>
                              <w:rPr>
                                <w:rFonts w:hint="eastAsia"/>
                                <w:szCs w:val="28"/>
                                <w:u w:val="single"/>
                              </w:rPr>
                              <w:t>　　</w:t>
                            </w:r>
                            <w:r>
                              <w:rPr>
                                <w:rFonts w:hint="eastAsia"/>
                                <w:szCs w:val="28"/>
                              </w:rPr>
                              <w:t>年龄：</w:t>
                            </w:r>
                            <w:r>
                              <w:rPr>
                                <w:rFonts w:hint="eastAsia"/>
                                <w:szCs w:val="28"/>
                                <w:u w:val="single"/>
                              </w:rPr>
                              <w:t>　　</w:t>
                            </w:r>
                            <w:r>
                              <w:rPr>
                                <w:rFonts w:hint="eastAsia"/>
                                <w:szCs w:val="28"/>
                              </w:rPr>
                              <w:t>身份证号码：</w:t>
                            </w:r>
                            <w:r>
                              <w:rPr>
                                <w:szCs w:val="28"/>
                                <w:u w:val="single"/>
                              </w:rPr>
                              <w:t xml:space="preserve">             </w:t>
                            </w:r>
                          </w:p>
                          <w:p>
                            <w:pPr>
                              <w:rPr>
                                <w:szCs w:val="28"/>
                              </w:rPr>
                            </w:pPr>
                            <w:r>
                              <w:rPr>
                                <w:rFonts w:hint="eastAsia"/>
                                <w:szCs w:val="28"/>
                              </w:rPr>
                              <w:t>注册号码：</w:t>
                            </w:r>
                            <w:r>
                              <w:rPr>
                                <w:rFonts w:hint="eastAsia"/>
                                <w:szCs w:val="28"/>
                                <w:u w:val="single"/>
                              </w:rPr>
                              <w:t>　　　　　　　　　　</w:t>
                            </w:r>
                            <w:r>
                              <w:rPr>
                                <w:rFonts w:hint="eastAsia"/>
                                <w:szCs w:val="28"/>
                              </w:rPr>
                              <w:t>企业类型：</w:t>
                            </w:r>
                            <w:r>
                              <w:rPr>
                                <w:szCs w:val="28"/>
                                <w:u w:val="single"/>
                              </w:rPr>
                              <w:t xml:space="preserve">                          </w:t>
                            </w:r>
                          </w:p>
                          <w:p>
                            <w:pPr>
                              <w:rPr>
                                <w:szCs w:val="28"/>
                              </w:rPr>
                            </w:pPr>
                            <w:r>
                              <w:rPr>
                                <w:rFonts w:hint="eastAsia"/>
                                <w:szCs w:val="28"/>
                              </w:rPr>
                              <w:t>经营范围：</w:t>
                            </w:r>
                            <w:r>
                              <w:rPr>
                                <w:szCs w:val="28"/>
                                <w:u w:val="single"/>
                              </w:rPr>
                              <w:t xml:space="preserve">                                       </w:t>
                            </w:r>
                          </w:p>
                          <w:p>
                            <w:pPr>
                              <w:rPr>
                                <w:szCs w:val="28"/>
                              </w:rPr>
                            </w:pPr>
                            <w:r>
                              <w:rPr>
                                <w:rFonts w:hint="eastAsia"/>
                                <w:szCs w:val="28"/>
                              </w:rPr>
                              <w:t>　　　　　　　　　　单位：　　　　　　　　　　　（盖章）</w:t>
                            </w:r>
                          </w:p>
                          <w:p>
                            <w:pPr>
                              <w:rPr>
                                <w:szCs w:val="28"/>
                              </w:rPr>
                            </w:pPr>
                            <w:r>
                              <w:rPr>
                                <w:rFonts w:hint="eastAsia"/>
                                <w:szCs w:val="28"/>
                              </w:rPr>
                              <w:t>　　　　　　　　　　　　　　　　　　　　　</w:t>
                            </w:r>
                            <w:r>
                              <w:rPr>
                                <w:szCs w:val="28"/>
                              </w:rPr>
                              <w:t xml:space="preserve">    </w:t>
                            </w:r>
                            <w:r>
                              <w:rPr>
                                <w:rFonts w:hint="eastAsia"/>
                                <w:szCs w:val="28"/>
                              </w:rPr>
                              <w:t>年　月　　日</w:t>
                            </w:r>
                          </w:p>
                        </w:txbxContent>
                      </wps:txbx>
                      <wps:bodyPr upright="1"/>
                    </wps:wsp>
                  </a:graphicData>
                </a:graphic>
              </wp:anchor>
            </w:drawing>
          </mc:Choice>
          <mc:Fallback>
            <w:pict>
              <v:shape id="_x0000_s1026" o:spid="_x0000_s1026" o:spt="202" type="#_x0000_t202" style="position:absolute;left:0pt;margin-left:6pt;margin-top:3.25pt;height:218.4pt;width:409.35pt;z-index:251661312;mso-width-relative:page;mso-height-relative:page;" fillcolor="#FFFFFF" filled="t" stroked="t" coordsize="21600,21600" o:gfxdata="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R7DzK2AAAAAgBAAAPAAAAAAAAAAEAIAAAACIAAABkcnMvZG93bnJldi54&#10;bWxQSwECFAAUAAAACACHTuJA8NEQQPoBAAD3AwAADgAAAAAAAAABACAAAAAnAQAAZHJzL2Uyb0Rv&#10;Yy54bWxQSwUGAAAAAAYABgBZAQAAkwUAAAAA&#10;">
                <v:fill on="t" focussize="0,0"/>
                <v:stroke color="#000000" joinstyle="miter"/>
                <v:imagedata o:title=""/>
                <o:lock v:ext="edit" aspectratio="f"/>
                <v:textbox>
                  <w:txbxContent>
                    <w:p>
                      <w:pPr>
                        <w:rPr>
                          <w:szCs w:val="28"/>
                        </w:rPr>
                      </w:pPr>
                    </w:p>
                    <w:p>
                      <w:pPr>
                        <w:rPr>
                          <w:szCs w:val="28"/>
                        </w:rPr>
                      </w:pPr>
                      <w:r>
                        <w:rPr>
                          <w:rFonts w:hint="eastAsia"/>
                          <w:szCs w:val="28"/>
                        </w:rPr>
                        <w:t>　　</w:t>
                      </w:r>
                      <w:r>
                        <w:rPr>
                          <w:rFonts w:hint="eastAsia"/>
                          <w:szCs w:val="28"/>
                          <w:u w:val="single"/>
                        </w:rPr>
                        <w:t>　　　　　　</w:t>
                      </w:r>
                      <w:r>
                        <w:rPr>
                          <w:rFonts w:hint="eastAsia"/>
                          <w:szCs w:val="28"/>
                        </w:rPr>
                        <w:t>现任我单位</w:t>
                      </w:r>
                      <w:r>
                        <w:rPr>
                          <w:rFonts w:hint="eastAsia"/>
                          <w:szCs w:val="28"/>
                          <w:u w:val="single"/>
                        </w:rPr>
                        <w:t>　　　　　</w:t>
                      </w:r>
                      <w:r>
                        <w:rPr>
                          <w:rFonts w:hint="eastAsia"/>
                          <w:szCs w:val="28"/>
                        </w:rPr>
                        <w:t>职务，为法定代表人（负责人），特此证明。</w:t>
                      </w:r>
                    </w:p>
                    <w:p>
                      <w:pPr>
                        <w:rPr>
                          <w:szCs w:val="28"/>
                        </w:rPr>
                      </w:pPr>
                      <w:r>
                        <w:rPr>
                          <w:rFonts w:hint="eastAsia"/>
                          <w:szCs w:val="28"/>
                        </w:rPr>
                        <w:t>有效期限：</w:t>
                      </w:r>
                      <w:r>
                        <w:rPr>
                          <w:szCs w:val="28"/>
                          <w:u w:val="single"/>
                        </w:rPr>
                        <w:t xml:space="preserve">                                  </w:t>
                      </w:r>
                    </w:p>
                    <w:p>
                      <w:pPr>
                        <w:rPr>
                          <w:szCs w:val="28"/>
                        </w:rPr>
                      </w:pPr>
                      <w:r>
                        <w:rPr>
                          <w:rFonts w:hint="eastAsia"/>
                          <w:szCs w:val="28"/>
                        </w:rPr>
                        <w:t>附：法定代表人（负责人）性别：</w:t>
                      </w:r>
                      <w:r>
                        <w:rPr>
                          <w:rFonts w:hint="eastAsia"/>
                          <w:szCs w:val="28"/>
                          <w:u w:val="single"/>
                        </w:rPr>
                        <w:t>　　</w:t>
                      </w:r>
                      <w:r>
                        <w:rPr>
                          <w:rFonts w:hint="eastAsia"/>
                          <w:szCs w:val="28"/>
                        </w:rPr>
                        <w:t>年龄：</w:t>
                      </w:r>
                      <w:r>
                        <w:rPr>
                          <w:rFonts w:hint="eastAsia"/>
                          <w:szCs w:val="28"/>
                          <w:u w:val="single"/>
                        </w:rPr>
                        <w:t>　　</w:t>
                      </w:r>
                      <w:r>
                        <w:rPr>
                          <w:rFonts w:hint="eastAsia"/>
                          <w:szCs w:val="28"/>
                        </w:rPr>
                        <w:t>身份证号码：</w:t>
                      </w:r>
                      <w:r>
                        <w:rPr>
                          <w:szCs w:val="28"/>
                          <w:u w:val="single"/>
                        </w:rPr>
                        <w:t xml:space="preserve">             </w:t>
                      </w:r>
                    </w:p>
                    <w:p>
                      <w:pPr>
                        <w:rPr>
                          <w:szCs w:val="28"/>
                        </w:rPr>
                      </w:pPr>
                      <w:r>
                        <w:rPr>
                          <w:rFonts w:hint="eastAsia"/>
                          <w:szCs w:val="28"/>
                        </w:rPr>
                        <w:t>注册号码：</w:t>
                      </w:r>
                      <w:r>
                        <w:rPr>
                          <w:rFonts w:hint="eastAsia"/>
                          <w:szCs w:val="28"/>
                          <w:u w:val="single"/>
                        </w:rPr>
                        <w:t>　　　　　　　　　　</w:t>
                      </w:r>
                      <w:r>
                        <w:rPr>
                          <w:rFonts w:hint="eastAsia"/>
                          <w:szCs w:val="28"/>
                        </w:rPr>
                        <w:t>企业类型：</w:t>
                      </w:r>
                      <w:r>
                        <w:rPr>
                          <w:szCs w:val="28"/>
                          <w:u w:val="single"/>
                        </w:rPr>
                        <w:t xml:space="preserve">                          </w:t>
                      </w:r>
                    </w:p>
                    <w:p>
                      <w:pPr>
                        <w:rPr>
                          <w:szCs w:val="28"/>
                        </w:rPr>
                      </w:pPr>
                      <w:r>
                        <w:rPr>
                          <w:rFonts w:hint="eastAsia"/>
                          <w:szCs w:val="28"/>
                        </w:rPr>
                        <w:t>经营范围：</w:t>
                      </w:r>
                      <w:r>
                        <w:rPr>
                          <w:szCs w:val="28"/>
                          <w:u w:val="single"/>
                        </w:rPr>
                        <w:t xml:space="preserve">                                       </w:t>
                      </w:r>
                    </w:p>
                    <w:p>
                      <w:pPr>
                        <w:rPr>
                          <w:szCs w:val="28"/>
                        </w:rPr>
                      </w:pPr>
                      <w:r>
                        <w:rPr>
                          <w:rFonts w:hint="eastAsia"/>
                          <w:szCs w:val="28"/>
                        </w:rPr>
                        <w:t>　　　　　　　　　　单位：　　　　　　　　　　　（盖章）</w:t>
                      </w:r>
                    </w:p>
                    <w:p>
                      <w:pPr>
                        <w:rPr>
                          <w:szCs w:val="28"/>
                        </w:rPr>
                      </w:pPr>
                      <w:r>
                        <w:rPr>
                          <w:rFonts w:hint="eastAsia"/>
                          <w:szCs w:val="28"/>
                        </w:rPr>
                        <w:t>　　　　　　　　　　　　　　　　　　　　　</w:t>
                      </w:r>
                      <w:r>
                        <w:rPr>
                          <w:szCs w:val="28"/>
                        </w:rPr>
                        <w:t xml:space="preserve">    </w:t>
                      </w:r>
                      <w:r>
                        <w:rPr>
                          <w:rFonts w:hint="eastAsia"/>
                          <w:szCs w:val="28"/>
                        </w:rPr>
                        <w:t>年　月　　日</w:t>
                      </w:r>
                    </w:p>
                  </w:txbxContent>
                </v:textbox>
              </v:shape>
            </w:pict>
          </mc:Fallback>
        </mc:AlternateContent>
      </w:r>
    </w:p>
    <w:p>
      <w:pPr>
        <w:ind w:firstLine="496"/>
        <w:rPr>
          <w:rFonts w:ascii="宋体" w:hAnsi="宋体"/>
          <w:highlight w:val="none"/>
        </w:rPr>
      </w:pPr>
      <w:r>
        <w:rPr>
          <w:rFonts w:hint="eastAsia" w:ascii="宋体" w:hAnsi="宋体"/>
          <w:highlight w:val="none"/>
        </w:rPr>
        <w:t>授权委</w:t>
      </w:r>
    </w:p>
    <w:p>
      <w:pPr>
        <w:ind w:firstLine="496"/>
        <w:rPr>
          <w:rFonts w:ascii="宋体" w:hAnsi="宋体"/>
          <w:highlight w:val="none"/>
        </w:rPr>
      </w:pPr>
    </w:p>
    <w:p>
      <w:pPr>
        <w:ind w:firstLine="496"/>
        <w:rPr>
          <w:rFonts w:ascii="宋体" w:hAnsi="宋体"/>
          <w:highlight w:val="none"/>
        </w:rPr>
      </w:pPr>
      <w:r>
        <w:rPr>
          <w:rFonts w:hint="eastAsia" w:ascii="宋体" w:hAnsi="宋体"/>
          <w:highlight w:val="none"/>
        </w:rPr>
        <w:t>托证明书</w:t>
      </w:r>
    </w:p>
    <w:p>
      <w:pPr>
        <w:ind w:firstLine="496"/>
        <w:rPr>
          <w:rFonts w:ascii="宋体" w:hAnsi="宋体"/>
          <w:highlight w:val="none"/>
        </w:rPr>
      </w:pPr>
      <w:r>
        <w:rPr>
          <w:rFonts w:hint="eastAsia" w:ascii="宋体" w:hAnsi="宋体"/>
          <w:highlight w:val="none"/>
        </w:rPr>
        <w:t>（　 ）第　号</w:t>
      </w:r>
    </w:p>
    <w:p>
      <w:pPr>
        <w:ind w:firstLine="496"/>
        <w:rPr>
          <w:rFonts w:ascii="宋体" w:hAnsi="宋体"/>
          <w:highlight w:val="none"/>
        </w:rPr>
      </w:pPr>
      <w:r>
        <w:rPr>
          <w:rFonts w:hint="eastAsia" w:ascii="宋体" w:hAnsi="宋体"/>
          <w:highlight w:val="none"/>
        </w:rPr>
        <w:t>注：按提供的该表格格式填写，或使用从工商管理部门购买的表格填写。</w:t>
      </w:r>
    </w:p>
    <w:p>
      <w:pPr>
        <w:ind w:firstLine="496"/>
        <w:rPr>
          <w:rFonts w:ascii="宋体" w:hAnsi="宋体"/>
          <w:highlight w:val="none"/>
        </w:rPr>
      </w:pPr>
    </w:p>
    <w:p>
      <w:pPr>
        <w:ind w:firstLine="496"/>
        <w:rPr>
          <w:rFonts w:ascii="宋体" w:hAnsi="宋体"/>
          <w:highlight w:val="none"/>
        </w:rPr>
      </w:pPr>
    </w:p>
    <w:p>
      <w:pPr>
        <w:ind w:firstLine="496"/>
        <w:rPr>
          <w:rFonts w:ascii="宋体" w:hAnsi="宋体"/>
          <w:highlight w:val="none"/>
        </w:rPr>
      </w:pPr>
    </w:p>
    <w:p>
      <w:pPr>
        <w:ind w:firstLine="496"/>
        <w:rPr>
          <w:rFonts w:ascii="宋体" w:hAnsi="宋体"/>
          <w:highlight w:val="none"/>
        </w:rPr>
      </w:pPr>
      <w:r>
        <w:rPr>
          <w:rFonts w:hint="eastAsia" w:ascii="宋体" w:hAnsi="宋体"/>
          <w:highlight w:val="none"/>
        </w:rPr>
        <w:t xml:space="preserve">      </w:t>
      </w:r>
    </w:p>
    <w:p>
      <w:pPr>
        <w:ind w:firstLine="496"/>
        <w:rPr>
          <w:rFonts w:ascii="宋体" w:hAnsi="宋体"/>
          <w:highlight w:val="none"/>
        </w:rPr>
      </w:pPr>
      <w:r>
        <w:rPr>
          <w:rFonts w:hint="eastAsia" w:ascii="宋体" w:hAnsi="宋体"/>
          <w:highlight w:val="none"/>
        </w:rPr>
        <w:t>（2）法定代表人授权委托书</w:t>
      </w:r>
    </w:p>
    <w:p>
      <w:pPr>
        <w:ind w:firstLine="480"/>
        <w:rPr>
          <w:rFonts w:ascii="宋体" w:hAnsi="宋体"/>
          <w:highlight w:val="none"/>
        </w:rPr>
      </w:pPr>
      <w:r>
        <w:rPr>
          <w:rFonts w:hint="eastAsia" w:ascii="宋体" w:hAnsi="宋体"/>
          <w:highlight w:val="none"/>
        </w:rPr>
        <w:t xml:space="preserve">                                                 </w:t>
      </w:r>
    </w:p>
    <w:p>
      <w:pPr>
        <w:ind w:firstLine="496"/>
        <w:rPr>
          <w:rFonts w:ascii="宋体" w:hAnsi="宋体"/>
          <w:highlight w:val="none"/>
        </w:rPr>
      </w:pPr>
    </w:p>
    <w:p>
      <w:pPr>
        <w:ind w:firstLine="496"/>
        <w:rPr>
          <w:rFonts w:ascii="宋体" w:hAnsi="宋体"/>
          <w:highlight w:val="none"/>
        </w:rPr>
      </w:pPr>
    </w:p>
    <w:p>
      <w:pPr>
        <w:ind w:firstLine="496"/>
        <w:rPr>
          <w:rFonts w:ascii="宋体" w:hAnsi="宋体"/>
          <w:highlight w:val="none"/>
        </w:rPr>
      </w:pPr>
    </w:p>
    <w:p>
      <w:pPr>
        <w:pStyle w:val="8"/>
      </w:pPr>
      <w:r>
        <w:rPr>
          <w:highlight w:val="none"/>
        </w:rPr>
        <mc:AlternateContent>
          <mc:Choice Requires="wps">
            <w:drawing>
              <wp:anchor distT="0" distB="0" distL="114300" distR="114300" simplePos="0" relativeHeight="251662336" behindDoc="0" locked="0" layoutInCell="1" allowOverlap="1">
                <wp:simplePos x="0" y="0"/>
                <wp:positionH relativeFrom="column">
                  <wp:posOffset>64770</wp:posOffset>
                </wp:positionH>
                <wp:positionV relativeFrom="paragraph">
                  <wp:posOffset>22225</wp:posOffset>
                </wp:positionV>
                <wp:extent cx="5160645" cy="2698750"/>
                <wp:effectExtent l="4445" t="4445" r="16510" b="20955"/>
                <wp:wrapNone/>
                <wp:docPr id="8" name="文本框 8"/>
                <wp:cNvGraphicFramePr/>
                <a:graphic xmlns:a="http://schemas.openxmlformats.org/drawingml/2006/main">
                  <a:graphicData uri="http://schemas.microsoft.com/office/word/2010/wordprocessingShape">
                    <wps:wsp>
                      <wps:cNvSpPr txBox="1"/>
                      <wps:spPr>
                        <a:xfrm>
                          <a:off x="0" y="0"/>
                          <a:ext cx="5160645" cy="26987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兹授权</w:t>
                            </w:r>
                            <w:r>
                              <w:rPr>
                                <w:u w:val="single"/>
                              </w:rPr>
                              <w:t xml:space="preserve">                </w:t>
                            </w:r>
                            <w:r>
                              <w:rPr>
                                <w:rFonts w:hint="eastAsia"/>
                              </w:rPr>
                              <w:t>为我方委托代理人，其权限是：</w:t>
                            </w:r>
                            <w:r>
                              <w:rPr>
                                <w:u w:val="single"/>
                              </w:rPr>
                              <w:t xml:space="preserve">                </w:t>
                            </w:r>
                          </w:p>
                          <w:p>
                            <w:pPr>
                              <w:rPr>
                                <w:u w:val="single"/>
                              </w:rPr>
                            </w:pPr>
                            <w:r>
                              <w:t xml:space="preserve"> </w:t>
                            </w:r>
                            <w:r>
                              <w:rPr>
                                <w:u w:val="single"/>
                              </w:rPr>
                              <w:t xml:space="preserve">                                                                </w:t>
                            </w:r>
                          </w:p>
                          <w:p>
                            <w:r>
                              <w:rPr>
                                <w:rFonts w:hint="eastAsia"/>
                              </w:rPr>
                              <w:t>有效期限：</w:t>
                            </w:r>
                            <w:r>
                              <w:rPr>
                                <w:u w:val="single"/>
                              </w:rPr>
                              <w:t xml:space="preserve">                                                        </w:t>
                            </w:r>
                          </w:p>
                          <w:p>
                            <w:r>
                              <w:rPr>
                                <w:rFonts w:hint="eastAsia"/>
                              </w:rPr>
                              <w:t>附：代理人性别：</w:t>
                            </w:r>
                            <w:r>
                              <w:rPr>
                                <w:u w:val="single"/>
                              </w:rPr>
                              <w:t xml:space="preserve">     </w:t>
                            </w:r>
                            <w:r>
                              <w:rPr>
                                <w:rFonts w:hint="eastAsia"/>
                              </w:rPr>
                              <w:t>年龄：</w:t>
                            </w:r>
                            <w:r>
                              <w:rPr>
                                <w:u w:val="single"/>
                              </w:rPr>
                              <w:t xml:space="preserve">     </w:t>
                            </w:r>
                            <w:r>
                              <w:rPr>
                                <w:rFonts w:hint="eastAsia"/>
                              </w:rPr>
                              <w:t>身份证号码：</w:t>
                            </w:r>
                            <w:r>
                              <w:rPr>
                                <w:u w:val="single"/>
                              </w:rPr>
                              <w:t xml:space="preserve">                       </w:t>
                            </w:r>
                          </w:p>
                          <w:p>
                            <w:r>
                              <w:rPr>
                                <w:rFonts w:hint="eastAsia"/>
                              </w:rPr>
                              <w:t>注册号码：</w:t>
                            </w:r>
                            <w:r>
                              <w:rPr>
                                <w:u w:val="single"/>
                              </w:rPr>
                              <w:t xml:space="preserve">                  </w:t>
                            </w:r>
                            <w:r>
                              <w:rPr>
                                <w:rFonts w:hint="eastAsia"/>
                              </w:rPr>
                              <w:t>企业类型：</w:t>
                            </w:r>
                            <w:r>
                              <w:rPr>
                                <w:u w:val="single"/>
                              </w:rPr>
                              <w:t xml:space="preserve">                            </w:t>
                            </w:r>
                          </w:p>
                          <w:p>
                            <w:r>
                              <w:rPr>
                                <w:rFonts w:hint="eastAsia"/>
                              </w:rPr>
                              <w:t>经营范围：</w:t>
                            </w:r>
                            <w:r>
                              <w:rPr>
                                <w:u w:val="single"/>
                              </w:rPr>
                              <w:t xml:space="preserve">                                                        </w:t>
                            </w:r>
                          </w:p>
                          <w:p>
                            <w:r>
                              <w:rPr>
                                <w:rFonts w:hint="eastAsia"/>
                              </w:rPr>
                              <w:t>法定代表人（负责人）：</w:t>
                            </w:r>
                            <w:r>
                              <w:rPr>
                                <w:u w:val="single"/>
                              </w:rPr>
                              <w:t xml:space="preserve">                 </w:t>
                            </w:r>
                            <w:r>
                              <w:rPr>
                                <w:rFonts w:hint="eastAsia"/>
                              </w:rPr>
                              <w:t>（签字或盖章）</w:t>
                            </w:r>
                          </w:p>
                          <w:p>
                            <w:r>
                              <w:rPr>
                                <w:rFonts w:hint="eastAsia"/>
                              </w:rPr>
                              <w:t>授权单位：（盖章）</w:t>
                            </w:r>
                            <w:r>
                              <w:rPr>
                                <w:u w:val="single"/>
                              </w:rPr>
                              <w:t xml:space="preserve">                      </w:t>
                            </w:r>
                          </w:p>
                          <w:p>
                            <w:pPr>
                              <w:ind w:firstLine="496"/>
                            </w:pPr>
                            <w:r>
                              <w:rPr>
                                <w:rFonts w:hint="eastAsia"/>
                              </w:rPr>
                              <w:t>年</w:t>
                            </w:r>
                            <w:r>
                              <w:t xml:space="preserve">  </w:t>
                            </w:r>
                            <w:r>
                              <w:rPr>
                                <w:rFonts w:hint="eastAsia"/>
                              </w:rPr>
                              <w:t>月</w:t>
                            </w:r>
                            <w:r>
                              <w:t xml:space="preserve">   </w:t>
                            </w:r>
                            <w:r>
                              <w:rPr>
                                <w:rFonts w:hint="eastAsia"/>
                              </w:rPr>
                              <w:t>日</w:t>
                            </w:r>
                          </w:p>
                        </w:txbxContent>
                      </wps:txbx>
                      <wps:bodyPr upright="1"/>
                    </wps:wsp>
                  </a:graphicData>
                </a:graphic>
              </wp:anchor>
            </w:drawing>
          </mc:Choice>
          <mc:Fallback>
            <w:pict>
              <v:shape id="_x0000_s1026" o:spid="_x0000_s1026" o:spt="202" type="#_x0000_t202" style="position:absolute;left:0pt;margin-left:5.1pt;margin-top:1.75pt;height:212.5pt;width:406.35pt;z-index:251662336;mso-width-relative:page;mso-height-relative:page;" fillcolor="#FFFFFF" filled="t" stroked="t" coordsize="21600,21600" o:gfxdata="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u6OZ/1wAAAAgBAAAPAAAAAAAAAAEAIAAAACIAAABkcnMvZG93bnJldi54bWxQ&#10;SwECFAAUAAAACACHTuJAYs3cFfgBAAD3AwAADgAAAAAAAAABACAAAAAmAQAAZHJzL2Uyb0RvYy54&#10;bWxQSwUGAAAAAAYABgBZAQAAkAUAAAAA&#10;">
                <v:fill on="t" focussize="0,0"/>
                <v:stroke color="#000000" joinstyle="miter"/>
                <v:imagedata o:title=""/>
                <o:lock v:ext="edit" aspectratio="f"/>
                <v:textbox>
                  <w:txbxContent>
                    <w:p>
                      <w:r>
                        <w:rPr>
                          <w:rFonts w:hint="eastAsia"/>
                        </w:rPr>
                        <w:t>兹授权</w:t>
                      </w:r>
                      <w:r>
                        <w:rPr>
                          <w:u w:val="single"/>
                        </w:rPr>
                        <w:t xml:space="preserve">                </w:t>
                      </w:r>
                      <w:r>
                        <w:rPr>
                          <w:rFonts w:hint="eastAsia"/>
                        </w:rPr>
                        <w:t>为我方委托代理人，其权限是：</w:t>
                      </w:r>
                      <w:r>
                        <w:rPr>
                          <w:u w:val="single"/>
                        </w:rPr>
                        <w:t xml:space="preserve">                </w:t>
                      </w:r>
                    </w:p>
                    <w:p>
                      <w:pPr>
                        <w:rPr>
                          <w:u w:val="single"/>
                        </w:rPr>
                      </w:pPr>
                      <w:r>
                        <w:t xml:space="preserve"> </w:t>
                      </w:r>
                      <w:r>
                        <w:rPr>
                          <w:u w:val="single"/>
                        </w:rPr>
                        <w:t xml:space="preserve">                                                                </w:t>
                      </w:r>
                    </w:p>
                    <w:p>
                      <w:r>
                        <w:rPr>
                          <w:rFonts w:hint="eastAsia"/>
                        </w:rPr>
                        <w:t>有效期限：</w:t>
                      </w:r>
                      <w:r>
                        <w:rPr>
                          <w:u w:val="single"/>
                        </w:rPr>
                        <w:t xml:space="preserve">                                                        </w:t>
                      </w:r>
                    </w:p>
                    <w:p>
                      <w:r>
                        <w:rPr>
                          <w:rFonts w:hint="eastAsia"/>
                        </w:rPr>
                        <w:t>附：代理人性别：</w:t>
                      </w:r>
                      <w:r>
                        <w:rPr>
                          <w:u w:val="single"/>
                        </w:rPr>
                        <w:t xml:space="preserve">     </w:t>
                      </w:r>
                      <w:r>
                        <w:rPr>
                          <w:rFonts w:hint="eastAsia"/>
                        </w:rPr>
                        <w:t>年龄：</w:t>
                      </w:r>
                      <w:r>
                        <w:rPr>
                          <w:u w:val="single"/>
                        </w:rPr>
                        <w:t xml:space="preserve">     </w:t>
                      </w:r>
                      <w:r>
                        <w:rPr>
                          <w:rFonts w:hint="eastAsia"/>
                        </w:rPr>
                        <w:t>身份证号码：</w:t>
                      </w:r>
                      <w:r>
                        <w:rPr>
                          <w:u w:val="single"/>
                        </w:rPr>
                        <w:t xml:space="preserve">                       </w:t>
                      </w:r>
                    </w:p>
                    <w:p>
                      <w:r>
                        <w:rPr>
                          <w:rFonts w:hint="eastAsia"/>
                        </w:rPr>
                        <w:t>注册号码：</w:t>
                      </w:r>
                      <w:r>
                        <w:rPr>
                          <w:u w:val="single"/>
                        </w:rPr>
                        <w:t xml:space="preserve">                  </w:t>
                      </w:r>
                      <w:r>
                        <w:rPr>
                          <w:rFonts w:hint="eastAsia"/>
                        </w:rPr>
                        <w:t>企业类型：</w:t>
                      </w:r>
                      <w:r>
                        <w:rPr>
                          <w:u w:val="single"/>
                        </w:rPr>
                        <w:t xml:space="preserve">                            </w:t>
                      </w:r>
                    </w:p>
                    <w:p>
                      <w:r>
                        <w:rPr>
                          <w:rFonts w:hint="eastAsia"/>
                        </w:rPr>
                        <w:t>经营范围：</w:t>
                      </w:r>
                      <w:r>
                        <w:rPr>
                          <w:u w:val="single"/>
                        </w:rPr>
                        <w:t xml:space="preserve">                                                        </w:t>
                      </w:r>
                    </w:p>
                    <w:p>
                      <w:r>
                        <w:rPr>
                          <w:rFonts w:hint="eastAsia"/>
                        </w:rPr>
                        <w:t>法定代表人（负责人）：</w:t>
                      </w:r>
                      <w:r>
                        <w:rPr>
                          <w:u w:val="single"/>
                        </w:rPr>
                        <w:t xml:space="preserve">                 </w:t>
                      </w:r>
                      <w:r>
                        <w:rPr>
                          <w:rFonts w:hint="eastAsia"/>
                        </w:rPr>
                        <w:t>（签字或盖章）</w:t>
                      </w:r>
                    </w:p>
                    <w:p>
                      <w:r>
                        <w:rPr>
                          <w:rFonts w:hint="eastAsia"/>
                        </w:rPr>
                        <w:t>授权单位：（盖章）</w:t>
                      </w:r>
                      <w:r>
                        <w:rPr>
                          <w:u w:val="single"/>
                        </w:rPr>
                        <w:t xml:space="preserve">                      </w:t>
                      </w:r>
                    </w:p>
                    <w:p>
                      <w:pPr>
                        <w:ind w:firstLine="496"/>
                      </w:pPr>
                      <w:r>
                        <w:rPr>
                          <w:rFonts w:hint="eastAsia"/>
                        </w:rPr>
                        <w:t>年</w:t>
                      </w:r>
                      <w:r>
                        <w:t xml:space="preserve">  </w:t>
                      </w:r>
                      <w:r>
                        <w:rPr>
                          <w:rFonts w:hint="eastAsia"/>
                        </w:rPr>
                        <w:t>月</w:t>
                      </w:r>
                      <w:r>
                        <w:t xml:space="preserve">   </w:t>
                      </w:r>
                      <w:r>
                        <w:rPr>
                          <w:rFonts w:hint="eastAsia"/>
                        </w:rPr>
                        <w:t>日</w:t>
                      </w:r>
                    </w:p>
                  </w:txbxContent>
                </v:textbox>
              </v:shape>
            </w:pict>
          </mc:Fallback>
        </mc:AlternateContent>
      </w:r>
    </w:p>
    <w:p>
      <w:pPr>
        <w:ind w:firstLine="496"/>
        <w:rPr>
          <w:rFonts w:ascii="宋体" w:hAnsi="宋体"/>
          <w:highlight w:val="none"/>
        </w:rPr>
      </w:pPr>
    </w:p>
    <w:p>
      <w:pPr>
        <w:ind w:firstLine="496"/>
        <w:rPr>
          <w:rFonts w:ascii="宋体" w:hAnsi="宋体"/>
          <w:highlight w:val="none"/>
        </w:rPr>
      </w:pPr>
    </w:p>
    <w:p>
      <w:pPr>
        <w:ind w:firstLine="496"/>
        <w:rPr>
          <w:rFonts w:ascii="宋体" w:hAnsi="宋体"/>
          <w:highlight w:val="none"/>
        </w:rPr>
      </w:pPr>
    </w:p>
    <w:p>
      <w:pPr>
        <w:ind w:firstLine="496"/>
        <w:rPr>
          <w:rFonts w:ascii="宋体" w:hAnsi="宋体"/>
          <w:highlight w:val="none"/>
        </w:rPr>
      </w:pPr>
    </w:p>
    <w:p>
      <w:pPr>
        <w:ind w:firstLine="496"/>
        <w:rPr>
          <w:rFonts w:ascii="宋体" w:hAnsi="宋体"/>
          <w:highlight w:val="none"/>
        </w:rPr>
      </w:pPr>
    </w:p>
    <w:p>
      <w:pPr>
        <w:ind w:firstLine="496"/>
        <w:rPr>
          <w:rFonts w:ascii="宋体" w:hAnsi="宋体"/>
          <w:highlight w:val="none"/>
        </w:rPr>
      </w:pPr>
    </w:p>
    <w:p>
      <w:pPr>
        <w:pStyle w:val="8"/>
        <w:rPr>
          <w:rFonts w:ascii="宋体" w:hAnsi="宋体"/>
          <w:highlight w:val="none"/>
        </w:rPr>
      </w:pPr>
    </w:p>
    <w:p>
      <w:pPr>
        <w:rPr>
          <w:rFonts w:ascii="宋体" w:hAnsi="宋体"/>
          <w:highlight w:val="none"/>
        </w:rPr>
      </w:pPr>
    </w:p>
    <w:p>
      <w:pPr>
        <w:pStyle w:val="8"/>
        <w:rPr>
          <w:rFonts w:ascii="宋体" w:hAnsi="宋体"/>
          <w:highlight w:val="none"/>
        </w:rPr>
      </w:pPr>
    </w:p>
    <w:p>
      <w:pPr>
        <w:rPr>
          <w:rFonts w:ascii="宋体" w:hAnsi="宋体"/>
          <w:highlight w:val="none"/>
        </w:rPr>
      </w:pPr>
    </w:p>
    <w:p>
      <w:pPr>
        <w:pStyle w:val="8"/>
        <w:rPr>
          <w:rFonts w:ascii="宋体" w:hAnsi="宋体"/>
          <w:highlight w:val="none"/>
        </w:rPr>
      </w:pPr>
    </w:p>
    <w:p>
      <w:pPr>
        <w:rPr>
          <w:rFonts w:ascii="宋体" w:hAnsi="宋体"/>
          <w:highlight w:val="none"/>
        </w:rPr>
      </w:pPr>
    </w:p>
    <w:p>
      <w:pPr>
        <w:pStyle w:val="8"/>
        <w:rPr>
          <w:rFonts w:ascii="宋体" w:hAnsi="宋体"/>
          <w:highlight w:val="none"/>
        </w:rPr>
      </w:pPr>
    </w:p>
    <w:p>
      <w:pPr>
        <w:rPr>
          <w:rFonts w:ascii="宋体" w:hAnsi="宋体"/>
          <w:highlight w:val="none"/>
        </w:rPr>
      </w:pPr>
    </w:p>
    <w:p>
      <w:pPr>
        <w:pStyle w:val="8"/>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注：联合体投标的，本法定代表人证明书、授权书由牵头方出具，仅填写牵头方单位名称并由牵头方签字、盖章即可。</w:t>
      </w:r>
    </w:p>
    <w:p>
      <w:pPr>
        <w:rPr>
          <w:rFonts w:hint="eastAsia" w:ascii="宋体" w:hAnsi="宋体"/>
          <w:highlight w:val="none"/>
          <w:lang w:val="en-US" w:eastAsia="zh-CN"/>
        </w:rPr>
      </w:pPr>
    </w:p>
    <w:p>
      <w:pPr>
        <w:pStyle w:val="8"/>
        <w:rPr>
          <w:rFonts w:hint="eastAsia" w:ascii="宋体" w:hAnsi="宋体"/>
          <w:highlight w:val="none"/>
          <w:lang w:val="en-US" w:eastAsia="zh-CN"/>
        </w:rPr>
      </w:pPr>
    </w:p>
    <w:p>
      <w:pPr>
        <w:rPr>
          <w:rFonts w:hint="eastAsia" w:ascii="宋体" w:hAnsi="宋体"/>
          <w:highlight w:val="none"/>
          <w:lang w:val="en-US" w:eastAsia="zh-CN"/>
        </w:rPr>
      </w:pPr>
    </w:p>
    <w:p>
      <w:pPr>
        <w:pStyle w:val="8"/>
        <w:rPr>
          <w:rFonts w:hint="eastAsia" w:ascii="宋体" w:hAnsi="宋体"/>
          <w:highlight w:val="none"/>
          <w:lang w:val="en-US" w:eastAsia="zh-CN"/>
        </w:rPr>
      </w:pPr>
    </w:p>
    <w:p>
      <w:pPr>
        <w:rPr>
          <w:rFonts w:hint="eastAsia" w:ascii="宋体" w:hAnsi="宋体"/>
          <w:highlight w:val="none"/>
          <w:lang w:val="en-US" w:eastAsia="zh-CN"/>
        </w:rPr>
      </w:pPr>
    </w:p>
    <w:p>
      <w:pPr>
        <w:pStyle w:val="8"/>
        <w:rPr>
          <w:rFonts w:hint="eastAsia" w:ascii="宋体" w:hAnsi="宋体"/>
          <w:highlight w:val="none"/>
          <w:lang w:val="en-US" w:eastAsia="zh-CN"/>
        </w:rPr>
      </w:pPr>
    </w:p>
    <w:p>
      <w:pPr>
        <w:rPr>
          <w:rFonts w:hint="eastAsia" w:ascii="宋体" w:hAnsi="宋体"/>
          <w:highlight w:val="none"/>
          <w:lang w:val="en-US" w:eastAsia="zh-CN"/>
        </w:rPr>
      </w:pPr>
    </w:p>
    <w:p/>
    <w:p>
      <w:pPr>
        <w:spacing w:line="360" w:lineRule="auto"/>
        <w:rPr>
          <w:rFonts w:ascii="宋体" w:hAnsi="宋体"/>
          <w:sz w:val="28"/>
          <w:szCs w:val="28"/>
          <w:highlight w:val="none"/>
        </w:rPr>
      </w:pPr>
      <w:bookmarkStart w:id="1063" w:name="_Toc51288273"/>
      <w:bookmarkStart w:id="1064" w:name="_Toc3349"/>
      <w:bookmarkStart w:id="1065" w:name="_Toc17824"/>
      <w:bookmarkStart w:id="1066" w:name="_Toc33695122"/>
      <w:bookmarkStart w:id="1067" w:name="_Toc32514"/>
      <w:bookmarkStart w:id="1068" w:name="_Toc9017"/>
      <w:bookmarkStart w:id="1069" w:name="_Toc50453128"/>
      <w:bookmarkStart w:id="1070" w:name="_Toc18907"/>
      <w:bookmarkStart w:id="1071" w:name="_Toc1616"/>
      <w:bookmarkStart w:id="1072" w:name="_Toc21435"/>
      <w:bookmarkStart w:id="1073" w:name="_Toc2675482"/>
      <w:bookmarkStart w:id="1074" w:name="_Toc19590"/>
      <w:bookmarkStart w:id="1075" w:name="_Toc11331"/>
      <w:bookmarkStart w:id="1076" w:name="_Toc13111"/>
      <w:r>
        <w:rPr>
          <w:rFonts w:hint="eastAsia" w:ascii="宋体" w:hAnsi="宋体"/>
          <w:highlight w:val="none"/>
        </w:rPr>
        <w:t>格式四：</w:t>
      </w:r>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p>
    <w:p>
      <w:pPr>
        <w:spacing w:line="360" w:lineRule="auto"/>
        <w:jc w:val="center"/>
        <w:rPr>
          <w:rFonts w:ascii="宋体" w:hAnsi="宋体" w:cs="宋体"/>
          <w:b/>
          <w:kern w:val="1"/>
          <w:sz w:val="36"/>
          <w:szCs w:val="36"/>
          <w:highlight w:val="none"/>
          <w:lang w:val="zh-CN"/>
        </w:rPr>
      </w:pPr>
      <w:r>
        <w:rPr>
          <w:rFonts w:hint="eastAsia" w:ascii="宋体" w:hAnsi="宋体" w:cs="宋体"/>
          <w:b/>
          <w:kern w:val="1"/>
          <w:sz w:val="36"/>
          <w:szCs w:val="36"/>
          <w:highlight w:val="none"/>
          <w:lang w:val="zh-CN"/>
        </w:rPr>
        <w:t>投标承诺书</w:t>
      </w:r>
    </w:p>
    <w:p>
      <w:pPr>
        <w:spacing w:line="360" w:lineRule="auto"/>
        <w:jc w:val="center"/>
        <w:rPr>
          <w:rFonts w:ascii="宋体" w:hAnsi="宋体" w:cs="宋体"/>
          <w:b/>
          <w:kern w:val="1"/>
          <w:sz w:val="24"/>
          <w:highlight w:val="none"/>
        </w:rPr>
      </w:pPr>
    </w:p>
    <w:p>
      <w:pPr>
        <w:spacing w:line="360" w:lineRule="auto"/>
        <w:rPr>
          <w:rFonts w:ascii="宋体" w:hAnsi="宋体" w:cs="宋体"/>
          <w:kern w:val="1"/>
          <w:szCs w:val="21"/>
          <w:highlight w:val="none"/>
        </w:rPr>
      </w:pPr>
      <w:r>
        <w:rPr>
          <w:rFonts w:hint="eastAsia" w:ascii="宋体" w:hAnsi="宋体" w:cs="宋体"/>
          <w:kern w:val="1"/>
          <w:szCs w:val="21"/>
          <w:highlight w:val="none"/>
        </w:rPr>
        <w:t>致：</w:t>
      </w:r>
      <w:r>
        <w:rPr>
          <w:rFonts w:hint="eastAsia" w:ascii="宋体" w:hAnsi="宋体" w:cs="宋体"/>
          <w:kern w:val="1"/>
          <w:szCs w:val="21"/>
          <w:highlight w:val="none"/>
          <w:u w:val="single"/>
        </w:rPr>
        <w:t xml:space="preserve">     （招标人名称）       </w:t>
      </w:r>
    </w:p>
    <w:p>
      <w:pPr>
        <w:spacing w:line="360" w:lineRule="auto"/>
        <w:ind w:firstLine="420"/>
        <w:rPr>
          <w:rFonts w:ascii="宋体" w:hAnsi="宋体" w:cs="宋体"/>
          <w:kern w:val="1"/>
          <w:szCs w:val="21"/>
          <w:highlight w:val="none"/>
        </w:rPr>
      </w:pPr>
      <w:r>
        <w:rPr>
          <w:rFonts w:hint="eastAsia" w:ascii="宋体" w:hAnsi="宋体" w:cs="宋体"/>
          <w:kern w:val="1"/>
          <w:szCs w:val="21"/>
          <w:highlight w:val="none"/>
        </w:rPr>
        <w:t>我司确认收到贵司提供的</w:t>
      </w:r>
      <w:r>
        <w:rPr>
          <w:rFonts w:hint="eastAsia" w:ascii="宋体" w:hAnsi="宋体" w:cs="宋体"/>
          <w:kern w:val="1"/>
          <w:szCs w:val="21"/>
          <w:highlight w:val="none"/>
          <w:u w:val="single"/>
        </w:rPr>
        <w:t xml:space="preserve">      （项目名称）      </w:t>
      </w:r>
      <w:r>
        <w:rPr>
          <w:rFonts w:hint="eastAsia" w:ascii="宋体" w:hAnsi="宋体" w:cs="宋体"/>
          <w:kern w:val="1"/>
          <w:szCs w:val="21"/>
          <w:highlight w:val="none"/>
        </w:rPr>
        <w:t>招标文件的全部内容，我司：</w:t>
      </w:r>
      <w:r>
        <w:rPr>
          <w:rFonts w:hint="eastAsia" w:ascii="宋体" w:hAnsi="宋体" w:cs="宋体"/>
          <w:kern w:val="1"/>
          <w:szCs w:val="21"/>
          <w:highlight w:val="none"/>
          <w:u w:val="single"/>
        </w:rPr>
        <w:t xml:space="preserve">       (投标人名称)      </w:t>
      </w:r>
      <w:r>
        <w:rPr>
          <w:rFonts w:hint="eastAsia" w:ascii="宋体" w:hAnsi="宋体" w:cs="宋体"/>
          <w:kern w:val="1"/>
          <w:szCs w:val="21"/>
          <w:highlight w:val="none"/>
        </w:rPr>
        <w:t>已作为投标人正式授权</w:t>
      </w:r>
      <w:r>
        <w:rPr>
          <w:rFonts w:hint="eastAsia" w:ascii="宋体" w:hAnsi="宋体" w:cs="宋体"/>
          <w:kern w:val="1"/>
          <w:szCs w:val="21"/>
          <w:highlight w:val="none"/>
          <w:u w:val="single"/>
        </w:rPr>
        <w:t xml:space="preserve">         (授权代表全名，职务)    </w:t>
      </w:r>
      <w:r>
        <w:rPr>
          <w:rFonts w:hint="eastAsia" w:ascii="宋体" w:hAnsi="宋体" w:cs="宋体"/>
          <w:kern w:val="1"/>
          <w:szCs w:val="21"/>
          <w:highlight w:val="none"/>
        </w:rPr>
        <w:t>代表我司进行有关本投标的一切事宜。</w:t>
      </w:r>
    </w:p>
    <w:p>
      <w:pPr>
        <w:spacing w:line="360" w:lineRule="auto"/>
        <w:ind w:firstLine="420"/>
        <w:rPr>
          <w:rFonts w:ascii="宋体" w:hAnsi="宋体" w:cs="宋体"/>
          <w:kern w:val="1"/>
          <w:szCs w:val="21"/>
          <w:highlight w:val="none"/>
        </w:rPr>
      </w:pPr>
      <w:r>
        <w:rPr>
          <w:rFonts w:hint="eastAsia" w:ascii="宋体" w:hAnsi="宋体" w:cs="宋体"/>
          <w:kern w:val="1"/>
          <w:szCs w:val="21"/>
          <w:highlight w:val="none"/>
        </w:rPr>
        <w:t>我司已完全明白和接受招标文件的所有条款要求，并重申以下几点：</w:t>
      </w:r>
    </w:p>
    <w:p>
      <w:pPr>
        <w:spacing w:line="360" w:lineRule="auto"/>
        <w:ind w:firstLine="420"/>
        <w:rPr>
          <w:rFonts w:ascii="宋体" w:hAnsi="宋体" w:cs="宋体"/>
          <w:kern w:val="1"/>
          <w:szCs w:val="21"/>
          <w:highlight w:val="none"/>
        </w:rPr>
      </w:pPr>
      <w:r>
        <w:rPr>
          <w:rFonts w:hint="eastAsia" w:ascii="宋体" w:hAnsi="宋体" w:cs="宋体"/>
          <w:kern w:val="1"/>
          <w:szCs w:val="21"/>
          <w:highlight w:val="none"/>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pPr>
        <w:spacing w:line="360" w:lineRule="auto"/>
        <w:ind w:firstLine="420"/>
        <w:rPr>
          <w:rFonts w:ascii="宋体" w:hAnsi="宋体" w:cs="宋体"/>
          <w:kern w:val="1"/>
          <w:szCs w:val="21"/>
          <w:highlight w:val="none"/>
        </w:rPr>
      </w:pPr>
      <w:r>
        <w:rPr>
          <w:rFonts w:hint="eastAsia" w:ascii="宋体" w:hAnsi="宋体" w:cs="宋体"/>
          <w:kern w:val="1"/>
          <w:szCs w:val="21"/>
          <w:highlight w:val="none"/>
        </w:rPr>
        <w:t>2. 我司已充分阅读了本项目招标文件并充分了解有关报价方式及变更、结算方式，我司完全响应招标文件的规定。</w:t>
      </w:r>
    </w:p>
    <w:p>
      <w:pPr>
        <w:spacing w:line="360" w:lineRule="auto"/>
        <w:ind w:firstLine="420"/>
        <w:rPr>
          <w:rFonts w:ascii="宋体" w:hAnsi="宋体" w:cs="宋体"/>
          <w:kern w:val="1"/>
          <w:szCs w:val="21"/>
          <w:highlight w:val="none"/>
        </w:rPr>
      </w:pPr>
      <w:r>
        <w:rPr>
          <w:rFonts w:hint="eastAsia" w:ascii="宋体" w:hAnsi="宋体" w:cs="宋体"/>
          <w:kern w:val="1"/>
          <w:szCs w:val="21"/>
          <w:highlight w:val="none"/>
        </w:rPr>
        <w:t>3．本投标文件的有效期为投标截止日后120天内有效；</w:t>
      </w:r>
    </w:p>
    <w:p>
      <w:pPr>
        <w:spacing w:line="360" w:lineRule="auto"/>
        <w:ind w:firstLine="420"/>
        <w:rPr>
          <w:rFonts w:ascii="宋体" w:hAnsi="宋体" w:cs="宋体"/>
          <w:kern w:val="1"/>
          <w:szCs w:val="21"/>
          <w:highlight w:val="none"/>
        </w:rPr>
      </w:pPr>
      <w:r>
        <w:rPr>
          <w:rFonts w:hint="eastAsia" w:ascii="宋体" w:hAnsi="宋体" w:cs="宋体"/>
          <w:kern w:val="1"/>
          <w:szCs w:val="21"/>
          <w:highlight w:val="none"/>
        </w:rPr>
        <w:t>4．我司承诺投标文件中的一切资料、数据是真实的，并承担由此引起的一切责任。</w:t>
      </w:r>
    </w:p>
    <w:p>
      <w:pPr>
        <w:spacing w:line="360" w:lineRule="auto"/>
        <w:ind w:firstLine="420"/>
        <w:rPr>
          <w:rFonts w:ascii="宋体" w:hAnsi="宋体" w:cs="宋体"/>
          <w:kern w:val="1"/>
          <w:szCs w:val="21"/>
          <w:highlight w:val="none"/>
        </w:rPr>
      </w:pPr>
      <w:r>
        <w:rPr>
          <w:rFonts w:hint="eastAsia" w:ascii="宋体" w:hAnsi="宋体" w:cs="宋体"/>
          <w:kern w:val="1"/>
          <w:szCs w:val="21"/>
          <w:highlight w:val="none"/>
        </w:rPr>
        <w:t>5．我司明白并愿意若在规定的投标截止时间之后至投标有效期之内撤回投标，则招标人有权就其撤回行为报告政府主管部门载入不良信用记录。</w:t>
      </w:r>
    </w:p>
    <w:p>
      <w:pPr>
        <w:spacing w:line="360" w:lineRule="auto"/>
        <w:ind w:firstLine="420"/>
        <w:rPr>
          <w:rFonts w:ascii="宋体" w:hAnsi="宋体" w:cs="宋体"/>
          <w:kern w:val="1"/>
          <w:szCs w:val="21"/>
          <w:highlight w:val="none"/>
        </w:rPr>
      </w:pPr>
      <w:r>
        <w:rPr>
          <w:rFonts w:hint="eastAsia" w:ascii="宋体" w:hAnsi="宋体" w:cs="宋体"/>
          <w:kern w:val="1"/>
          <w:szCs w:val="21"/>
          <w:highlight w:val="none"/>
        </w:rPr>
        <w:t>6．我司同意按照贵司可能提出的要求而提供与投标有关的任何其它数据或信息。</w:t>
      </w:r>
    </w:p>
    <w:p>
      <w:pPr>
        <w:spacing w:line="360" w:lineRule="auto"/>
        <w:ind w:firstLine="420"/>
        <w:rPr>
          <w:rFonts w:ascii="宋体" w:hAnsi="宋体" w:cs="宋体"/>
          <w:kern w:val="1"/>
          <w:szCs w:val="21"/>
          <w:highlight w:val="none"/>
        </w:rPr>
      </w:pPr>
      <w:r>
        <w:rPr>
          <w:rFonts w:hint="eastAsia" w:ascii="宋体" w:hAnsi="宋体" w:cs="宋体"/>
          <w:kern w:val="1"/>
          <w:szCs w:val="21"/>
          <w:highlight w:val="none"/>
        </w:rPr>
        <w:t>7．我司如果中标，我司保证：</w:t>
      </w:r>
    </w:p>
    <w:p>
      <w:pPr>
        <w:spacing w:line="360" w:lineRule="auto"/>
        <w:ind w:firstLine="420"/>
        <w:rPr>
          <w:rFonts w:ascii="宋体" w:hAnsi="宋体" w:cs="宋体"/>
          <w:kern w:val="1"/>
          <w:szCs w:val="21"/>
          <w:highlight w:val="none"/>
        </w:rPr>
      </w:pPr>
      <w:r>
        <w:rPr>
          <w:rFonts w:hint="eastAsia" w:ascii="宋体" w:hAnsi="宋体" w:cs="宋体"/>
          <w:kern w:val="1"/>
          <w:szCs w:val="21"/>
          <w:highlight w:val="none"/>
        </w:rPr>
        <w:t>7.1保证履行招标文件以及招标文件修改书(如有)中的全部责任和义务，在中标通知书规定的时间内签订合同，并严格按国家有关法规履行我司的全部责任，按质、按量、按期完成合同约定的全部任务。</w:t>
      </w:r>
    </w:p>
    <w:p>
      <w:pPr>
        <w:spacing w:line="360" w:lineRule="auto"/>
        <w:ind w:firstLine="420"/>
        <w:rPr>
          <w:rFonts w:ascii="宋体" w:hAnsi="宋体" w:cs="宋体"/>
          <w:kern w:val="1"/>
          <w:szCs w:val="21"/>
          <w:highlight w:val="none"/>
        </w:rPr>
      </w:pPr>
      <w:r>
        <w:rPr>
          <w:rFonts w:hint="eastAsia" w:ascii="宋体" w:hAnsi="宋体" w:cs="宋体"/>
          <w:kern w:val="1"/>
          <w:szCs w:val="21"/>
          <w:highlight w:val="none"/>
        </w:rPr>
        <w:t>7.2保证将我司的资质承包范围不能涵盖或不具备相应能力(该能力须保证进度和质量且须获得招标人认可)的部分专业工程（如果有），委托获得招标人批准的具备相应专业资质和能力的单位实施，确保项目质量及进度。</w:t>
      </w:r>
    </w:p>
    <w:p>
      <w:pPr>
        <w:spacing w:line="360" w:lineRule="auto"/>
        <w:ind w:firstLine="420"/>
        <w:rPr>
          <w:rFonts w:ascii="宋体" w:hAnsi="宋体" w:cs="宋体"/>
          <w:kern w:val="1"/>
          <w:szCs w:val="21"/>
          <w:highlight w:val="none"/>
        </w:rPr>
      </w:pPr>
      <w:r>
        <w:rPr>
          <w:rFonts w:hint="eastAsia" w:ascii="宋体" w:hAnsi="宋体" w:cs="宋体"/>
          <w:kern w:val="1"/>
          <w:szCs w:val="21"/>
          <w:highlight w:val="none"/>
        </w:rPr>
        <w:t>7.3保证所完成的设计将完全符合国家相关规范要求，符合或优于招标文件、技术条件、合同条款的要求。若我司完成的设计文件未能达到招标人（或相关政府部门）的要求，我司将无条件根据要求进行修改设计文件，直至得到招标人（及相关政府部门）的认可为止。</w:t>
      </w:r>
    </w:p>
    <w:p>
      <w:pPr>
        <w:spacing w:line="360" w:lineRule="auto"/>
        <w:ind w:firstLine="420"/>
        <w:rPr>
          <w:rFonts w:ascii="宋体" w:hAnsi="宋体" w:cs="宋体"/>
          <w:kern w:val="1"/>
          <w:szCs w:val="21"/>
          <w:highlight w:val="none"/>
        </w:rPr>
      </w:pPr>
      <w:r>
        <w:rPr>
          <w:rFonts w:hint="eastAsia" w:ascii="宋体" w:hAnsi="宋体" w:cs="宋体"/>
          <w:kern w:val="1"/>
          <w:szCs w:val="21"/>
          <w:highlight w:val="none"/>
        </w:rPr>
        <w:t>7.4保证尽一切力量确保投标承诺的竣工日期，若我司未能按投标承诺的工期完成本项目，除承担合同约定的违约责任外，招标人有权解除合同，我司承担由于违约解除合同退场造成的对招标人的一切损失。</w:t>
      </w:r>
    </w:p>
    <w:p>
      <w:pPr>
        <w:spacing w:line="360" w:lineRule="auto"/>
        <w:ind w:firstLine="420"/>
        <w:rPr>
          <w:rFonts w:ascii="宋体" w:hAnsi="宋体" w:cs="宋体"/>
          <w:kern w:val="1"/>
          <w:szCs w:val="21"/>
          <w:highlight w:val="none"/>
        </w:rPr>
      </w:pPr>
      <w:r>
        <w:rPr>
          <w:rFonts w:hint="eastAsia" w:ascii="宋体" w:hAnsi="宋体" w:cs="宋体"/>
          <w:kern w:val="1"/>
          <w:szCs w:val="21"/>
          <w:highlight w:val="none"/>
        </w:rPr>
        <w:t>7.5保证投标所报的</w:t>
      </w:r>
      <w:r>
        <w:rPr>
          <w:rFonts w:hint="eastAsia" w:ascii="宋体" w:hAnsi="宋体" w:cs="宋体"/>
          <w:kern w:val="1"/>
          <w:szCs w:val="21"/>
          <w:highlight w:val="none"/>
          <w:lang w:val="en-US" w:eastAsia="zh-CN"/>
        </w:rPr>
        <w:t>项目负责人、</w:t>
      </w:r>
      <w:r>
        <w:rPr>
          <w:rFonts w:hint="eastAsia" w:ascii="宋体" w:hAnsi="宋体" w:cs="宋体"/>
          <w:kern w:val="1"/>
          <w:szCs w:val="21"/>
          <w:highlight w:val="none"/>
        </w:rPr>
        <w:t>施工负责人、设计负责人在本项目合同签订后7日内到职，全过程服务于本项目，在过程中非不可抗力或招标人要求不得更换。我司违反以上承诺的，同意按合同条款的规定承担违约责任。</w:t>
      </w:r>
    </w:p>
    <w:p>
      <w:pPr>
        <w:spacing w:line="360" w:lineRule="auto"/>
        <w:ind w:firstLine="420"/>
        <w:rPr>
          <w:rFonts w:ascii="宋体" w:hAnsi="宋体" w:cs="宋体"/>
          <w:kern w:val="1"/>
          <w:szCs w:val="21"/>
          <w:highlight w:val="none"/>
        </w:rPr>
      </w:pPr>
      <w:r>
        <w:rPr>
          <w:rFonts w:hint="eastAsia" w:ascii="宋体" w:hAnsi="宋体" w:cs="宋体"/>
          <w:kern w:val="1"/>
          <w:szCs w:val="21"/>
          <w:highlight w:val="none"/>
        </w:rPr>
        <w:t>7.6保证所投入本项目的主要材料、设备质量符合或优于招标文件要求，所投入本项目的辅助设备、材料与主主要材料、设备质量一致并有良好的配套性。</w:t>
      </w:r>
    </w:p>
    <w:p>
      <w:pPr>
        <w:spacing w:line="360" w:lineRule="auto"/>
        <w:ind w:firstLine="420"/>
        <w:rPr>
          <w:rFonts w:ascii="宋体" w:hAnsi="宋体" w:cs="宋体"/>
          <w:kern w:val="1"/>
          <w:szCs w:val="21"/>
          <w:highlight w:val="none"/>
        </w:rPr>
      </w:pPr>
      <w:r>
        <w:rPr>
          <w:rFonts w:hint="eastAsia" w:ascii="宋体" w:hAnsi="宋体" w:cs="宋体"/>
          <w:kern w:val="1"/>
          <w:szCs w:val="21"/>
          <w:highlight w:val="none"/>
        </w:rPr>
        <w:t>7.7保证按照招标文件的要求确保安全生产及文明施工，如有违反，我司愿意按合同约定承担违约责任，并为此负相关的法律责任。</w:t>
      </w:r>
    </w:p>
    <w:p>
      <w:pPr>
        <w:spacing w:line="360" w:lineRule="auto"/>
        <w:ind w:firstLine="420"/>
        <w:rPr>
          <w:rFonts w:ascii="宋体" w:hAnsi="宋体" w:cs="宋体"/>
          <w:kern w:val="1"/>
          <w:szCs w:val="21"/>
          <w:highlight w:val="none"/>
        </w:rPr>
      </w:pPr>
      <w:r>
        <w:rPr>
          <w:rFonts w:hint="eastAsia" w:ascii="宋体" w:hAnsi="宋体" w:cs="宋体"/>
          <w:kern w:val="1"/>
          <w:szCs w:val="21"/>
          <w:highlight w:val="none"/>
        </w:rPr>
        <w:t>7.8保证按国家的有关规定制订保证民工工资支付的方案及保证措施，否则，我司愿按合同条款规定承担违约责任并赔偿招标人的全部损失。</w:t>
      </w:r>
    </w:p>
    <w:p>
      <w:pPr>
        <w:spacing w:line="360" w:lineRule="auto"/>
        <w:ind w:firstLine="420"/>
        <w:rPr>
          <w:rFonts w:ascii="宋体" w:hAnsi="宋体" w:cs="宋体"/>
          <w:kern w:val="1"/>
          <w:szCs w:val="21"/>
          <w:highlight w:val="none"/>
        </w:rPr>
      </w:pPr>
      <w:r>
        <w:rPr>
          <w:rFonts w:hint="eastAsia" w:ascii="宋体" w:hAnsi="宋体" w:cs="宋体"/>
          <w:kern w:val="1"/>
          <w:szCs w:val="21"/>
          <w:highlight w:val="none"/>
        </w:rPr>
        <w:t>7.9保证按施工期间做好安全文明和交通保证措施，施工区全封闭围挡，根据工程进度计划分段施工分期围挡。最大限度满足交通和市民出行方便，施工行为做到便民，不扰民。</w:t>
      </w:r>
    </w:p>
    <w:p>
      <w:pPr>
        <w:spacing w:line="360" w:lineRule="auto"/>
        <w:ind w:firstLine="420"/>
        <w:rPr>
          <w:rFonts w:ascii="宋体" w:hAnsi="宋体" w:cs="宋体"/>
          <w:kern w:val="1"/>
          <w:szCs w:val="21"/>
          <w:highlight w:val="none"/>
        </w:rPr>
      </w:pPr>
      <w:r>
        <w:rPr>
          <w:rFonts w:hint="eastAsia" w:ascii="宋体" w:hAnsi="宋体" w:cs="宋体"/>
          <w:kern w:val="1"/>
          <w:szCs w:val="21"/>
          <w:highlight w:val="none"/>
        </w:rPr>
        <w:t>7.10保证按发包方工期要求编制施工进度计划，计划内用全面详实，根据项目特点合理组织分段施工，分段逐步移交。</w:t>
      </w:r>
    </w:p>
    <w:p>
      <w:pPr>
        <w:spacing w:line="360" w:lineRule="auto"/>
        <w:ind w:firstLine="3360"/>
        <w:rPr>
          <w:rFonts w:ascii="宋体" w:hAnsi="宋体" w:cs="宋体"/>
          <w:kern w:val="1"/>
          <w:szCs w:val="21"/>
          <w:highlight w:val="none"/>
        </w:rPr>
      </w:pPr>
    </w:p>
    <w:p>
      <w:pPr>
        <w:spacing w:line="360" w:lineRule="auto"/>
        <w:ind w:firstLine="3360"/>
        <w:jc w:val="right"/>
        <w:rPr>
          <w:rFonts w:ascii="宋体" w:hAnsi="宋体" w:cs="宋体"/>
          <w:kern w:val="1"/>
          <w:szCs w:val="21"/>
          <w:highlight w:val="none"/>
        </w:rPr>
      </w:pPr>
      <w:r>
        <w:rPr>
          <w:rFonts w:hint="eastAsia" w:ascii="宋体" w:hAnsi="宋体" w:cs="宋体"/>
          <w:kern w:val="1"/>
          <w:szCs w:val="21"/>
          <w:highlight w:val="none"/>
        </w:rPr>
        <w:t>投标人：</w:t>
      </w:r>
      <w:r>
        <w:rPr>
          <w:rFonts w:hint="eastAsia" w:ascii="宋体" w:hAnsi="宋体" w:cs="宋体"/>
          <w:kern w:val="1"/>
          <w:szCs w:val="21"/>
          <w:highlight w:val="none"/>
          <w:u w:val="single"/>
        </w:rPr>
        <w:t xml:space="preserve">  </w:t>
      </w:r>
      <w:r>
        <w:rPr>
          <w:rFonts w:ascii="宋体" w:hAnsi="宋体" w:cs="宋体"/>
          <w:kern w:val="1"/>
          <w:szCs w:val="21"/>
          <w:highlight w:val="none"/>
          <w:u w:val="single"/>
        </w:rPr>
        <w:t xml:space="preserve">       </w:t>
      </w:r>
      <w:r>
        <w:rPr>
          <w:rFonts w:hint="eastAsia" w:ascii="宋体" w:hAnsi="宋体" w:cs="宋体"/>
          <w:kern w:val="1"/>
          <w:szCs w:val="21"/>
          <w:highlight w:val="none"/>
          <w:u w:val="single"/>
        </w:rPr>
        <w:t xml:space="preserve"> </w:t>
      </w:r>
      <w:r>
        <w:rPr>
          <w:rFonts w:hint="eastAsia" w:ascii="宋体" w:hAnsi="宋体" w:cs="宋体"/>
          <w:kern w:val="1"/>
          <w:szCs w:val="21"/>
          <w:highlight w:val="none"/>
        </w:rPr>
        <w:t>（盖章）</w:t>
      </w:r>
    </w:p>
    <w:p>
      <w:pPr>
        <w:wordWrap w:val="0"/>
        <w:spacing w:line="360" w:lineRule="auto"/>
        <w:ind w:firstLine="3360"/>
        <w:jc w:val="right"/>
        <w:rPr>
          <w:rFonts w:ascii="宋体" w:hAnsi="宋体" w:cs="宋体"/>
          <w:kern w:val="1"/>
          <w:szCs w:val="21"/>
          <w:highlight w:val="none"/>
          <w:u w:val="single"/>
        </w:rPr>
      </w:pPr>
      <w:r>
        <w:rPr>
          <w:rFonts w:hint="eastAsia" w:ascii="宋体" w:hAnsi="宋体" w:cs="宋体"/>
          <w:kern w:val="1"/>
          <w:szCs w:val="21"/>
          <w:highlight w:val="none"/>
        </w:rPr>
        <w:t>法定代表人或其授权代理人(签名或盖章)：</w:t>
      </w:r>
      <w:r>
        <w:rPr>
          <w:rFonts w:hint="eastAsia" w:ascii="宋体" w:hAnsi="宋体" w:cs="宋体"/>
          <w:kern w:val="1"/>
          <w:szCs w:val="21"/>
          <w:highlight w:val="none"/>
          <w:u w:val="single"/>
        </w:rPr>
        <w:t xml:space="preserve">   </w:t>
      </w:r>
      <w:r>
        <w:rPr>
          <w:rFonts w:ascii="宋体" w:hAnsi="宋体" w:cs="宋体"/>
          <w:kern w:val="1"/>
          <w:szCs w:val="21"/>
          <w:highlight w:val="none"/>
          <w:u w:val="single"/>
        </w:rPr>
        <w:t xml:space="preserve">             </w:t>
      </w:r>
      <w:r>
        <w:rPr>
          <w:rFonts w:ascii="宋体" w:hAnsi="宋体" w:cs="宋体"/>
          <w:kern w:val="1"/>
          <w:szCs w:val="21"/>
          <w:highlight w:val="none"/>
        </w:rPr>
        <w:t xml:space="preserve">     </w:t>
      </w:r>
    </w:p>
    <w:p>
      <w:pPr>
        <w:spacing w:line="360" w:lineRule="auto"/>
        <w:ind w:firstLine="6090" w:firstLineChars="2900"/>
        <w:rPr>
          <w:rFonts w:ascii="宋体" w:hAnsi="宋体" w:cs="宋体"/>
          <w:kern w:val="1"/>
          <w:szCs w:val="21"/>
          <w:highlight w:val="none"/>
          <w:u w:val="single"/>
        </w:rPr>
      </w:pPr>
      <w:r>
        <w:rPr>
          <w:rFonts w:hint="eastAsia" w:ascii="宋体" w:hAnsi="宋体" w:cs="宋体"/>
          <w:kern w:val="1"/>
          <w:szCs w:val="21"/>
          <w:highlight w:val="none"/>
        </w:rPr>
        <w:t>日   期：</w:t>
      </w:r>
      <w:r>
        <w:rPr>
          <w:rFonts w:hint="eastAsia" w:ascii="宋体" w:hAnsi="宋体" w:cs="宋体"/>
          <w:kern w:val="1"/>
          <w:szCs w:val="21"/>
          <w:highlight w:val="none"/>
          <w:u w:val="single"/>
        </w:rPr>
        <w:t xml:space="preserve">    年    月    日</w:t>
      </w:r>
    </w:p>
    <w:p>
      <w:pPr>
        <w:spacing w:line="360" w:lineRule="auto"/>
        <w:jc w:val="left"/>
        <w:rPr>
          <w:rFonts w:ascii="宋体" w:hAnsi="宋体"/>
          <w:highlight w:val="none"/>
        </w:rPr>
      </w:pPr>
      <w:r>
        <w:rPr>
          <w:rFonts w:hint="eastAsia" w:ascii="宋体" w:hAnsi="宋体"/>
          <w:highlight w:val="none"/>
        </w:rPr>
        <w:br w:type="page"/>
      </w:r>
      <w:bookmarkStart w:id="1077" w:name="_Toc31725"/>
      <w:bookmarkStart w:id="1078" w:name="_Toc13889"/>
      <w:bookmarkStart w:id="1079" w:name="_Toc3581"/>
      <w:bookmarkStart w:id="1080" w:name="_Toc9130"/>
      <w:bookmarkStart w:id="1081" w:name="_Toc51288274"/>
      <w:bookmarkStart w:id="1082" w:name="_Toc50453129"/>
      <w:bookmarkStart w:id="1083" w:name="_Toc3145"/>
      <w:bookmarkStart w:id="1084" w:name="_Toc24508"/>
      <w:bookmarkStart w:id="1085" w:name="_Toc21453"/>
      <w:bookmarkStart w:id="1086" w:name="_Toc2181"/>
      <w:bookmarkStart w:id="1087" w:name="_Toc1936"/>
      <w:bookmarkStart w:id="1088" w:name="_Toc3256"/>
      <w:bookmarkStart w:id="1089" w:name="_Toc33695123"/>
      <w:r>
        <w:rPr>
          <w:rFonts w:hint="eastAsia" w:ascii="宋体" w:hAnsi="宋体"/>
          <w:highlight w:val="none"/>
        </w:rPr>
        <w:t>格式五、投标保证金凭证</w:t>
      </w:r>
      <w:bookmarkEnd w:id="1077"/>
      <w:bookmarkEnd w:id="1078"/>
      <w:bookmarkEnd w:id="1079"/>
      <w:bookmarkEnd w:id="1080"/>
      <w:bookmarkEnd w:id="1081"/>
      <w:bookmarkEnd w:id="1082"/>
      <w:bookmarkEnd w:id="1083"/>
      <w:bookmarkEnd w:id="1084"/>
      <w:bookmarkEnd w:id="1085"/>
      <w:bookmarkEnd w:id="1086"/>
      <w:bookmarkEnd w:id="1087"/>
      <w:bookmarkEnd w:id="1088"/>
    </w:p>
    <w:p>
      <w:pPr>
        <w:spacing w:line="360" w:lineRule="auto"/>
        <w:ind w:firstLine="2530" w:firstLineChars="700"/>
        <w:rPr>
          <w:rFonts w:ascii="宋体" w:hAnsi="宋体" w:cs="宋体"/>
          <w:b/>
          <w:kern w:val="1"/>
          <w:sz w:val="36"/>
          <w:szCs w:val="36"/>
          <w:highlight w:val="none"/>
          <w:lang w:val="zh-CN"/>
        </w:rPr>
      </w:pPr>
      <w:bookmarkStart w:id="1090" w:name="_Toc51288275"/>
      <w:bookmarkStart w:id="1091" w:name="_Toc29994"/>
      <w:bookmarkStart w:id="1092" w:name="_Toc247527834"/>
      <w:bookmarkStart w:id="1093" w:name="_Toc152042583"/>
      <w:bookmarkStart w:id="1094" w:name="_Toc28251"/>
      <w:bookmarkStart w:id="1095" w:name="_Toc22262"/>
      <w:bookmarkStart w:id="1096" w:name="_Toc152045794"/>
      <w:bookmarkStart w:id="1097" w:name="_Toc144974862"/>
      <w:bookmarkStart w:id="1098" w:name="_Toc247514286"/>
      <w:bookmarkStart w:id="1099" w:name="_Toc7939"/>
      <w:r>
        <w:rPr>
          <w:rFonts w:hint="eastAsia" w:ascii="宋体" w:hAnsi="宋体" w:cs="宋体"/>
          <w:b/>
          <w:kern w:val="1"/>
          <w:sz w:val="36"/>
          <w:szCs w:val="36"/>
          <w:highlight w:val="none"/>
          <w:lang w:val="zh-CN"/>
        </w:rPr>
        <w:t>投标保</w:t>
      </w:r>
      <w:bookmarkEnd w:id="1090"/>
      <w:bookmarkEnd w:id="1091"/>
      <w:bookmarkEnd w:id="1092"/>
      <w:bookmarkEnd w:id="1093"/>
      <w:bookmarkEnd w:id="1094"/>
      <w:bookmarkEnd w:id="1095"/>
      <w:bookmarkEnd w:id="1096"/>
      <w:bookmarkEnd w:id="1097"/>
      <w:bookmarkEnd w:id="1098"/>
      <w:bookmarkEnd w:id="1099"/>
      <w:r>
        <w:rPr>
          <w:rFonts w:hint="eastAsia" w:ascii="宋体" w:hAnsi="宋体" w:cs="宋体"/>
          <w:b/>
          <w:kern w:val="1"/>
          <w:sz w:val="36"/>
          <w:szCs w:val="36"/>
          <w:highlight w:val="none"/>
          <w:lang w:val="zh-CN"/>
        </w:rPr>
        <w:t>函（</w:t>
      </w:r>
      <w:r>
        <w:rPr>
          <w:rFonts w:hint="eastAsia" w:ascii="宋体" w:hAnsi="宋体" w:cs="宋体"/>
          <w:b/>
          <w:kern w:val="1"/>
          <w:sz w:val="36"/>
          <w:szCs w:val="36"/>
          <w:highlight w:val="none"/>
          <w:lang w:val="en-US" w:eastAsia="zh-CN"/>
        </w:rPr>
        <w:t>如有</w:t>
      </w:r>
      <w:r>
        <w:rPr>
          <w:rFonts w:hint="eastAsia" w:ascii="宋体" w:hAnsi="宋体" w:cs="宋体"/>
          <w:b/>
          <w:kern w:val="1"/>
          <w:sz w:val="36"/>
          <w:szCs w:val="36"/>
          <w:highlight w:val="none"/>
          <w:lang w:val="zh-CN"/>
        </w:rPr>
        <w:t>）</w:t>
      </w:r>
    </w:p>
    <w:p>
      <w:pPr>
        <w:spacing w:line="440" w:lineRule="exact"/>
        <w:rPr>
          <w:szCs w:val="21"/>
          <w:highlight w:val="none"/>
        </w:rPr>
      </w:pPr>
    </w:p>
    <w:p>
      <w:pPr>
        <w:spacing w:line="440" w:lineRule="exact"/>
        <w:rPr>
          <w:szCs w:val="21"/>
          <w:highlight w:val="none"/>
        </w:rPr>
      </w:pPr>
      <w:r>
        <w:rPr>
          <w:szCs w:val="21"/>
          <w:highlight w:val="none"/>
          <w:u w:val="single"/>
        </w:rPr>
        <w:t xml:space="preserve">         </w:t>
      </w:r>
      <w:r>
        <w:rPr>
          <w:szCs w:val="21"/>
          <w:highlight w:val="none"/>
          <w:u w:val="single"/>
        </w:rPr>
        <w:tab/>
      </w:r>
      <w:r>
        <w:rPr>
          <w:szCs w:val="21"/>
          <w:highlight w:val="none"/>
          <w:u w:val="single"/>
        </w:rPr>
        <w:tab/>
      </w:r>
      <w:r>
        <w:rPr>
          <w:szCs w:val="21"/>
          <w:highlight w:val="none"/>
          <w:u w:val="single"/>
        </w:rPr>
        <w:t xml:space="preserve">  </w:t>
      </w:r>
      <w:r>
        <w:rPr>
          <w:szCs w:val="21"/>
          <w:highlight w:val="none"/>
        </w:rPr>
        <w:t>（招标人名称）：</w:t>
      </w:r>
    </w:p>
    <w:p>
      <w:pPr>
        <w:spacing w:line="440" w:lineRule="exact"/>
        <w:rPr>
          <w:szCs w:val="21"/>
          <w:highlight w:val="none"/>
        </w:rPr>
      </w:pPr>
    </w:p>
    <w:p>
      <w:pPr>
        <w:spacing w:line="440" w:lineRule="exact"/>
        <w:ind w:firstLine="420" w:firstLineChars="200"/>
        <w:rPr>
          <w:szCs w:val="21"/>
          <w:highlight w:val="none"/>
        </w:rPr>
      </w:pPr>
      <w:r>
        <w:rPr>
          <w:szCs w:val="21"/>
          <w:highlight w:val="none"/>
        </w:rPr>
        <w:t>鉴于</w:t>
      </w:r>
      <w:r>
        <w:rPr>
          <w:szCs w:val="21"/>
          <w:highlight w:val="none"/>
          <w:u w:val="single"/>
        </w:rPr>
        <w:t xml:space="preserve">     </w:t>
      </w:r>
      <w:r>
        <w:rPr>
          <w:rFonts w:hint="eastAsia"/>
          <w:szCs w:val="21"/>
          <w:highlight w:val="none"/>
          <w:u w:val="single"/>
          <w:lang w:val="en-US" w:eastAsia="zh-CN"/>
        </w:rPr>
        <w:t xml:space="preserve">        </w:t>
      </w:r>
      <w:r>
        <w:rPr>
          <w:rFonts w:hint="eastAsia"/>
          <w:szCs w:val="21"/>
          <w:highlight w:val="none"/>
          <w:u w:val="single"/>
        </w:rPr>
        <w:t xml:space="preserve">   </w:t>
      </w:r>
      <w:r>
        <w:rPr>
          <w:szCs w:val="21"/>
          <w:highlight w:val="none"/>
          <w:u w:val="single"/>
        </w:rPr>
        <w:t xml:space="preserve">  </w:t>
      </w:r>
      <w:r>
        <w:rPr>
          <w:szCs w:val="21"/>
          <w:highlight w:val="none"/>
        </w:rPr>
        <w:t>（投标人名称）（以下称“投标人”）于</w:t>
      </w:r>
      <w:r>
        <w:rPr>
          <w:szCs w:val="21"/>
          <w:highlight w:val="none"/>
          <w:u w:val="single"/>
        </w:rPr>
        <w:t xml:space="preserve">    </w:t>
      </w:r>
      <w:r>
        <w:rPr>
          <w:szCs w:val="21"/>
          <w:highlight w:val="none"/>
        </w:rPr>
        <w:t>年</w:t>
      </w:r>
      <w:r>
        <w:rPr>
          <w:szCs w:val="21"/>
          <w:highlight w:val="none"/>
          <w:u w:val="single"/>
        </w:rPr>
        <w:t xml:space="preserve">   </w:t>
      </w:r>
      <w:r>
        <w:rPr>
          <w:szCs w:val="21"/>
          <w:highlight w:val="none"/>
        </w:rPr>
        <w:t>月</w:t>
      </w:r>
      <w:r>
        <w:rPr>
          <w:rFonts w:hint="eastAsia"/>
          <w:szCs w:val="21"/>
          <w:highlight w:val="none"/>
          <w:u w:val="single"/>
        </w:rPr>
        <w:t xml:space="preserve"> </w:t>
      </w:r>
      <w:r>
        <w:rPr>
          <w:szCs w:val="21"/>
          <w:highlight w:val="none"/>
          <w:u w:val="single"/>
        </w:rPr>
        <w:t xml:space="preserve">  </w:t>
      </w:r>
      <w:r>
        <w:rPr>
          <w:szCs w:val="21"/>
          <w:highlight w:val="none"/>
        </w:rPr>
        <w:t>日参加</w:t>
      </w:r>
      <w:r>
        <w:rPr>
          <w:szCs w:val="21"/>
          <w:highlight w:val="none"/>
          <w:u w:val="single"/>
        </w:rPr>
        <w:t xml:space="preserve">      </w:t>
      </w:r>
      <w:r>
        <w:rPr>
          <w:rFonts w:hint="eastAsia"/>
          <w:szCs w:val="21"/>
          <w:highlight w:val="none"/>
          <w:u w:val="single"/>
        </w:rPr>
        <w:t xml:space="preserve">  </w:t>
      </w:r>
      <w:r>
        <w:rPr>
          <w:rFonts w:hint="eastAsia"/>
          <w:szCs w:val="21"/>
          <w:highlight w:val="none"/>
          <w:u w:val="single"/>
          <w:lang w:val="en-US" w:eastAsia="zh-CN"/>
        </w:rPr>
        <w:t xml:space="preserve">    </w:t>
      </w:r>
      <w:r>
        <w:rPr>
          <w:rFonts w:hint="eastAsia"/>
          <w:szCs w:val="21"/>
          <w:highlight w:val="none"/>
          <w:u w:val="single"/>
        </w:rPr>
        <w:t xml:space="preserve"> </w:t>
      </w:r>
      <w:r>
        <w:rPr>
          <w:szCs w:val="21"/>
          <w:highlight w:val="none"/>
          <w:u w:val="single"/>
        </w:rPr>
        <w:t xml:space="preserve">  </w:t>
      </w:r>
      <w:r>
        <w:rPr>
          <w:szCs w:val="21"/>
          <w:highlight w:val="none"/>
        </w:rPr>
        <w:t>（项目名称）的投标，</w:t>
      </w:r>
      <w:r>
        <w:rPr>
          <w:szCs w:val="21"/>
          <w:highlight w:val="none"/>
          <w:u w:val="single"/>
        </w:rPr>
        <w:t xml:space="preserve">   </w:t>
      </w:r>
      <w:r>
        <w:rPr>
          <w:rFonts w:hint="eastAsia"/>
          <w:szCs w:val="21"/>
          <w:highlight w:val="none"/>
          <w:u w:val="single"/>
        </w:rPr>
        <w:t xml:space="preserve">  </w:t>
      </w:r>
      <w:r>
        <w:rPr>
          <w:rFonts w:hint="eastAsia"/>
          <w:szCs w:val="21"/>
          <w:highlight w:val="none"/>
          <w:u w:val="single"/>
          <w:lang w:val="en-US" w:eastAsia="zh-CN"/>
        </w:rPr>
        <w:t xml:space="preserve">      </w:t>
      </w:r>
      <w:r>
        <w:rPr>
          <w:szCs w:val="21"/>
          <w:highlight w:val="none"/>
          <w:u w:val="single"/>
        </w:rPr>
        <w:t xml:space="preserve">     </w:t>
      </w:r>
      <w:r>
        <w:rPr>
          <w:szCs w:val="21"/>
          <w:highlight w:val="none"/>
        </w:rPr>
        <w:t>（</w:t>
      </w:r>
      <w:r>
        <w:rPr>
          <w:rFonts w:hint="eastAsia"/>
          <w:szCs w:val="21"/>
          <w:highlight w:val="none"/>
        </w:rPr>
        <w:t>担保人</w:t>
      </w:r>
      <w:r>
        <w:rPr>
          <w:szCs w:val="21"/>
          <w:highlight w:val="none"/>
        </w:rPr>
        <w:t>名称，以下简称“</w:t>
      </w:r>
      <w:r>
        <w:rPr>
          <w:rFonts w:hint="eastAsia"/>
          <w:szCs w:val="21"/>
          <w:highlight w:val="none"/>
        </w:rPr>
        <w:t>我方</w:t>
      </w:r>
      <w:r>
        <w:rPr>
          <w:szCs w:val="21"/>
          <w:highlight w:val="none"/>
        </w:rPr>
        <w:t>”）保证：投标人在规定的投标有效期内撤销或修改其投标文件的，或者投标人在收到中标通知书后无正当理由拒签合同或拒交规定履约担保的，</w:t>
      </w:r>
      <w:r>
        <w:rPr>
          <w:rFonts w:hint="eastAsia"/>
          <w:szCs w:val="21"/>
          <w:highlight w:val="none"/>
        </w:rPr>
        <w:t>我方</w:t>
      </w:r>
      <w:r>
        <w:rPr>
          <w:szCs w:val="21"/>
          <w:highlight w:val="none"/>
        </w:rPr>
        <w:t>承担保证责任。收到你方书面通知后，</w:t>
      </w:r>
      <w:r>
        <w:rPr>
          <w:rFonts w:hint="eastAsia"/>
          <w:szCs w:val="21"/>
          <w:highlight w:val="none"/>
        </w:rPr>
        <w:t>在7日内</w:t>
      </w:r>
      <w:r>
        <w:rPr>
          <w:szCs w:val="21"/>
          <w:highlight w:val="none"/>
        </w:rPr>
        <w:t>向你方支付人民币（大写）</w:t>
      </w:r>
      <w:r>
        <w:rPr>
          <w:szCs w:val="21"/>
          <w:highlight w:val="none"/>
          <w:u w:val="single"/>
        </w:rPr>
        <w:t xml:space="preserve">      </w:t>
      </w:r>
      <w:r>
        <w:rPr>
          <w:rFonts w:hint="eastAsia"/>
          <w:szCs w:val="21"/>
          <w:highlight w:val="none"/>
          <w:u w:val="single"/>
          <w:lang w:val="en-US" w:eastAsia="zh-CN"/>
        </w:rPr>
        <w:t xml:space="preserve">         </w:t>
      </w:r>
      <w:r>
        <w:rPr>
          <w:szCs w:val="21"/>
          <w:highlight w:val="none"/>
          <w:u w:val="single"/>
        </w:rPr>
        <w:t xml:space="preserve">   </w:t>
      </w:r>
      <w:r>
        <w:rPr>
          <w:szCs w:val="21"/>
          <w:highlight w:val="none"/>
        </w:rPr>
        <w:t>。</w:t>
      </w:r>
    </w:p>
    <w:p>
      <w:pPr>
        <w:spacing w:line="440" w:lineRule="exact"/>
        <w:ind w:firstLine="420" w:firstLineChars="200"/>
        <w:rPr>
          <w:szCs w:val="21"/>
          <w:highlight w:val="none"/>
        </w:rPr>
      </w:pPr>
      <w:r>
        <w:rPr>
          <w:szCs w:val="21"/>
          <w:highlight w:val="none"/>
        </w:rPr>
        <w:t>本保函在投标有效期内保持有效。要求</w:t>
      </w:r>
      <w:r>
        <w:rPr>
          <w:rFonts w:hint="eastAsia"/>
          <w:szCs w:val="21"/>
          <w:highlight w:val="none"/>
        </w:rPr>
        <w:t>我方</w:t>
      </w:r>
      <w:r>
        <w:rPr>
          <w:szCs w:val="21"/>
          <w:highlight w:val="none"/>
        </w:rPr>
        <w:t>承担保证责任的通知应在投标有效期内送达</w:t>
      </w:r>
      <w:r>
        <w:rPr>
          <w:rFonts w:hint="eastAsia"/>
          <w:szCs w:val="21"/>
          <w:highlight w:val="none"/>
        </w:rPr>
        <w:t>我方</w:t>
      </w:r>
      <w:r>
        <w:rPr>
          <w:szCs w:val="21"/>
          <w:highlight w:val="none"/>
        </w:rPr>
        <w:t>。</w:t>
      </w:r>
    </w:p>
    <w:p>
      <w:pPr>
        <w:spacing w:line="440" w:lineRule="exact"/>
        <w:rPr>
          <w:szCs w:val="21"/>
          <w:highlight w:val="none"/>
        </w:rPr>
      </w:pPr>
      <w:r>
        <w:rPr>
          <w:szCs w:val="21"/>
          <w:highlight w:val="none"/>
        </w:rPr>
        <w:t xml:space="preserve"> </w:t>
      </w:r>
    </w:p>
    <w:p>
      <w:pPr>
        <w:spacing w:line="440" w:lineRule="exact"/>
        <w:rPr>
          <w:szCs w:val="21"/>
          <w:highlight w:val="none"/>
        </w:rPr>
      </w:pPr>
    </w:p>
    <w:p>
      <w:pPr>
        <w:spacing w:line="440" w:lineRule="exact"/>
        <w:rPr>
          <w:szCs w:val="21"/>
          <w:highlight w:val="none"/>
        </w:rPr>
      </w:pPr>
    </w:p>
    <w:p>
      <w:pPr>
        <w:spacing w:line="440" w:lineRule="exact"/>
        <w:rPr>
          <w:szCs w:val="21"/>
          <w:highlight w:val="none"/>
        </w:rPr>
      </w:pPr>
    </w:p>
    <w:p>
      <w:pPr>
        <w:spacing w:line="440" w:lineRule="exact"/>
        <w:ind w:firstLine="2158" w:firstLineChars="1028"/>
        <w:rPr>
          <w:szCs w:val="21"/>
          <w:highlight w:val="none"/>
        </w:rPr>
      </w:pPr>
      <w:r>
        <w:rPr>
          <w:rFonts w:hint="eastAsia"/>
          <w:szCs w:val="21"/>
          <w:highlight w:val="none"/>
        </w:rPr>
        <w:t>担保人</w:t>
      </w:r>
      <w:r>
        <w:rPr>
          <w:szCs w:val="21"/>
          <w:highlight w:val="none"/>
        </w:rPr>
        <w:t>名称：</w:t>
      </w:r>
      <w:r>
        <w:rPr>
          <w:szCs w:val="21"/>
          <w:highlight w:val="none"/>
          <w:u w:val="single"/>
        </w:rPr>
        <w:t xml:space="preserve">                              </w:t>
      </w:r>
      <w:r>
        <w:rPr>
          <w:szCs w:val="21"/>
          <w:highlight w:val="none"/>
        </w:rPr>
        <w:t>（盖单位章）</w:t>
      </w:r>
    </w:p>
    <w:p>
      <w:pPr>
        <w:spacing w:line="440" w:lineRule="exact"/>
        <w:ind w:firstLine="2158" w:firstLineChars="1028"/>
        <w:rPr>
          <w:szCs w:val="21"/>
          <w:highlight w:val="none"/>
        </w:rPr>
      </w:pPr>
      <w:r>
        <w:rPr>
          <w:szCs w:val="21"/>
          <w:highlight w:val="none"/>
        </w:rPr>
        <w:t>法定代表人或</w:t>
      </w:r>
      <w:r>
        <w:rPr>
          <w:rFonts w:hint="eastAsia"/>
          <w:szCs w:val="21"/>
          <w:highlight w:val="none"/>
        </w:rPr>
        <w:t>授权</w:t>
      </w:r>
      <w:r>
        <w:rPr>
          <w:szCs w:val="21"/>
          <w:highlight w:val="none"/>
        </w:rPr>
        <w:t>人：</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（签字）</w:t>
      </w:r>
    </w:p>
    <w:p>
      <w:pPr>
        <w:spacing w:line="440" w:lineRule="exact"/>
        <w:ind w:firstLine="2158" w:firstLineChars="1028"/>
        <w:rPr>
          <w:szCs w:val="21"/>
          <w:highlight w:val="none"/>
        </w:rPr>
      </w:pPr>
      <w:r>
        <w:rPr>
          <w:szCs w:val="21"/>
          <w:highlight w:val="none"/>
        </w:rPr>
        <w:t>地    址：</w:t>
      </w:r>
      <w:r>
        <w:rPr>
          <w:szCs w:val="21"/>
          <w:highlight w:val="none"/>
          <w:u w:val="single"/>
        </w:rPr>
        <w:tab/>
      </w:r>
      <w:r>
        <w:rPr>
          <w:szCs w:val="21"/>
          <w:highlight w:val="none"/>
          <w:u w:val="single"/>
        </w:rPr>
        <w:tab/>
      </w:r>
      <w:r>
        <w:rPr>
          <w:szCs w:val="21"/>
          <w:highlight w:val="none"/>
          <w:u w:val="single"/>
        </w:rPr>
        <w:tab/>
      </w:r>
      <w:r>
        <w:rPr>
          <w:szCs w:val="21"/>
          <w:highlight w:val="none"/>
          <w:u w:val="single"/>
        </w:rPr>
        <w:t xml:space="preserve">                               </w:t>
      </w:r>
      <w:r>
        <w:rPr>
          <w:szCs w:val="21"/>
          <w:highlight w:val="none"/>
          <w:u w:val="single"/>
        </w:rPr>
        <w:tab/>
      </w:r>
    </w:p>
    <w:p>
      <w:pPr>
        <w:spacing w:line="440" w:lineRule="exact"/>
        <w:ind w:firstLine="2158" w:firstLineChars="1028"/>
        <w:rPr>
          <w:szCs w:val="21"/>
          <w:highlight w:val="none"/>
          <w:u w:val="single"/>
        </w:rPr>
      </w:pPr>
      <w:r>
        <w:rPr>
          <w:szCs w:val="21"/>
          <w:highlight w:val="none"/>
        </w:rPr>
        <w:t>邮政编码：</w:t>
      </w:r>
      <w:r>
        <w:rPr>
          <w:szCs w:val="21"/>
          <w:highlight w:val="none"/>
          <w:u w:val="single"/>
        </w:rPr>
        <w:tab/>
      </w:r>
      <w:r>
        <w:rPr>
          <w:szCs w:val="21"/>
          <w:highlight w:val="none"/>
          <w:u w:val="single"/>
        </w:rPr>
        <w:tab/>
      </w:r>
      <w:r>
        <w:rPr>
          <w:szCs w:val="21"/>
          <w:highlight w:val="none"/>
          <w:u w:val="single"/>
        </w:rPr>
        <w:tab/>
      </w:r>
      <w:r>
        <w:rPr>
          <w:szCs w:val="21"/>
          <w:highlight w:val="none"/>
          <w:u w:val="single"/>
        </w:rPr>
        <w:tab/>
      </w:r>
      <w:r>
        <w:rPr>
          <w:szCs w:val="21"/>
          <w:highlight w:val="none"/>
          <w:u w:val="single"/>
        </w:rPr>
        <w:tab/>
      </w:r>
      <w:r>
        <w:rPr>
          <w:szCs w:val="21"/>
          <w:highlight w:val="none"/>
          <w:u w:val="single"/>
        </w:rPr>
        <w:tab/>
      </w:r>
      <w:r>
        <w:rPr>
          <w:szCs w:val="21"/>
          <w:highlight w:val="none"/>
          <w:u w:val="single"/>
        </w:rPr>
        <w:t xml:space="preserve">                 </w:t>
      </w:r>
      <w:r>
        <w:rPr>
          <w:szCs w:val="21"/>
          <w:highlight w:val="none"/>
          <w:u w:val="single"/>
        </w:rPr>
        <w:tab/>
      </w:r>
    </w:p>
    <w:p>
      <w:pPr>
        <w:spacing w:line="440" w:lineRule="exact"/>
        <w:ind w:firstLine="2158" w:firstLineChars="1028"/>
        <w:rPr>
          <w:szCs w:val="21"/>
          <w:highlight w:val="none"/>
        </w:rPr>
      </w:pPr>
      <w:r>
        <w:rPr>
          <w:szCs w:val="21"/>
          <w:highlight w:val="none"/>
        </w:rPr>
        <w:t>电    话：</w:t>
      </w:r>
      <w:r>
        <w:rPr>
          <w:szCs w:val="21"/>
          <w:highlight w:val="none"/>
          <w:u w:val="single"/>
        </w:rPr>
        <w:t xml:space="preserve">                                         </w:t>
      </w:r>
      <w:r>
        <w:rPr>
          <w:rFonts w:hint="eastAsia"/>
          <w:szCs w:val="21"/>
          <w:highlight w:val="none"/>
          <w:u w:val="single"/>
        </w:rPr>
        <w:t xml:space="preserve"> </w:t>
      </w:r>
    </w:p>
    <w:p>
      <w:pPr>
        <w:spacing w:line="440" w:lineRule="exact"/>
        <w:ind w:firstLine="3523" w:firstLineChars="1678"/>
        <w:rPr>
          <w:b/>
          <w:bCs/>
          <w:highlight w:val="none"/>
        </w:rPr>
      </w:pPr>
      <w:r>
        <w:rPr>
          <w:highlight w:val="none"/>
          <w:u w:val="single"/>
        </w:rPr>
        <w:t xml:space="preserve">        </w:t>
      </w:r>
      <w:r>
        <w:rPr>
          <w:highlight w:val="none"/>
        </w:rPr>
        <w:t>年</w:t>
      </w:r>
      <w:r>
        <w:rPr>
          <w:highlight w:val="none"/>
          <w:u w:val="single"/>
        </w:rPr>
        <w:t xml:space="preserve">        </w:t>
      </w:r>
      <w:r>
        <w:rPr>
          <w:highlight w:val="none"/>
        </w:rPr>
        <w:t>月</w:t>
      </w:r>
      <w:r>
        <w:rPr>
          <w:highlight w:val="none"/>
          <w:u w:val="single"/>
        </w:rPr>
        <w:t xml:space="preserve">        </w:t>
      </w:r>
      <w:r>
        <w:rPr>
          <w:highlight w:val="none"/>
        </w:rPr>
        <w:t>日</w:t>
      </w:r>
      <w:r>
        <w:rPr>
          <w:b/>
          <w:bCs/>
          <w:highlight w:val="none"/>
        </w:rPr>
        <w:br w:type="page"/>
      </w:r>
    </w:p>
    <w:p>
      <w:pPr>
        <w:spacing w:line="360" w:lineRule="auto"/>
        <w:ind w:firstLine="3975" w:firstLineChars="1100"/>
        <w:rPr>
          <w:rFonts w:ascii="宋体" w:hAnsi="宋体" w:cs="宋体"/>
          <w:b/>
          <w:kern w:val="1"/>
          <w:sz w:val="36"/>
          <w:szCs w:val="36"/>
          <w:highlight w:val="none"/>
          <w:lang w:val="zh-CN"/>
        </w:rPr>
      </w:pPr>
      <w:bookmarkStart w:id="1100" w:name="_Toc11239"/>
      <w:bookmarkStart w:id="1101" w:name="_Toc296602998"/>
      <w:bookmarkStart w:id="1102" w:name="_Toc24081"/>
      <w:bookmarkStart w:id="1103" w:name="_Toc51288276"/>
      <w:bookmarkStart w:id="1104" w:name="_Toc23507"/>
      <w:bookmarkStart w:id="1105" w:name="_Toc32221"/>
      <w:r>
        <w:rPr>
          <w:rFonts w:hint="eastAsia" w:ascii="宋体" w:hAnsi="宋体" w:cs="宋体"/>
          <w:b/>
          <w:kern w:val="1"/>
          <w:sz w:val="36"/>
          <w:szCs w:val="36"/>
          <w:highlight w:val="none"/>
          <w:lang w:val="zh-CN"/>
        </w:rPr>
        <w:t>投标保证</w:t>
      </w:r>
      <w:bookmarkEnd w:id="1100"/>
      <w:bookmarkEnd w:id="1101"/>
      <w:bookmarkEnd w:id="1102"/>
      <w:bookmarkEnd w:id="1103"/>
      <w:bookmarkEnd w:id="1104"/>
      <w:bookmarkEnd w:id="1105"/>
    </w:p>
    <w:p>
      <w:pPr>
        <w:spacing w:line="440" w:lineRule="exact"/>
        <w:rPr>
          <w:szCs w:val="21"/>
          <w:highlight w:val="none"/>
        </w:rPr>
      </w:pPr>
      <w:r>
        <w:rPr>
          <w:szCs w:val="21"/>
          <w:highlight w:val="none"/>
          <w:u w:val="single"/>
        </w:rPr>
        <w:t xml:space="preserve">         </w:t>
      </w:r>
      <w:r>
        <w:rPr>
          <w:szCs w:val="21"/>
          <w:highlight w:val="none"/>
          <w:u w:val="single"/>
        </w:rPr>
        <w:tab/>
      </w:r>
      <w:r>
        <w:rPr>
          <w:szCs w:val="21"/>
          <w:highlight w:val="none"/>
          <w:u w:val="single"/>
        </w:rPr>
        <w:tab/>
      </w:r>
      <w:r>
        <w:rPr>
          <w:szCs w:val="21"/>
          <w:highlight w:val="none"/>
          <w:u w:val="single"/>
        </w:rPr>
        <w:t xml:space="preserve">  </w:t>
      </w:r>
      <w:r>
        <w:rPr>
          <w:szCs w:val="21"/>
          <w:highlight w:val="none"/>
        </w:rPr>
        <w:t>（招标人名称）：</w:t>
      </w:r>
    </w:p>
    <w:p>
      <w:pPr>
        <w:spacing w:line="440" w:lineRule="exact"/>
        <w:rPr>
          <w:szCs w:val="21"/>
          <w:highlight w:val="none"/>
        </w:rPr>
      </w:pPr>
    </w:p>
    <w:p>
      <w:pPr>
        <w:spacing w:line="440" w:lineRule="exact"/>
        <w:ind w:firstLine="420" w:firstLineChars="200"/>
        <w:rPr>
          <w:szCs w:val="21"/>
          <w:highlight w:val="none"/>
        </w:rPr>
      </w:pPr>
      <w:r>
        <w:rPr>
          <w:rFonts w:hint="eastAsia"/>
          <w:szCs w:val="21"/>
          <w:highlight w:val="none"/>
        </w:rPr>
        <w:t>我方</w:t>
      </w:r>
      <w:r>
        <w:rPr>
          <w:szCs w:val="21"/>
          <w:highlight w:val="none"/>
        </w:rPr>
        <w:t>于</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年</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月</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日参加</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（项目名称）的投标，</w:t>
      </w:r>
      <w:r>
        <w:rPr>
          <w:rFonts w:hint="eastAsia"/>
          <w:szCs w:val="21"/>
          <w:highlight w:val="none"/>
        </w:rPr>
        <w:t>现</w:t>
      </w:r>
      <w:r>
        <w:rPr>
          <w:szCs w:val="21"/>
          <w:highlight w:val="none"/>
        </w:rPr>
        <w:t>保证：</w:t>
      </w:r>
      <w:r>
        <w:rPr>
          <w:rFonts w:hint="eastAsia"/>
          <w:szCs w:val="21"/>
          <w:highlight w:val="none"/>
        </w:rPr>
        <w:t>我方</w:t>
      </w:r>
      <w:r>
        <w:rPr>
          <w:szCs w:val="21"/>
          <w:highlight w:val="none"/>
        </w:rPr>
        <w:t>在规定的投标有效期内撤销或修改投标文件的，或者在收到中标通知书后无正当理由拒签合同或拒交规定履约担保的，</w:t>
      </w:r>
      <w:r>
        <w:rPr>
          <w:rFonts w:hint="eastAsia"/>
          <w:szCs w:val="21"/>
          <w:highlight w:val="none"/>
        </w:rPr>
        <w:t>投标保证金不予退还</w:t>
      </w:r>
      <w:r>
        <w:rPr>
          <w:szCs w:val="21"/>
          <w:highlight w:val="none"/>
        </w:rPr>
        <w:t>。</w:t>
      </w:r>
    </w:p>
    <w:p>
      <w:pPr>
        <w:spacing w:line="440" w:lineRule="exact"/>
        <w:rPr>
          <w:szCs w:val="21"/>
          <w:highlight w:val="none"/>
        </w:rPr>
      </w:pPr>
    </w:p>
    <w:p>
      <w:pPr>
        <w:spacing w:line="440" w:lineRule="exact"/>
        <w:rPr>
          <w:szCs w:val="21"/>
          <w:highlight w:val="none"/>
        </w:rPr>
      </w:pPr>
    </w:p>
    <w:p>
      <w:pPr>
        <w:spacing w:line="440" w:lineRule="exact"/>
        <w:rPr>
          <w:szCs w:val="21"/>
          <w:highlight w:val="none"/>
        </w:rPr>
      </w:pPr>
    </w:p>
    <w:p>
      <w:pPr>
        <w:spacing w:line="440" w:lineRule="exact"/>
        <w:rPr>
          <w:szCs w:val="21"/>
          <w:highlight w:val="none"/>
        </w:rPr>
      </w:pPr>
    </w:p>
    <w:p>
      <w:pPr>
        <w:spacing w:line="440" w:lineRule="exact"/>
        <w:ind w:firstLine="2158" w:firstLineChars="1028"/>
        <w:rPr>
          <w:szCs w:val="21"/>
          <w:highlight w:val="none"/>
        </w:rPr>
      </w:pPr>
      <w:r>
        <w:rPr>
          <w:rFonts w:hint="eastAsia"/>
          <w:szCs w:val="21"/>
          <w:highlight w:val="none"/>
        </w:rPr>
        <w:t>投标人</w:t>
      </w:r>
      <w:r>
        <w:rPr>
          <w:szCs w:val="21"/>
          <w:highlight w:val="none"/>
        </w:rPr>
        <w:t>名称：</w:t>
      </w:r>
      <w:r>
        <w:rPr>
          <w:szCs w:val="21"/>
          <w:highlight w:val="none"/>
          <w:u w:val="single"/>
        </w:rPr>
        <w:t xml:space="preserve">                              </w:t>
      </w:r>
      <w:r>
        <w:rPr>
          <w:szCs w:val="21"/>
          <w:highlight w:val="none"/>
        </w:rPr>
        <w:t>（盖单位章）</w:t>
      </w:r>
    </w:p>
    <w:p>
      <w:pPr>
        <w:spacing w:line="440" w:lineRule="exact"/>
        <w:ind w:firstLine="2158" w:firstLineChars="1028"/>
        <w:rPr>
          <w:szCs w:val="21"/>
          <w:highlight w:val="none"/>
        </w:rPr>
      </w:pPr>
      <w:r>
        <w:rPr>
          <w:szCs w:val="21"/>
          <w:highlight w:val="none"/>
        </w:rPr>
        <w:t>法定代表人或</w:t>
      </w:r>
      <w:r>
        <w:rPr>
          <w:rFonts w:hint="eastAsia"/>
          <w:szCs w:val="21"/>
          <w:highlight w:val="none"/>
        </w:rPr>
        <w:t>授权</w:t>
      </w:r>
      <w:r>
        <w:rPr>
          <w:szCs w:val="21"/>
          <w:highlight w:val="none"/>
        </w:rPr>
        <w:t>人：</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（签字）</w:t>
      </w:r>
    </w:p>
    <w:p>
      <w:pPr>
        <w:spacing w:line="440" w:lineRule="exact"/>
        <w:ind w:firstLine="2158" w:firstLineChars="1028"/>
        <w:rPr>
          <w:szCs w:val="21"/>
          <w:highlight w:val="none"/>
        </w:rPr>
      </w:pPr>
      <w:r>
        <w:rPr>
          <w:szCs w:val="21"/>
          <w:highlight w:val="none"/>
        </w:rPr>
        <w:t>地    址：</w:t>
      </w:r>
      <w:r>
        <w:rPr>
          <w:szCs w:val="21"/>
          <w:highlight w:val="none"/>
          <w:u w:val="single"/>
        </w:rPr>
        <w:tab/>
      </w:r>
      <w:r>
        <w:rPr>
          <w:szCs w:val="21"/>
          <w:highlight w:val="none"/>
          <w:u w:val="single"/>
        </w:rPr>
        <w:tab/>
      </w:r>
      <w:r>
        <w:rPr>
          <w:szCs w:val="21"/>
          <w:highlight w:val="none"/>
          <w:u w:val="single"/>
        </w:rPr>
        <w:tab/>
      </w:r>
      <w:r>
        <w:rPr>
          <w:szCs w:val="21"/>
          <w:highlight w:val="none"/>
          <w:u w:val="single"/>
        </w:rPr>
        <w:t xml:space="preserve">                               </w:t>
      </w:r>
      <w:r>
        <w:rPr>
          <w:szCs w:val="21"/>
          <w:highlight w:val="none"/>
          <w:u w:val="single"/>
        </w:rPr>
        <w:tab/>
      </w:r>
    </w:p>
    <w:p>
      <w:pPr>
        <w:spacing w:line="440" w:lineRule="exact"/>
        <w:ind w:firstLine="2158" w:firstLineChars="1028"/>
        <w:rPr>
          <w:szCs w:val="21"/>
          <w:highlight w:val="none"/>
          <w:u w:val="single"/>
        </w:rPr>
      </w:pPr>
      <w:r>
        <w:rPr>
          <w:szCs w:val="21"/>
          <w:highlight w:val="none"/>
        </w:rPr>
        <w:t>邮政编码：</w:t>
      </w:r>
      <w:r>
        <w:rPr>
          <w:szCs w:val="21"/>
          <w:highlight w:val="none"/>
          <w:u w:val="single"/>
        </w:rPr>
        <w:tab/>
      </w:r>
      <w:r>
        <w:rPr>
          <w:szCs w:val="21"/>
          <w:highlight w:val="none"/>
          <w:u w:val="single"/>
        </w:rPr>
        <w:tab/>
      </w:r>
      <w:r>
        <w:rPr>
          <w:szCs w:val="21"/>
          <w:highlight w:val="none"/>
          <w:u w:val="single"/>
        </w:rPr>
        <w:tab/>
      </w:r>
      <w:r>
        <w:rPr>
          <w:szCs w:val="21"/>
          <w:highlight w:val="none"/>
          <w:u w:val="single"/>
        </w:rPr>
        <w:tab/>
      </w:r>
      <w:r>
        <w:rPr>
          <w:szCs w:val="21"/>
          <w:highlight w:val="none"/>
          <w:u w:val="single"/>
        </w:rPr>
        <w:tab/>
      </w:r>
      <w:r>
        <w:rPr>
          <w:szCs w:val="21"/>
          <w:highlight w:val="none"/>
          <w:u w:val="single"/>
        </w:rPr>
        <w:tab/>
      </w:r>
      <w:r>
        <w:rPr>
          <w:szCs w:val="21"/>
          <w:highlight w:val="none"/>
          <w:u w:val="single"/>
        </w:rPr>
        <w:t xml:space="preserve">                 </w:t>
      </w:r>
      <w:r>
        <w:rPr>
          <w:szCs w:val="21"/>
          <w:highlight w:val="none"/>
          <w:u w:val="single"/>
        </w:rPr>
        <w:tab/>
      </w:r>
    </w:p>
    <w:p>
      <w:pPr>
        <w:spacing w:line="440" w:lineRule="exact"/>
        <w:ind w:firstLine="2158" w:firstLineChars="1028"/>
        <w:rPr>
          <w:szCs w:val="21"/>
          <w:highlight w:val="none"/>
        </w:rPr>
      </w:pPr>
      <w:r>
        <w:rPr>
          <w:szCs w:val="21"/>
          <w:highlight w:val="none"/>
        </w:rPr>
        <w:t>电    话：</w:t>
      </w:r>
      <w:r>
        <w:rPr>
          <w:szCs w:val="21"/>
          <w:highlight w:val="none"/>
          <w:u w:val="single"/>
        </w:rPr>
        <w:t xml:space="preserve">                                         </w:t>
      </w:r>
      <w:r>
        <w:rPr>
          <w:rFonts w:hint="eastAsia"/>
          <w:szCs w:val="21"/>
          <w:highlight w:val="none"/>
          <w:u w:val="single"/>
        </w:rPr>
        <w:t xml:space="preserve"> </w:t>
      </w:r>
    </w:p>
    <w:p>
      <w:pPr>
        <w:spacing w:line="440" w:lineRule="exact"/>
        <w:ind w:firstLine="3838" w:firstLineChars="1828"/>
        <w:rPr>
          <w:szCs w:val="21"/>
          <w:highlight w:val="none"/>
        </w:rPr>
      </w:pPr>
      <w:r>
        <w:rPr>
          <w:szCs w:val="21"/>
          <w:highlight w:val="none"/>
          <w:u w:val="single"/>
        </w:rPr>
        <w:t xml:space="preserve">        </w:t>
      </w:r>
      <w:r>
        <w:rPr>
          <w:szCs w:val="21"/>
          <w:highlight w:val="none"/>
        </w:rPr>
        <w:t>年</w:t>
      </w:r>
      <w:r>
        <w:rPr>
          <w:szCs w:val="21"/>
          <w:highlight w:val="none"/>
          <w:u w:val="single"/>
        </w:rPr>
        <w:t xml:space="preserve">       </w:t>
      </w:r>
      <w:r>
        <w:rPr>
          <w:szCs w:val="21"/>
          <w:highlight w:val="none"/>
        </w:rPr>
        <w:t>月</w:t>
      </w:r>
      <w:r>
        <w:rPr>
          <w:szCs w:val="21"/>
          <w:highlight w:val="none"/>
          <w:u w:val="single"/>
        </w:rPr>
        <w:t xml:space="preserve">       </w:t>
      </w:r>
      <w:r>
        <w:rPr>
          <w:szCs w:val="21"/>
          <w:highlight w:val="none"/>
        </w:rPr>
        <w:t>日</w:t>
      </w:r>
    </w:p>
    <w:p>
      <w:pPr>
        <w:spacing w:line="440" w:lineRule="exact"/>
        <w:rPr>
          <w:szCs w:val="21"/>
          <w:highlight w:val="none"/>
        </w:rPr>
      </w:pPr>
    </w:p>
    <w:p>
      <w:pPr>
        <w:jc w:val="left"/>
        <w:rPr>
          <w:rFonts w:hint="eastAsia" w:ascii="宋体" w:hAnsi="宋体" w:cs="宋体"/>
          <w:b/>
          <w:bCs/>
          <w:color w:val="auto"/>
          <w:sz w:val="24"/>
          <w:highlight w:val="none"/>
        </w:rPr>
      </w:pPr>
    </w:p>
    <w:p>
      <w:pPr>
        <w:jc w:val="left"/>
        <w:rPr>
          <w:rFonts w:hint="eastAsia" w:ascii="宋体" w:hAnsi="宋体" w:cs="宋体"/>
          <w:b/>
          <w:bCs/>
          <w:color w:val="auto"/>
          <w:sz w:val="24"/>
          <w:highlight w:val="none"/>
        </w:rPr>
      </w:pPr>
    </w:p>
    <w:p>
      <w:pPr>
        <w:jc w:val="left"/>
        <w:rPr>
          <w:rFonts w:hint="eastAsia" w:ascii="宋体" w:hAnsi="宋体" w:cs="宋体"/>
          <w:b/>
          <w:bCs/>
          <w:color w:val="auto"/>
          <w:sz w:val="24"/>
          <w:highlight w:val="none"/>
        </w:rPr>
      </w:pPr>
    </w:p>
    <w:p>
      <w:pPr>
        <w:jc w:val="left"/>
        <w:rPr>
          <w:rFonts w:hint="eastAsia" w:ascii="宋体" w:hAnsi="宋体" w:cs="宋体"/>
          <w:b/>
          <w:bCs/>
          <w:color w:val="auto"/>
          <w:sz w:val="24"/>
          <w:highlight w:val="none"/>
        </w:rPr>
      </w:pPr>
    </w:p>
    <w:p>
      <w:pPr>
        <w:jc w:val="left"/>
        <w:rPr>
          <w:rFonts w:hint="eastAsia" w:ascii="宋体" w:hAnsi="宋体" w:cs="宋体"/>
          <w:b/>
          <w:bCs/>
          <w:color w:val="auto"/>
          <w:sz w:val="24"/>
          <w:highlight w:val="none"/>
        </w:rPr>
      </w:pPr>
    </w:p>
    <w:p>
      <w:pPr>
        <w:jc w:val="left"/>
        <w:rPr>
          <w:rFonts w:hint="eastAsia" w:ascii="宋体" w:hAnsi="宋体" w:cs="宋体"/>
          <w:b/>
          <w:bCs/>
          <w:color w:val="auto"/>
          <w:sz w:val="24"/>
          <w:highlight w:val="none"/>
        </w:rPr>
      </w:pPr>
    </w:p>
    <w:p>
      <w:pPr>
        <w:jc w:val="left"/>
        <w:rPr>
          <w:rFonts w:hint="eastAsia" w:ascii="宋体" w:hAnsi="宋体" w:cs="宋体"/>
          <w:b/>
          <w:bCs/>
          <w:color w:val="auto"/>
          <w:sz w:val="24"/>
          <w:highlight w:val="none"/>
        </w:rPr>
      </w:pPr>
    </w:p>
    <w:p>
      <w:pPr>
        <w:jc w:val="left"/>
        <w:rPr>
          <w:rFonts w:hint="eastAsia" w:ascii="宋体" w:hAnsi="宋体" w:cs="宋体"/>
          <w:b/>
          <w:bCs/>
          <w:color w:val="auto"/>
          <w:sz w:val="24"/>
          <w:highlight w:val="none"/>
        </w:rPr>
      </w:pPr>
    </w:p>
    <w:p>
      <w:pPr>
        <w:jc w:val="left"/>
        <w:rPr>
          <w:rFonts w:hint="eastAsia" w:ascii="宋体" w:hAnsi="宋体" w:cs="宋体"/>
          <w:b/>
          <w:bCs/>
          <w:color w:val="auto"/>
          <w:sz w:val="24"/>
          <w:highlight w:val="none"/>
        </w:rPr>
      </w:pPr>
    </w:p>
    <w:p>
      <w:pPr>
        <w:jc w:val="left"/>
        <w:rPr>
          <w:rFonts w:hint="eastAsia" w:ascii="宋体" w:hAnsi="宋体" w:cs="宋体"/>
          <w:b/>
          <w:bCs/>
          <w:color w:val="auto"/>
          <w:sz w:val="24"/>
          <w:highlight w:val="none"/>
        </w:rPr>
      </w:pPr>
    </w:p>
    <w:p>
      <w:pPr>
        <w:jc w:val="left"/>
        <w:rPr>
          <w:rFonts w:hint="eastAsia" w:ascii="宋体" w:hAnsi="宋体" w:cs="宋体"/>
          <w:b/>
          <w:bCs/>
          <w:color w:val="auto"/>
          <w:sz w:val="24"/>
          <w:highlight w:val="none"/>
        </w:rPr>
      </w:pPr>
    </w:p>
    <w:p>
      <w:pPr>
        <w:jc w:val="left"/>
        <w:rPr>
          <w:rFonts w:hint="eastAsia" w:ascii="宋体" w:hAnsi="宋体" w:cs="宋体"/>
          <w:b/>
          <w:bCs/>
          <w:color w:val="auto"/>
          <w:sz w:val="24"/>
          <w:highlight w:val="none"/>
        </w:rPr>
      </w:pPr>
    </w:p>
    <w:p>
      <w:pPr>
        <w:jc w:val="left"/>
        <w:rPr>
          <w:rFonts w:hint="eastAsia" w:ascii="宋体" w:hAnsi="宋体" w:cs="宋体"/>
          <w:b/>
          <w:bCs/>
          <w:color w:val="auto"/>
          <w:sz w:val="24"/>
          <w:highlight w:val="none"/>
        </w:rPr>
      </w:pPr>
    </w:p>
    <w:p>
      <w:pPr>
        <w:jc w:val="left"/>
        <w:rPr>
          <w:rFonts w:hint="eastAsia" w:ascii="宋体" w:hAnsi="宋体" w:cs="宋体"/>
          <w:b/>
          <w:bCs/>
          <w:color w:val="auto"/>
          <w:sz w:val="24"/>
          <w:highlight w:val="none"/>
        </w:rPr>
      </w:pPr>
    </w:p>
    <w:p>
      <w:pPr>
        <w:jc w:val="left"/>
        <w:rPr>
          <w:rFonts w:hint="eastAsia" w:ascii="宋体" w:hAnsi="宋体" w:cs="宋体"/>
          <w:b/>
          <w:bCs/>
          <w:color w:val="auto"/>
          <w:sz w:val="24"/>
          <w:highlight w:val="none"/>
        </w:rPr>
      </w:pPr>
    </w:p>
    <w:p>
      <w:pPr>
        <w:jc w:val="left"/>
        <w:rPr>
          <w:rFonts w:hint="eastAsia" w:ascii="宋体" w:hAnsi="宋体" w:cs="宋体"/>
          <w:b/>
          <w:bCs/>
          <w:color w:val="auto"/>
          <w:sz w:val="24"/>
          <w:highlight w:val="none"/>
        </w:rPr>
      </w:pPr>
    </w:p>
    <w:p>
      <w:pPr>
        <w:jc w:val="left"/>
        <w:rPr>
          <w:rFonts w:hint="eastAsia" w:ascii="宋体" w:hAnsi="宋体" w:cs="宋体"/>
          <w:b/>
          <w:bCs/>
          <w:color w:val="auto"/>
          <w:sz w:val="24"/>
          <w:highlight w:val="none"/>
        </w:rPr>
      </w:pPr>
    </w:p>
    <w:p>
      <w:pPr>
        <w:jc w:val="left"/>
        <w:rPr>
          <w:rFonts w:hint="eastAsia" w:ascii="宋体" w:hAnsi="宋体" w:cs="宋体"/>
          <w:b/>
          <w:bCs/>
          <w:color w:val="auto"/>
          <w:sz w:val="24"/>
          <w:highlight w:val="none"/>
        </w:rPr>
      </w:pPr>
    </w:p>
    <w:p>
      <w:pPr>
        <w:jc w:val="left"/>
        <w:rPr>
          <w:rFonts w:hint="eastAsia" w:ascii="宋体" w:hAnsi="宋体" w:cs="宋体"/>
          <w:b/>
          <w:bCs/>
          <w:color w:val="auto"/>
          <w:sz w:val="24"/>
          <w:highlight w:val="none"/>
        </w:rPr>
      </w:pPr>
    </w:p>
    <w:p>
      <w:pPr>
        <w:jc w:val="left"/>
        <w:rPr>
          <w:rFonts w:hint="eastAsia" w:ascii="宋体" w:hAnsi="宋体" w:cs="宋体"/>
          <w:b/>
          <w:bCs/>
          <w:color w:val="auto"/>
          <w:sz w:val="24"/>
          <w:highlight w:val="none"/>
        </w:rPr>
      </w:pPr>
    </w:p>
    <w:p>
      <w:pPr>
        <w:jc w:val="left"/>
        <w:rPr>
          <w:rFonts w:hint="eastAsia" w:ascii="宋体" w:hAnsi="宋体" w:cs="宋体"/>
          <w:b/>
          <w:bCs/>
          <w:color w:val="auto"/>
          <w:sz w:val="24"/>
          <w:highlight w:val="none"/>
        </w:rPr>
      </w:pPr>
      <w:r>
        <w:rPr>
          <w:rFonts w:hint="eastAsia" w:ascii="宋体" w:hAnsi="宋体" w:cs="宋体"/>
          <w:b/>
          <w:bCs/>
          <w:color w:val="auto"/>
          <w:sz w:val="24"/>
          <w:highlight w:val="none"/>
        </w:rPr>
        <w:t>格式</w:t>
      </w:r>
      <w:r>
        <w:rPr>
          <w:rFonts w:hint="eastAsia" w:ascii="宋体" w:hAnsi="宋体" w:cs="宋体"/>
          <w:b/>
          <w:bCs/>
          <w:color w:val="auto"/>
          <w:sz w:val="24"/>
          <w:highlight w:val="none"/>
          <w:lang w:eastAsia="zh-CN"/>
        </w:rPr>
        <w:t>六：</w:t>
      </w:r>
      <w:r>
        <w:rPr>
          <w:rFonts w:hint="eastAsia" w:ascii="宋体" w:hAnsi="宋体" w:cs="宋体"/>
          <w:b/>
          <w:bCs/>
          <w:color w:val="auto"/>
          <w:sz w:val="24"/>
          <w:highlight w:val="none"/>
        </w:rPr>
        <w:t>中小企业声明函（如有）</w:t>
      </w:r>
    </w:p>
    <w:p>
      <w:pPr>
        <w:jc w:val="center"/>
        <w:rPr>
          <w:rFonts w:hint="eastAsia" w:ascii="宋体" w:hAnsi="宋体" w:cs="宋体"/>
          <w:b/>
          <w:bCs/>
          <w:color w:val="auto"/>
          <w:sz w:val="24"/>
          <w:highlight w:val="none"/>
        </w:rPr>
      </w:pPr>
    </w:p>
    <w:p>
      <w:pPr>
        <w:adjustRightInd w:val="0"/>
        <w:snapToGrid w:val="0"/>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中小企业声明函</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本企业郑重声明，根据《关于印发中小企业划型标准规定的通知》（工信部联企业〔2011〕300号）的规定，本企业具体情况如下：</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本企业属于建筑业行业；营业收入为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（中型企业、小型企业、微型企业）；</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依据《政府采购促进中小企业发展管理办法》的规定，本企业不属于大企业的分支机构，不存在控股股东为大企业的情形，也不存在与大企业的负责人为同一人的情形。 </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本企业对上述声明内容的真实性负责。如有虚假，将依法承担相应责任。 </w:t>
      </w:r>
    </w:p>
    <w:p>
      <w:pPr>
        <w:adjustRightInd w:val="0"/>
        <w:snapToGrid w:val="0"/>
        <w:spacing w:line="360" w:lineRule="auto"/>
        <w:ind w:firstLine="3600" w:firstLineChars="1500"/>
        <w:rPr>
          <w:rFonts w:hint="eastAsia" w:ascii="宋体" w:hAnsi="宋体" w:cs="宋体"/>
          <w:color w:val="auto"/>
          <w:sz w:val="24"/>
          <w:highlight w:val="none"/>
        </w:rPr>
      </w:pPr>
      <w:r>
        <w:rPr>
          <w:rFonts w:hint="eastAsia" w:ascii="宋体" w:hAnsi="宋体" w:cs="宋体"/>
          <w:color w:val="auto"/>
          <w:sz w:val="24"/>
          <w:highlight w:val="none"/>
        </w:rPr>
        <w:t>企业名称（盖章）：</w:t>
      </w:r>
    </w:p>
    <w:p>
      <w:pPr>
        <w:adjustRightInd w:val="0"/>
        <w:snapToGrid w:val="0"/>
        <w:spacing w:line="360" w:lineRule="auto"/>
        <w:ind w:firstLine="3840" w:firstLineChars="1600"/>
        <w:rPr>
          <w:rFonts w:hint="eastAsia" w:ascii="宋体" w:hAnsi="宋体" w:cs="宋体"/>
          <w:color w:val="auto"/>
          <w:sz w:val="24"/>
          <w:highlight w:val="none"/>
        </w:rPr>
      </w:pPr>
      <w:r>
        <w:rPr>
          <w:rFonts w:hint="eastAsia" w:ascii="宋体" w:hAnsi="宋体" w:cs="宋体"/>
          <w:color w:val="auto"/>
          <w:sz w:val="24"/>
          <w:highlight w:val="none"/>
        </w:rPr>
        <w:t>日 期：</w:t>
      </w:r>
    </w:p>
    <w:p>
      <w:pPr>
        <w:adjustRightInd w:val="0"/>
        <w:snapToGrid w:val="0"/>
        <w:spacing w:line="360" w:lineRule="auto"/>
        <w:ind w:firstLine="480" w:firstLineChars="200"/>
        <w:rPr>
          <w:rFonts w:hint="eastAsia" w:ascii="宋体" w:hAnsi="宋体" w:cs="宋体"/>
          <w:color w:val="auto"/>
          <w:sz w:val="24"/>
          <w:highlight w:val="none"/>
        </w:rPr>
      </w:pPr>
    </w:p>
    <w:p>
      <w:pPr>
        <w:adjustRightInd w:val="0"/>
        <w:snapToGrid w:val="0"/>
        <w:spacing w:line="360" w:lineRule="auto"/>
        <w:ind w:firstLine="480" w:firstLineChars="200"/>
        <w:rPr>
          <w:rFonts w:hint="eastAsia" w:ascii="宋体" w:hAnsi="宋体" w:cs="宋体"/>
          <w:color w:val="auto"/>
          <w:sz w:val="24"/>
          <w:highlight w:val="none"/>
        </w:rPr>
      </w:pP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1、营业收入、资产总额填报上一年度数据，无上一年度数据的新成立企业可不填报。</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2、《中小企业声明函》须按照本函格式填写，否则评标委员会有权视其为非中小企业，不享受免于提交投标保证金的优惠政策。</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3、招标人、招标代理机构将按有关规定公开《中小企业声明函》。</w:t>
      </w:r>
    </w:p>
    <w:p>
      <w:pPr>
        <w:adjustRightInd w:val="0"/>
        <w:snapToGrid w:val="0"/>
        <w:spacing w:line="360" w:lineRule="auto"/>
        <w:ind w:firstLine="420" w:firstLineChars="200"/>
        <w:jc w:val="left"/>
        <w:rPr>
          <w:rFonts w:hint="eastAsia" w:ascii="宋体" w:hAnsi="宋体" w:cs="宋体"/>
          <w:b/>
          <w:bCs/>
          <w:color w:val="auto"/>
          <w:sz w:val="24"/>
          <w:highlight w:val="none"/>
        </w:rPr>
      </w:pPr>
      <w:r>
        <w:rPr>
          <w:rFonts w:hint="eastAsia" w:ascii="宋体" w:hAnsi="宋体" w:cs="宋体"/>
          <w:color w:val="auto"/>
          <w:szCs w:val="21"/>
          <w:highlight w:val="none"/>
        </w:rPr>
        <w:br w:type="page"/>
      </w:r>
      <w:r>
        <w:rPr>
          <w:rFonts w:hint="eastAsia" w:ascii="宋体" w:hAnsi="宋体" w:cs="宋体"/>
          <w:b/>
          <w:bCs/>
          <w:color w:val="auto"/>
          <w:sz w:val="24"/>
          <w:highlight w:val="none"/>
          <w:lang w:val="zh-CN"/>
        </w:rPr>
        <w:t>关于投标保证金的承诺</w:t>
      </w:r>
      <w:r>
        <w:rPr>
          <w:rFonts w:hint="eastAsia" w:ascii="宋体" w:hAnsi="宋体" w:cs="宋体"/>
          <w:b/>
          <w:bCs/>
          <w:color w:val="auto"/>
          <w:sz w:val="24"/>
          <w:highlight w:val="none"/>
        </w:rPr>
        <w:t>（格式，如有）</w:t>
      </w:r>
    </w:p>
    <w:p>
      <w:pPr>
        <w:widowControl/>
        <w:jc w:val="left"/>
        <w:rPr>
          <w:rFonts w:hint="eastAsia" w:ascii="宋体" w:hAnsi="宋体" w:cs="宋体"/>
          <w:color w:val="auto"/>
          <w:szCs w:val="21"/>
          <w:highlight w:val="none"/>
        </w:rPr>
      </w:pPr>
    </w:p>
    <w:p>
      <w:pPr>
        <w:adjustRightInd w:val="0"/>
        <w:snapToGrid w:val="0"/>
        <w:spacing w:line="360" w:lineRule="auto"/>
        <w:ind w:firstLine="482" w:firstLineChars="200"/>
        <w:jc w:val="center"/>
        <w:rPr>
          <w:rFonts w:hint="eastAsia" w:ascii="宋体" w:hAnsi="宋体" w:cs="宋体"/>
          <w:b/>
          <w:bCs/>
          <w:color w:val="auto"/>
          <w:sz w:val="24"/>
          <w:highlight w:val="none"/>
        </w:rPr>
      </w:pPr>
      <w:r>
        <w:rPr>
          <w:rFonts w:hint="eastAsia" w:ascii="宋体" w:hAnsi="宋体" w:cs="宋体"/>
          <w:b/>
          <w:bCs/>
          <w:color w:val="auto"/>
          <w:sz w:val="24"/>
          <w:highlight w:val="none"/>
          <w:lang w:val="zh-CN"/>
        </w:rPr>
        <w:t>关于投标保证金的承诺</w:t>
      </w:r>
    </w:p>
    <w:p>
      <w:pPr>
        <w:adjustRightInd w:val="0"/>
        <w:snapToGrid w:val="0"/>
        <w:spacing w:line="360" w:lineRule="auto"/>
        <w:ind w:firstLine="480" w:firstLineChars="200"/>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本招标项目招标人及招标监管机构：</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本公司就参加</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项目的投标工作，作出郑重声明：</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本公司满足招标文件中免交投标保证金的相关要求，在投标时未提交投标保证金。我司理解在投标时免交投标保证金是为企业减负的举措，并未免除我司的投标义务，本公司</w:t>
      </w:r>
      <w:r>
        <w:rPr>
          <w:rFonts w:hint="eastAsia" w:ascii="宋体" w:hAnsi="宋体" w:cs="宋体"/>
          <w:color w:val="auto"/>
          <w:sz w:val="24"/>
          <w:highlight w:val="none"/>
          <w:lang w:val="zh-CN"/>
        </w:rPr>
        <w:t>一旦发生符合招标文件规定的不予退还投标保证金情形的，将</w:t>
      </w:r>
      <w:r>
        <w:rPr>
          <w:rFonts w:hint="eastAsia" w:ascii="宋体" w:hAnsi="宋体" w:cs="宋体"/>
          <w:color w:val="auto"/>
          <w:sz w:val="24"/>
          <w:highlight w:val="none"/>
        </w:rPr>
        <w:t>按照招标人的要求，在规定的时间内向招标人足额补交投标保证金。</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本公司违反上述保证的，将被视为虚假承诺，按相关规定进行信用记录。本公司对失信行为产生的一切后果已知悉，并承担由此产生的相应责任。</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特此承诺。</w:t>
      </w:r>
    </w:p>
    <w:p>
      <w:pPr>
        <w:adjustRightInd w:val="0"/>
        <w:snapToGrid w:val="0"/>
        <w:spacing w:line="360" w:lineRule="auto"/>
        <w:ind w:firstLine="480" w:firstLineChars="200"/>
        <w:rPr>
          <w:rFonts w:hint="eastAsia" w:ascii="宋体" w:hAnsi="宋体" w:cs="宋体"/>
          <w:color w:val="auto"/>
          <w:sz w:val="24"/>
          <w:highlight w:val="none"/>
        </w:rPr>
      </w:pPr>
    </w:p>
    <w:p>
      <w:pPr>
        <w:adjustRightInd w:val="0"/>
        <w:snapToGrid w:val="0"/>
        <w:spacing w:line="360" w:lineRule="auto"/>
        <w:ind w:firstLine="480" w:firstLineChars="200"/>
        <w:rPr>
          <w:rFonts w:hint="eastAsia" w:ascii="宋体" w:hAnsi="宋体" w:cs="宋体"/>
          <w:color w:val="auto"/>
          <w:sz w:val="24"/>
          <w:highlight w:val="none"/>
        </w:rPr>
      </w:pPr>
    </w:p>
    <w:p>
      <w:pPr>
        <w:adjustRightInd w:val="0"/>
        <w:snapToGrid w:val="0"/>
        <w:spacing w:line="360" w:lineRule="auto"/>
        <w:ind w:firstLine="3120" w:firstLineChars="1300"/>
        <w:rPr>
          <w:rFonts w:hint="eastAsia"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w:t>
      </w:r>
      <w:r>
        <w:rPr>
          <w:rFonts w:hint="eastAsia" w:ascii="宋体" w:hAnsi="宋体" w:cs="宋体"/>
          <w:color w:val="auto"/>
          <w:sz w:val="24"/>
          <w:highlight w:val="none"/>
        </w:rPr>
        <w:t>（盖章）</w:t>
      </w:r>
    </w:p>
    <w:p>
      <w:pPr>
        <w:adjustRightInd w:val="0"/>
        <w:snapToGrid w:val="0"/>
        <w:spacing w:line="360" w:lineRule="auto"/>
        <w:ind w:firstLine="3120" w:firstLineChars="1300"/>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jc w:val="center"/>
        <w:rPr>
          <w:rFonts w:hint="eastAsia" w:ascii="宋体" w:hAnsi="宋体" w:cs="宋体"/>
          <w:b/>
          <w:color w:val="auto"/>
          <w:sz w:val="28"/>
          <w:szCs w:val="28"/>
          <w:highlight w:val="none"/>
        </w:rPr>
      </w:pPr>
    </w:p>
    <w:p>
      <w:pPr>
        <w:spacing w:line="440" w:lineRule="exact"/>
        <w:jc w:val="center"/>
        <w:rPr>
          <w:rFonts w:eastAsia="黑体"/>
          <w:sz w:val="27"/>
          <w:szCs w:val="27"/>
          <w:highlight w:val="none"/>
        </w:rPr>
      </w:pPr>
      <w:r>
        <w:rPr>
          <w:rFonts w:eastAsia="黑体"/>
          <w:sz w:val="20"/>
          <w:szCs w:val="20"/>
          <w:highlight w:val="none"/>
        </w:rPr>
        <w:br w:type="page"/>
      </w:r>
    </w:p>
    <w:p>
      <w:pPr>
        <w:spacing w:line="360" w:lineRule="auto"/>
        <w:jc w:val="left"/>
        <w:rPr>
          <w:rFonts w:ascii="宋体" w:hAnsi="宋体"/>
          <w:highlight w:val="none"/>
        </w:rPr>
      </w:pPr>
      <w:bookmarkStart w:id="1106" w:name="_Toc31926"/>
      <w:bookmarkStart w:id="1107" w:name="_Toc3328"/>
      <w:bookmarkStart w:id="1108" w:name="_Toc28663"/>
      <w:bookmarkStart w:id="1109" w:name="_Toc31067"/>
      <w:bookmarkStart w:id="1110" w:name="_Toc51288277"/>
      <w:bookmarkStart w:id="1111" w:name="_Toc5004"/>
      <w:bookmarkStart w:id="1112" w:name="_Toc10594"/>
      <w:bookmarkStart w:id="1113" w:name="_Toc26426"/>
      <w:bookmarkStart w:id="1114" w:name="_Toc23790"/>
      <w:bookmarkStart w:id="1115" w:name="_Toc50453130"/>
      <w:bookmarkStart w:id="1116" w:name="_Toc21412"/>
      <w:bookmarkStart w:id="1117" w:name="_Toc16608"/>
      <w:r>
        <w:rPr>
          <w:rFonts w:hint="eastAsia" w:ascii="宋体" w:hAnsi="宋体"/>
          <w:highlight w:val="none"/>
        </w:rPr>
        <w:t>格式</w:t>
      </w:r>
      <w:r>
        <w:rPr>
          <w:rFonts w:hint="eastAsia" w:ascii="宋体" w:hAnsi="宋体"/>
          <w:highlight w:val="none"/>
          <w:lang w:eastAsia="zh-CN"/>
        </w:rPr>
        <w:t>七</w:t>
      </w:r>
      <w:r>
        <w:rPr>
          <w:rFonts w:hint="eastAsia" w:ascii="宋体" w:hAnsi="宋体"/>
          <w:highlight w:val="none"/>
        </w:rPr>
        <w:t>：</w:t>
      </w:r>
      <w:bookmarkEnd w:id="1089"/>
      <w:bookmarkEnd w:id="1106"/>
      <w:bookmarkEnd w:id="1107"/>
      <w:bookmarkEnd w:id="1108"/>
      <w:bookmarkEnd w:id="1109"/>
      <w:bookmarkEnd w:id="1110"/>
      <w:bookmarkEnd w:id="1111"/>
      <w:bookmarkEnd w:id="1112"/>
      <w:bookmarkEnd w:id="1113"/>
      <w:bookmarkEnd w:id="1114"/>
      <w:bookmarkEnd w:id="1115"/>
      <w:bookmarkEnd w:id="1116"/>
      <w:bookmarkEnd w:id="1117"/>
    </w:p>
    <w:p>
      <w:pPr>
        <w:ind w:firstLine="3975" w:firstLineChars="1100"/>
        <w:rPr>
          <w:rFonts w:ascii="宋体" w:hAnsi="宋体" w:cs="宋体"/>
          <w:b/>
          <w:kern w:val="1"/>
          <w:sz w:val="36"/>
          <w:szCs w:val="36"/>
          <w:highlight w:val="none"/>
          <w:lang w:val="zh-CN"/>
        </w:rPr>
      </w:pPr>
      <w:bookmarkStart w:id="1118" w:name="_Toc22191"/>
      <w:bookmarkStart w:id="1119" w:name="_Toc19641"/>
      <w:bookmarkStart w:id="1120" w:name="_Toc33695124"/>
      <w:bookmarkStart w:id="1121" w:name="_Toc31536"/>
      <w:bookmarkStart w:id="1122" w:name="_Toc50453131"/>
      <w:bookmarkStart w:id="1123" w:name="_Toc6897"/>
      <w:bookmarkStart w:id="1124" w:name="_Toc17854"/>
      <w:bookmarkStart w:id="1125" w:name="_Toc51288278"/>
      <w:r>
        <w:rPr>
          <w:rFonts w:hint="eastAsia" w:ascii="宋体" w:hAnsi="宋体" w:cs="宋体"/>
          <w:b/>
          <w:kern w:val="1"/>
          <w:sz w:val="36"/>
          <w:szCs w:val="36"/>
          <w:highlight w:val="none"/>
          <w:lang w:val="zh-CN"/>
        </w:rPr>
        <w:t>资信业绩资料</w:t>
      </w:r>
      <w:bookmarkEnd w:id="1118"/>
      <w:bookmarkEnd w:id="1119"/>
      <w:bookmarkEnd w:id="1120"/>
      <w:bookmarkEnd w:id="1121"/>
      <w:bookmarkEnd w:id="1122"/>
      <w:bookmarkEnd w:id="1123"/>
      <w:bookmarkEnd w:id="1124"/>
      <w:bookmarkEnd w:id="1125"/>
    </w:p>
    <w:p>
      <w:pPr>
        <w:spacing w:line="360" w:lineRule="auto"/>
        <w:rPr>
          <w:rFonts w:ascii="宋体" w:hAnsi="宋体"/>
          <w:b/>
          <w:sz w:val="24"/>
          <w:highlight w:val="none"/>
        </w:rPr>
      </w:pPr>
    </w:p>
    <w:p>
      <w:pPr>
        <w:ind w:firstLine="169" w:firstLineChars="80"/>
        <w:rPr>
          <w:rFonts w:ascii="宋体" w:hAnsi="宋体"/>
          <w:b/>
          <w:highlight w:val="none"/>
        </w:rPr>
      </w:pPr>
      <w:r>
        <w:rPr>
          <w:rFonts w:hint="eastAsia" w:ascii="宋体" w:hAnsi="宋体"/>
          <w:b/>
          <w:highlight w:val="none"/>
        </w:rPr>
        <w:t>1、投标人综合实力资料</w:t>
      </w:r>
    </w:p>
    <w:p>
      <w:pPr>
        <w:ind w:firstLine="585" w:firstLineChars="279"/>
        <w:rPr>
          <w:rFonts w:ascii="宋体" w:hAnsi="宋体"/>
          <w:b/>
          <w:highlight w:val="none"/>
        </w:rPr>
      </w:pPr>
      <w:r>
        <w:rPr>
          <w:rFonts w:hint="eastAsia" w:ascii="宋体" w:hAnsi="宋体"/>
          <w:highlight w:val="none"/>
        </w:rPr>
        <w:t>企业类似业绩、获奖情况等</w:t>
      </w:r>
      <w:r>
        <w:rPr>
          <w:rFonts w:hint="eastAsia" w:ascii="宋体" w:hAnsi="宋体"/>
          <w:highlight w:val="none"/>
        </w:rPr>
        <w:br w:type="page"/>
      </w:r>
      <w:r>
        <w:rPr>
          <w:rFonts w:hint="eastAsia" w:ascii="宋体" w:hAnsi="宋体"/>
          <w:b/>
          <w:highlight w:val="none"/>
        </w:rPr>
        <w:t>2.投入主要项目管理及技术人员汇总表</w:t>
      </w:r>
    </w:p>
    <w:tbl>
      <w:tblPr>
        <w:tblStyle w:val="16"/>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17"/>
        <w:gridCol w:w="851"/>
        <w:gridCol w:w="850"/>
        <w:gridCol w:w="851"/>
        <w:gridCol w:w="1598"/>
        <w:gridCol w:w="1760"/>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24"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highlight w:val="none"/>
              </w:rPr>
            </w:pPr>
            <w:r>
              <w:rPr>
                <w:rFonts w:hint="eastAsia"/>
                <w:highlight w:val="none"/>
              </w:rPr>
              <w:t>序号</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highlight w:val="none"/>
              </w:rPr>
            </w:pPr>
            <w:r>
              <w:rPr>
                <w:rFonts w:hint="eastAsia"/>
                <w:highlight w:val="none"/>
              </w:rPr>
              <w:t>姓名</w:t>
            </w:r>
          </w:p>
        </w:tc>
        <w:tc>
          <w:tcPr>
            <w:tcW w:w="8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highlight w:val="none"/>
              </w:rPr>
            </w:pPr>
            <w:r>
              <w:rPr>
                <w:rFonts w:hint="eastAsia"/>
                <w:highlight w:val="none"/>
              </w:rPr>
              <w:t>年龄</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highlight w:val="none"/>
              </w:rPr>
            </w:pPr>
            <w:r>
              <w:rPr>
                <w:rFonts w:hint="eastAsia"/>
                <w:highlight w:val="none"/>
              </w:rPr>
              <w:t>职称</w:t>
            </w:r>
          </w:p>
        </w:tc>
        <w:tc>
          <w:tcPr>
            <w:tcW w:w="15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highlight w:val="none"/>
              </w:rPr>
            </w:pPr>
            <w:r>
              <w:rPr>
                <w:rFonts w:hint="eastAsia"/>
                <w:highlight w:val="none"/>
              </w:rPr>
              <w:t>在本项目任职</w:t>
            </w:r>
          </w:p>
        </w:tc>
        <w:tc>
          <w:tcPr>
            <w:tcW w:w="17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highlight w:val="none"/>
              </w:rPr>
            </w:pPr>
            <w:r>
              <w:rPr>
                <w:rFonts w:hint="eastAsia"/>
                <w:highlight w:val="none"/>
              </w:rPr>
              <w:t>身份证号码</w:t>
            </w:r>
          </w:p>
        </w:tc>
        <w:tc>
          <w:tcPr>
            <w:tcW w:w="22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highlight w:val="none"/>
              </w:rPr>
            </w:pPr>
            <w:r>
              <w:rPr>
                <w:rFonts w:hint="eastAsia"/>
                <w:highlight w:val="none"/>
              </w:rPr>
              <w:t>职称</w:t>
            </w:r>
            <w:r>
              <w:rPr>
                <w:rFonts w:hint="eastAsia"/>
                <w:highlight w:val="none"/>
                <w:lang w:eastAsia="zh-CN"/>
              </w:rPr>
              <w:t>、</w:t>
            </w:r>
            <w:r>
              <w:rPr>
                <w:rFonts w:hint="eastAsia"/>
                <w:highlight w:val="none"/>
              </w:rPr>
              <w:t>执业或上岗</w:t>
            </w:r>
          </w:p>
          <w:p>
            <w:pPr>
              <w:spacing w:line="240" w:lineRule="auto"/>
              <w:jc w:val="center"/>
              <w:rPr>
                <w:highlight w:val="none"/>
              </w:rPr>
            </w:pPr>
            <w:r>
              <w:rPr>
                <w:rFonts w:hint="eastAsia"/>
                <w:highlight w:val="none"/>
              </w:rPr>
              <w:t>（或岗位）证号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33" w:hRule="exac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rPr>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rPr>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rPr>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rPr>
                <w:highlight w:val="none"/>
              </w:rPr>
            </w:pPr>
          </w:p>
        </w:tc>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rPr>
                <w:highlight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spacing w:line="360" w:lineRule="auto"/>
              <w:rPr>
                <w:dstrike/>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33" w:hRule="exac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rPr>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rPr>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rPr>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rPr>
                <w:highlight w:val="none"/>
              </w:rPr>
            </w:pPr>
          </w:p>
        </w:tc>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Cs/>
                <w:szCs w:val="21"/>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rPr>
                <w:highlight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spacing w:line="360" w:lineRule="auto"/>
              <w:rPr>
                <w:d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33" w:hRule="exac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rPr>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rPr>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rPr>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rPr>
                <w:highlight w:val="none"/>
              </w:rPr>
            </w:pPr>
          </w:p>
        </w:tc>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Cs/>
                <w:szCs w:val="21"/>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rPr>
                <w:highlight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spacing w:line="360" w:lineRule="auto"/>
              <w:rPr>
                <w:d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48" w:hRule="exac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rPr>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rPr>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rPr>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rPr>
                <w:highlight w:val="none"/>
              </w:rPr>
            </w:pPr>
          </w:p>
        </w:tc>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Cs/>
                <w:szCs w:val="21"/>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rPr>
                <w:highlight w:val="none"/>
              </w:rPr>
            </w:pPr>
          </w:p>
        </w:tc>
        <w:tc>
          <w:tcPr>
            <w:tcW w:w="22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b/>
                <w:dstrike/>
                <w:highlight w:val="none"/>
                <w:u w:val="single"/>
              </w:rPr>
            </w:pPr>
          </w:p>
        </w:tc>
      </w:tr>
    </w:tbl>
    <w:p>
      <w:pPr>
        <w:ind w:firstLine="436"/>
        <w:rPr>
          <w:rFonts w:ascii="宋体" w:hAnsi="宋体"/>
          <w:szCs w:val="21"/>
          <w:highlight w:val="none"/>
        </w:rPr>
      </w:pPr>
      <w:r>
        <w:rPr>
          <w:rFonts w:hint="eastAsia" w:ascii="宋体" w:hAnsi="宋体"/>
          <w:szCs w:val="21"/>
          <w:highlight w:val="none"/>
        </w:rPr>
        <w:t>注：</w:t>
      </w:r>
    </w:p>
    <w:p>
      <w:pPr>
        <w:ind w:firstLine="436"/>
        <w:rPr>
          <w:rFonts w:ascii="宋体" w:hAnsi="宋体"/>
          <w:szCs w:val="21"/>
          <w:highlight w:val="none"/>
        </w:rPr>
      </w:pPr>
      <w:r>
        <w:rPr>
          <w:rFonts w:hint="eastAsia" w:ascii="宋体" w:hAnsi="宋体"/>
          <w:szCs w:val="21"/>
          <w:highlight w:val="none"/>
        </w:rPr>
        <w:t>1、人数及资质等符合招标文件的要求，投标人可根据项目的需要增加相关人员。</w:t>
      </w:r>
    </w:p>
    <w:p>
      <w:pPr>
        <w:ind w:firstLine="436"/>
        <w:rPr>
          <w:rFonts w:ascii="宋体" w:hAnsi="宋体"/>
          <w:spacing w:val="-6"/>
          <w:szCs w:val="21"/>
          <w:highlight w:val="none"/>
        </w:rPr>
      </w:pPr>
      <w:r>
        <w:rPr>
          <w:rFonts w:hint="eastAsia" w:ascii="宋体" w:hAnsi="宋体"/>
          <w:szCs w:val="21"/>
          <w:highlight w:val="none"/>
        </w:rPr>
        <w:t>2、</w:t>
      </w:r>
      <w:r>
        <w:rPr>
          <w:rFonts w:hint="eastAsia" w:ascii="宋体" w:hAnsi="宋体"/>
          <w:spacing w:val="-6"/>
          <w:szCs w:val="21"/>
          <w:highlight w:val="none"/>
        </w:rPr>
        <w:t>投入主要人员需按下表格式附简历表及相应证明资料。</w:t>
      </w:r>
    </w:p>
    <w:p>
      <w:pPr>
        <w:ind w:firstLine="496"/>
        <w:rPr>
          <w:rFonts w:ascii="宋体" w:hAnsi="宋体"/>
          <w:highlight w:val="none"/>
        </w:rPr>
      </w:pPr>
    </w:p>
    <w:p>
      <w:pPr>
        <w:ind w:firstLine="496"/>
        <w:rPr>
          <w:rFonts w:ascii="宋体" w:hAnsi="宋体"/>
          <w:highlight w:val="none"/>
        </w:rPr>
      </w:pPr>
    </w:p>
    <w:p>
      <w:pPr>
        <w:ind w:firstLine="3045" w:firstLineChars="1450"/>
        <w:rPr>
          <w:rFonts w:ascii="宋体" w:hAnsi="宋体"/>
          <w:highlight w:val="none"/>
        </w:rPr>
      </w:pPr>
      <w:r>
        <w:rPr>
          <w:rFonts w:hint="eastAsia" w:ascii="宋体" w:hAnsi="宋体"/>
          <w:highlight w:val="none"/>
        </w:rPr>
        <w:t>投标人：　　（盖章）</w:t>
      </w:r>
    </w:p>
    <w:p>
      <w:pPr>
        <w:ind w:firstLine="3045" w:firstLineChars="1450"/>
        <w:rPr>
          <w:rFonts w:ascii="宋体" w:hAnsi="宋体"/>
          <w:highlight w:val="none"/>
        </w:rPr>
      </w:pPr>
      <w:r>
        <w:rPr>
          <w:rFonts w:hint="eastAsia" w:ascii="宋体" w:hAnsi="宋体"/>
          <w:highlight w:val="none"/>
        </w:rPr>
        <w:t>法定代表人或授权代理人(签字或盖章)：</w:t>
      </w:r>
    </w:p>
    <w:p>
      <w:pPr>
        <w:ind w:firstLine="3045" w:firstLineChars="1450"/>
        <w:rPr>
          <w:rFonts w:ascii="宋体" w:hAnsi="宋体"/>
          <w:highlight w:val="none"/>
        </w:rPr>
      </w:pPr>
      <w:r>
        <w:rPr>
          <w:rFonts w:hint="eastAsia" w:ascii="宋体" w:hAnsi="宋体"/>
          <w:highlight w:val="none"/>
        </w:rPr>
        <w:t>日   期：    年    月    日</w:t>
      </w:r>
    </w:p>
    <w:p>
      <w:pPr>
        <w:ind w:firstLine="168" w:firstLineChars="80"/>
        <w:rPr>
          <w:rFonts w:ascii="宋体" w:hAnsi="宋体"/>
          <w:highlight w:val="none"/>
        </w:rPr>
      </w:pPr>
      <w:r>
        <w:rPr>
          <w:rFonts w:hint="eastAsia" w:ascii="宋体" w:hAnsi="宋体"/>
          <w:highlight w:val="none"/>
        </w:rPr>
        <w:br w:type="page"/>
      </w:r>
      <w:r>
        <w:rPr>
          <w:rFonts w:hint="eastAsia" w:ascii="宋体" w:hAnsi="宋体"/>
          <w:highlight w:val="none"/>
        </w:rPr>
        <w:t>3.主要项目管理及技术人员简历表</w:t>
      </w:r>
    </w:p>
    <w:p>
      <w:pPr>
        <w:rPr>
          <w:rFonts w:ascii="宋体" w:hAnsi="宋体"/>
          <w:highlight w:val="none"/>
        </w:rPr>
      </w:pPr>
    </w:p>
    <w:tbl>
      <w:tblPr>
        <w:tblStyle w:val="16"/>
        <w:tblpPr w:leftFromText="180" w:rightFromText="180" w:vertAnchor="text" w:tblpX="-206" w:tblpY="76"/>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519"/>
        <w:gridCol w:w="77"/>
        <w:gridCol w:w="1442"/>
        <w:gridCol w:w="16"/>
        <w:gridCol w:w="547"/>
        <w:gridCol w:w="955"/>
        <w:gridCol w:w="111"/>
        <w:gridCol w:w="1340"/>
        <w:gridCol w:w="68"/>
        <w:gridCol w:w="1327"/>
        <w:gridCol w:w="191"/>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60" w:hRule="atLeast"/>
        </w:trPr>
        <w:tc>
          <w:tcPr>
            <w:tcW w:w="15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szCs w:val="24"/>
                <w:highlight w:val="none"/>
              </w:rPr>
            </w:pPr>
            <w:r>
              <w:rPr>
                <w:rFonts w:hint="eastAsia"/>
                <w:sz w:val="24"/>
                <w:szCs w:val="24"/>
                <w:highlight w:val="none"/>
              </w:rPr>
              <w:t>姓名</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highlight w:val="none"/>
              </w:rPr>
            </w:pPr>
          </w:p>
        </w:tc>
        <w:tc>
          <w:tcPr>
            <w:tcW w:w="106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szCs w:val="24"/>
                <w:highlight w:val="none"/>
              </w:rPr>
            </w:pPr>
            <w:r>
              <w:rPr>
                <w:rFonts w:hint="eastAsia"/>
                <w:sz w:val="24"/>
                <w:szCs w:val="24"/>
                <w:highlight w:val="none"/>
              </w:rPr>
              <w:t>性别</w:t>
            </w:r>
          </w:p>
        </w:tc>
        <w:tc>
          <w:tcPr>
            <w:tcW w:w="13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highlight w:val="none"/>
              </w:rPr>
            </w:pPr>
          </w:p>
        </w:tc>
        <w:tc>
          <w:tcPr>
            <w:tcW w:w="139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szCs w:val="24"/>
                <w:highlight w:val="none"/>
              </w:rPr>
            </w:pPr>
            <w:r>
              <w:rPr>
                <w:rFonts w:hint="eastAsia"/>
                <w:sz w:val="24"/>
                <w:szCs w:val="24"/>
                <w:highlight w:val="none"/>
              </w:rPr>
              <w:t>年龄</w:t>
            </w:r>
          </w:p>
        </w:tc>
        <w:tc>
          <w:tcPr>
            <w:tcW w:w="171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60" w:hRule="atLeast"/>
        </w:trPr>
        <w:tc>
          <w:tcPr>
            <w:tcW w:w="15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szCs w:val="24"/>
                <w:highlight w:val="none"/>
              </w:rPr>
            </w:pPr>
            <w:r>
              <w:rPr>
                <w:rFonts w:hint="eastAsia"/>
                <w:sz w:val="24"/>
                <w:szCs w:val="24"/>
                <w:highlight w:val="none"/>
              </w:rPr>
              <w:t>职务</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highlight w:val="none"/>
              </w:rPr>
            </w:pPr>
          </w:p>
        </w:tc>
        <w:tc>
          <w:tcPr>
            <w:tcW w:w="106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szCs w:val="24"/>
                <w:highlight w:val="none"/>
              </w:rPr>
            </w:pPr>
            <w:r>
              <w:rPr>
                <w:rFonts w:hint="eastAsia"/>
                <w:sz w:val="24"/>
                <w:szCs w:val="24"/>
                <w:highlight w:val="none"/>
              </w:rPr>
              <w:t>职称</w:t>
            </w:r>
          </w:p>
        </w:tc>
        <w:tc>
          <w:tcPr>
            <w:tcW w:w="13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highlight w:val="none"/>
              </w:rPr>
            </w:pPr>
          </w:p>
        </w:tc>
        <w:tc>
          <w:tcPr>
            <w:tcW w:w="139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szCs w:val="24"/>
                <w:highlight w:val="none"/>
              </w:rPr>
            </w:pPr>
            <w:r>
              <w:rPr>
                <w:rFonts w:hint="eastAsia"/>
                <w:sz w:val="24"/>
                <w:szCs w:val="24"/>
                <w:highlight w:val="none"/>
              </w:rPr>
              <w:t>学历</w:t>
            </w:r>
          </w:p>
        </w:tc>
        <w:tc>
          <w:tcPr>
            <w:tcW w:w="171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60" w:hRule="atLeast"/>
        </w:trPr>
        <w:tc>
          <w:tcPr>
            <w:tcW w:w="3054"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szCs w:val="24"/>
                <w:highlight w:val="none"/>
              </w:rPr>
            </w:pPr>
            <w:r>
              <w:rPr>
                <w:rFonts w:hint="eastAsia"/>
                <w:sz w:val="24"/>
                <w:szCs w:val="24"/>
                <w:highlight w:val="none"/>
              </w:rPr>
              <w:t>参加工作时间</w:t>
            </w:r>
          </w:p>
        </w:tc>
        <w:tc>
          <w:tcPr>
            <w:tcW w:w="161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highlight w:val="none"/>
              </w:rPr>
            </w:pPr>
          </w:p>
        </w:tc>
        <w:tc>
          <w:tcPr>
            <w:tcW w:w="273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highlight w:val="none"/>
              </w:rPr>
            </w:pPr>
            <w:r>
              <w:rPr>
                <w:rFonts w:hint="eastAsia" w:ascii="宋体" w:hAnsi="宋体"/>
                <w:kern w:val="2"/>
                <w:highlight w:val="none"/>
              </w:rPr>
              <w:t>担任相应职务年限</w:t>
            </w:r>
          </w:p>
        </w:tc>
        <w:tc>
          <w:tcPr>
            <w:tcW w:w="171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60" w:hRule="atLeast"/>
        </w:trPr>
        <w:tc>
          <w:tcPr>
            <w:tcW w:w="3054"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szCs w:val="24"/>
                <w:highlight w:val="none"/>
              </w:rPr>
            </w:pPr>
            <w:r>
              <w:rPr>
                <w:rFonts w:hint="eastAsia"/>
                <w:sz w:val="24"/>
                <w:szCs w:val="24"/>
                <w:highlight w:val="none"/>
              </w:rPr>
              <w:t>资格证书号</w:t>
            </w:r>
          </w:p>
        </w:tc>
        <w:tc>
          <w:tcPr>
            <w:tcW w:w="6062"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60" w:hRule="atLeast"/>
        </w:trPr>
        <w:tc>
          <w:tcPr>
            <w:tcW w:w="9116" w:type="dxa"/>
            <w:gridSpan w:val="1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highlight w:val="none"/>
              </w:rPr>
            </w:pPr>
            <w:r>
              <w:rPr>
                <w:rFonts w:hint="eastAsia" w:ascii="宋体" w:hAnsi="宋体"/>
                <w:kern w:val="2"/>
                <w:highlight w:val="none"/>
              </w:rPr>
              <w:t>业绩简介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60" w:hRule="atLeast"/>
        </w:trPr>
        <w:tc>
          <w:tcPr>
            <w:tcW w:w="15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szCs w:val="24"/>
                <w:highlight w:val="none"/>
              </w:rPr>
            </w:pPr>
            <w:r>
              <w:rPr>
                <w:rFonts w:hint="eastAsia"/>
                <w:sz w:val="24"/>
                <w:szCs w:val="24"/>
                <w:highlight w:val="none"/>
              </w:rPr>
              <w:t>建设单位</w:t>
            </w:r>
          </w:p>
        </w:tc>
        <w:tc>
          <w:tcPr>
            <w:tcW w:w="151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szCs w:val="24"/>
                <w:highlight w:val="none"/>
              </w:rPr>
            </w:pPr>
            <w:r>
              <w:rPr>
                <w:rFonts w:hint="eastAsia"/>
                <w:sz w:val="24"/>
                <w:szCs w:val="24"/>
                <w:highlight w:val="none"/>
              </w:rPr>
              <w:t>项目名称</w:t>
            </w:r>
          </w:p>
        </w:tc>
        <w:tc>
          <w:tcPr>
            <w:tcW w:w="151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szCs w:val="24"/>
                <w:highlight w:val="none"/>
              </w:rPr>
            </w:pPr>
            <w:r>
              <w:rPr>
                <w:rFonts w:hint="eastAsia"/>
                <w:sz w:val="24"/>
                <w:szCs w:val="24"/>
                <w:highlight w:val="none"/>
              </w:rPr>
              <w:t>建设规模</w:t>
            </w:r>
          </w:p>
        </w:tc>
        <w:tc>
          <w:tcPr>
            <w:tcW w:w="151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szCs w:val="24"/>
                <w:highlight w:val="none"/>
              </w:rPr>
            </w:pPr>
            <w:r>
              <w:rPr>
                <w:rFonts w:hint="eastAsia"/>
                <w:sz w:val="24"/>
                <w:szCs w:val="24"/>
                <w:highlight w:val="none"/>
              </w:rPr>
              <w:t>开、竣工日期</w:t>
            </w:r>
          </w:p>
        </w:tc>
        <w:tc>
          <w:tcPr>
            <w:tcW w:w="151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szCs w:val="24"/>
                <w:highlight w:val="none"/>
              </w:rPr>
            </w:pPr>
            <w:r>
              <w:rPr>
                <w:rFonts w:hint="eastAsia"/>
                <w:sz w:val="24"/>
                <w:szCs w:val="24"/>
                <w:highlight w:val="none"/>
              </w:rPr>
              <w:t>在建或已完</w:t>
            </w:r>
          </w:p>
        </w:tc>
        <w:tc>
          <w:tcPr>
            <w:tcW w:w="15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szCs w:val="24"/>
                <w:highlight w:val="none"/>
              </w:rPr>
            </w:pPr>
            <w:r>
              <w:rPr>
                <w:rFonts w:hint="eastAsia"/>
                <w:sz w:val="24"/>
                <w:szCs w:val="24"/>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60" w:hRule="atLeast"/>
        </w:trPr>
        <w:tc>
          <w:tcPr>
            <w:tcW w:w="15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highlight w:val="none"/>
              </w:rPr>
            </w:pPr>
          </w:p>
        </w:tc>
        <w:tc>
          <w:tcPr>
            <w:tcW w:w="151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highlight w:val="none"/>
              </w:rPr>
            </w:pPr>
          </w:p>
        </w:tc>
        <w:tc>
          <w:tcPr>
            <w:tcW w:w="151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highlight w:val="none"/>
              </w:rPr>
            </w:pPr>
          </w:p>
        </w:tc>
        <w:tc>
          <w:tcPr>
            <w:tcW w:w="151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highlight w:val="none"/>
              </w:rPr>
            </w:pPr>
          </w:p>
        </w:tc>
        <w:tc>
          <w:tcPr>
            <w:tcW w:w="151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highlight w:val="none"/>
              </w:rPr>
            </w:pPr>
          </w:p>
        </w:tc>
        <w:tc>
          <w:tcPr>
            <w:tcW w:w="15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60" w:hRule="atLeast"/>
        </w:trPr>
        <w:tc>
          <w:tcPr>
            <w:tcW w:w="15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highlight w:val="none"/>
              </w:rPr>
            </w:pPr>
          </w:p>
        </w:tc>
        <w:tc>
          <w:tcPr>
            <w:tcW w:w="151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highlight w:val="none"/>
              </w:rPr>
            </w:pPr>
          </w:p>
        </w:tc>
        <w:tc>
          <w:tcPr>
            <w:tcW w:w="151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highlight w:val="none"/>
              </w:rPr>
            </w:pPr>
          </w:p>
        </w:tc>
        <w:tc>
          <w:tcPr>
            <w:tcW w:w="151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highlight w:val="none"/>
              </w:rPr>
            </w:pPr>
          </w:p>
        </w:tc>
        <w:tc>
          <w:tcPr>
            <w:tcW w:w="151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highlight w:val="none"/>
              </w:rPr>
            </w:pPr>
          </w:p>
        </w:tc>
        <w:tc>
          <w:tcPr>
            <w:tcW w:w="15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60" w:hRule="atLeast"/>
        </w:trPr>
        <w:tc>
          <w:tcPr>
            <w:tcW w:w="15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highlight w:val="none"/>
              </w:rPr>
            </w:pPr>
          </w:p>
        </w:tc>
        <w:tc>
          <w:tcPr>
            <w:tcW w:w="151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highlight w:val="none"/>
              </w:rPr>
            </w:pPr>
          </w:p>
        </w:tc>
        <w:tc>
          <w:tcPr>
            <w:tcW w:w="151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highlight w:val="none"/>
              </w:rPr>
            </w:pPr>
          </w:p>
        </w:tc>
        <w:tc>
          <w:tcPr>
            <w:tcW w:w="151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highlight w:val="none"/>
              </w:rPr>
            </w:pPr>
          </w:p>
        </w:tc>
        <w:tc>
          <w:tcPr>
            <w:tcW w:w="151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highlight w:val="none"/>
              </w:rPr>
            </w:pPr>
          </w:p>
        </w:tc>
        <w:tc>
          <w:tcPr>
            <w:tcW w:w="15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highlight w:val="none"/>
              </w:rPr>
            </w:pPr>
          </w:p>
        </w:tc>
      </w:tr>
    </w:tbl>
    <w:p>
      <w:pPr>
        <w:ind w:firstLine="158" w:firstLineChars="80"/>
        <w:rPr>
          <w:rFonts w:ascii="宋体" w:hAnsi="宋体"/>
          <w:spacing w:val="-6"/>
          <w:szCs w:val="21"/>
          <w:highlight w:val="none"/>
        </w:rPr>
      </w:pPr>
      <w:r>
        <w:rPr>
          <w:rFonts w:hint="eastAsia" w:ascii="宋体" w:hAnsi="宋体"/>
          <w:spacing w:val="-6"/>
          <w:szCs w:val="21"/>
          <w:highlight w:val="none"/>
        </w:rPr>
        <w:t>注：表后附相关证明材料（包括但不限于</w:t>
      </w:r>
      <w:r>
        <w:rPr>
          <w:rFonts w:hint="eastAsia" w:ascii="宋体" w:hAnsi="宋体"/>
          <w:spacing w:val="-6"/>
          <w:szCs w:val="21"/>
          <w:highlight w:val="none"/>
          <w:lang w:val="en-US" w:eastAsia="zh-CN"/>
        </w:rPr>
        <w:t>身份证、注册证、职称证、</w:t>
      </w:r>
      <w:r>
        <w:rPr>
          <w:rFonts w:hint="eastAsia" w:ascii="宋体" w:hAnsi="宋体"/>
          <w:spacing w:val="-6"/>
          <w:szCs w:val="21"/>
          <w:highlight w:val="none"/>
        </w:rPr>
        <w:t>人员社保</w:t>
      </w:r>
      <w:r>
        <w:rPr>
          <w:rFonts w:hint="eastAsia" w:ascii="宋体" w:hAnsi="宋体"/>
          <w:spacing w:val="-6"/>
          <w:szCs w:val="21"/>
          <w:highlight w:val="none"/>
          <w:lang w:eastAsia="zh-CN"/>
        </w:rPr>
        <w:t>（</w:t>
      </w:r>
      <w:r>
        <w:rPr>
          <w:rFonts w:hint="eastAsia" w:ascii="宋体" w:hAnsi="宋体"/>
          <w:spacing w:val="-6"/>
          <w:szCs w:val="21"/>
          <w:highlight w:val="none"/>
          <w:lang w:val="en-US" w:eastAsia="zh-CN"/>
        </w:rPr>
        <w:t>2023年9月</w:t>
      </w:r>
      <w:r>
        <w:rPr>
          <w:rFonts w:hint="eastAsia" w:ascii="宋体" w:hAnsi="宋体"/>
          <w:spacing w:val="-6"/>
          <w:szCs w:val="21"/>
          <w:highlight w:val="none"/>
          <w:lang w:eastAsia="zh-CN"/>
        </w:rPr>
        <w:t>）</w:t>
      </w:r>
      <w:r>
        <w:rPr>
          <w:rFonts w:hint="eastAsia" w:ascii="宋体" w:hAnsi="宋体"/>
          <w:spacing w:val="-6"/>
          <w:szCs w:val="21"/>
          <w:highlight w:val="none"/>
        </w:rPr>
        <w:t>等）。</w:t>
      </w:r>
    </w:p>
    <w:p>
      <w:pPr>
        <w:ind w:firstLine="496"/>
        <w:rPr>
          <w:rFonts w:ascii="宋体" w:hAnsi="宋体"/>
          <w:highlight w:val="none"/>
        </w:rPr>
      </w:pPr>
    </w:p>
    <w:p>
      <w:pPr>
        <w:ind w:firstLine="496"/>
        <w:rPr>
          <w:rFonts w:ascii="宋体" w:hAnsi="宋体"/>
          <w:highlight w:val="none"/>
        </w:rPr>
      </w:pPr>
    </w:p>
    <w:p>
      <w:pPr>
        <w:ind w:firstLine="3045" w:firstLineChars="1450"/>
        <w:rPr>
          <w:rFonts w:ascii="宋体" w:hAnsi="宋体"/>
          <w:highlight w:val="none"/>
        </w:rPr>
      </w:pPr>
      <w:r>
        <w:rPr>
          <w:rFonts w:hint="eastAsia" w:ascii="宋体" w:hAnsi="宋体"/>
          <w:highlight w:val="none"/>
        </w:rPr>
        <w:t>投标人：　　（盖章）</w:t>
      </w:r>
    </w:p>
    <w:p>
      <w:pPr>
        <w:ind w:firstLine="3045" w:firstLineChars="1450"/>
        <w:rPr>
          <w:rFonts w:ascii="宋体" w:hAnsi="宋体"/>
          <w:highlight w:val="none"/>
        </w:rPr>
      </w:pPr>
      <w:r>
        <w:rPr>
          <w:rFonts w:hint="eastAsia" w:ascii="宋体" w:hAnsi="宋体"/>
          <w:highlight w:val="none"/>
        </w:rPr>
        <w:t>法定代表人或授权代理人(签字或盖章)：</w:t>
      </w:r>
    </w:p>
    <w:p>
      <w:pPr>
        <w:ind w:firstLine="3045" w:firstLineChars="1450"/>
        <w:rPr>
          <w:rFonts w:ascii="宋体" w:hAnsi="宋体"/>
          <w:highlight w:val="none"/>
        </w:rPr>
      </w:pPr>
      <w:r>
        <w:rPr>
          <w:rFonts w:hint="eastAsia" w:ascii="宋体" w:hAnsi="宋体"/>
          <w:highlight w:val="none"/>
        </w:rPr>
        <w:t xml:space="preserve">日   期：    年    月    日 </w:t>
      </w:r>
    </w:p>
    <w:p>
      <w:pPr>
        <w:ind w:firstLine="168" w:firstLineChars="80"/>
        <w:rPr>
          <w:rFonts w:ascii="宋体" w:hAnsi="宋体"/>
          <w:highlight w:val="none"/>
        </w:rPr>
      </w:pPr>
    </w:p>
    <w:p>
      <w:pPr>
        <w:ind w:firstLine="168" w:firstLineChars="80"/>
        <w:rPr>
          <w:rFonts w:ascii="宋体" w:hAnsi="宋体"/>
          <w:highlight w:val="none"/>
        </w:rPr>
      </w:pPr>
      <w:r>
        <w:rPr>
          <w:rFonts w:hint="eastAsia" w:ascii="宋体" w:hAnsi="宋体"/>
          <w:highlight w:val="none"/>
        </w:rPr>
        <w:br w:type="page"/>
      </w:r>
      <w:r>
        <w:rPr>
          <w:rFonts w:hint="eastAsia" w:ascii="宋体" w:hAnsi="宋体"/>
          <w:highlight w:val="none"/>
        </w:rPr>
        <w:t>4业绩表</w:t>
      </w:r>
    </w:p>
    <w:tbl>
      <w:tblPr>
        <w:tblStyle w:val="16"/>
        <w:tblW w:w="92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698"/>
        <w:gridCol w:w="1988"/>
        <w:gridCol w:w="2552"/>
        <w:gridCol w:w="1569"/>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trHeight w:val="523" w:hRule="atLeast"/>
          <w:jc w:val="center"/>
        </w:trPr>
        <w:tc>
          <w:tcPr>
            <w:tcW w:w="16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r>
              <w:rPr>
                <w:rFonts w:hint="eastAsia"/>
                <w:highlight w:val="none"/>
              </w:rPr>
              <w:t>序号</w:t>
            </w:r>
          </w:p>
        </w:tc>
        <w:tc>
          <w:tcPr>
            <w:tcW w:w="1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r>
              <w:rPr>
                <w:rFonts w:hint="eastAsia"/>
                <w:highlight w:val="none"/>
              </w:rPr>
              <w:t>项目名称</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r>
              <w:rPr>
                <w:rFonts w:hint="eastAsia"/>
                <w:highlight w:val="none"/>
              </w:rPr>
              <w:t>规模</w:t>
            </w:r>
          </w:p>
        </w:tc>
        <w:tc>
          <w:tcPr>
            <w:tcW w:w="1569"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highlight w:val="none"/>
                <w:lang w:eastAsia="zh-CN"/>
              </w:rPr>
            </w:pPr>
            <w:r>
              <w:rPr>
                <w:rFonts w:hint="eastAsia"/>
                <w:highlight w:val="none"/>
              </w:rPr>
              <w:t>合同签署时间</w:t>
            </w:r>
            <w:r>
              <w:rPr>
                <w:rFonts w:hint="eastAsia"/>
                <w:highlight w:val="none"/>
                <w:lang w:eastAsia="zh-CN"/>
              </w:rPr>
              <w:t>（</w:t>
            </w:r>
            <w:r>
              <w:rPr>
                <w:rFonts w:hint="eastAsia"/>
                <w:highlight w:val="none"/>
                <w:lang w:val="en-US" w:eastAsia="zh-CN"/>
              </w:rPr>
              <w:t>设计业绩</w:t>
            </w:r>
            <w:r>
              <w:rPr>
                <w:rFonts w:hint="eastAsia"/>
                <w:highlight w:val="none"/>
                <w:lang w:eastAsia="zh-CN"/>
              </w:rPr>
              <w:t>）</w:t>
            </w:r>
          </w:p>
        </w:tc>
        <w:tc>
          <w:tcPr>
            <w:tcW w:w="14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ighlight w:val="none"/>
              </w:rPr>
            </w:pPr>
            <w:r>
              <w:rPr>
                <w:rFonts w:hint="eastAsia"/>
                <w:highlight w:val="none"/>
              </w:rPr>
              <w:t>竣工时间</w:t>
            </w:r>
          </w:p>
          <w:p>
            <w:pPr>
              <w:spacing w:line="360" w:lineRule="auto"/>
              <w:jc w:val="center"/>
              <w:rPr>
                <w:rFonts w:hint="eastAsia" w:eastAsia="宋体"/>
                <w:highlight w:val="none"/>
                <w:lang w:eastAsia="zh-CN"/>
              </w:rPr>
            </w:pPr>
            <w:r>
              <w:rPr>
                <w:rFonts w:hint="eastAsia"/>
                <w:highlight w:val="none"/>
                <w:lang w:eastAsia="zh-CN"/>
              </w:rPr>
              <w:t>（</w:t>
            </w:r>
            <w:r>
              <w:rPr>
                <w:rFonts w:hint="eastAsia"/>
                <w:highlight w:val="none"/>
                <w:lang w:val="en-US" w:eastAsia="zh-CN"/>
              </w:rPr>
              <w:t>施工业绩</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16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5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16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5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16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5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16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5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16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5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16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5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16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5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16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5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16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5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jc w:val="center"/>
        </w:trPr>
        <w:tc>
          <w:tcPr>
            <w:tcW w:w="16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5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jc w:val="center"/>
        </w:trPr>
        <w:tc>
          <w:tcPr>
            <w:tcW w:w="16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5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jc w:val="center"/>
        </w:trPr>
        <w:tc>
          <w:tcPr>
            <w:tcW w:w="16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5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16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5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16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5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16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5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16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5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tc>
      </w:tr>
    </w:tbl>
    <w:p>
      <w:pPr>
        <w:spacing w:line="360" w:lineRule="auto"/>
        <w:rPr>
          <w:highlight w:val="none"/>
        </w:rPr>
      </w:pPr>
      <w:r>
        <w:rPr>
          <w:rFonts w:hint="eastAsia"/>
          <w:highlight w:val="none"/>
        </w:rPr>
        <w:t>注：1、如无同类工程业绩的，在项目栏中填写“无”，并需提交。</w:t>
      </w:r>
    </w:p>
    <w:p>
      <w:pPr>
        <w:spacing w:line="360" w:lineRule="auto"/>
        <w:rPr>
          <w:highlight w:val="none"/>
        </w:rPr>
      </w:pPr>
      <w:r>
        <w:rPr>
          <w:highlight w:val="none"/>
        </w:rPr>
        <w:t>2</w:t>
      </w:r>
      <w:r>
        <w:rPr>
          <w:rFonts w:hint="eastAsia"/>
          <w:highlight w:val="none"/>
        </w:rPr>
        <w:t>、</w:t>
      </w:r>
      <w:r>
        <w:rPr>
          <w:rFonts w:hint="eastAsia"/>
          <w:spacing w:val="-6"/>
          <w:highlight w:val="none"/>
        </w:rPr>
        <w:t>表后附</w:t>
      </w:r>
      <w:r>
        <w:rPr>
          <w:rFonts w:hint="eastAsia"/>
          <w:highlight w:val="none"/>
        </w:rPr>
        <w:t>投标人类似工程业绩</w:t>
      </w:r>
      <w:r>
        <w:rPr>
          <w:rFonts w:hint="eastAsia"/>
          <w:spacing w:val="-6"/>
          <w:highlight w:val="none"/>
        </w:rPr>
        <w:t>相关证明材料。</w:t>
      </w:r>
    </w:p>
    <w:p>
      <w:pPr>
        <w:spacing w:line="360" w:lineRule="auto"/>
        <w:rPr>
          <w:highlight w:val="none"/>
        </w:rPr>
      </w:pPr>
    </w:p>
    <w:p>
      <w:pPr>
        <w:ind w:firstLine="3045" w:firstLineChars="1450"/>
        <w:rPr>
          <w:rFonts w:ascii="宋体" w:hAnsi="宋体"/>
          <w:highlight w:val="none"/>
        </w:rPr>
      </w:pPr>
      <w:r>
        <w:rPr>
          <w:rFonts w:hint="eastAsia" w:ascii="宋体" w:hAnsi="宋体"/>
          <w:highlight w:val="none"/>
        </w:rPr>
        <w:t>投标人：　　（盖章）</w:t>
      </w:r>
    </w:p>
    <w:p>
      <w:pPr>
        <w:ind w:firstLine="3045" w:firstLineChars="1450"/>
        <w:rPr>
          <w:rFonts w:ascii="宋体" w:hAnsi="宋体"/>
          <w:highlight w:val="none"/>
        </w:rPr>
      </w:pPr>
      <w:r>
        <w:rPr>
          <w:rFonts w:hint="eastAsia" w:ascii="宋体" w:hAnsi="宋体"/>
          <w:highlight w:val="none"/>
        </w:rPr>
        <w:t>法定代表人或授权代理人(签字或盖章)：</w:t>
      </w:r>
    </w:p>
    <w:p>
      <w:pPr>
        <w:ind w:firstLine="3045" w:firstLineChars="1450"/>
        <w:rPr>
          <w:rFonts w:ascii="宋体" w:hAnsi="宋体"/>
          <w:highlight w:val="none"/>
        </w:rPr>
      </w:pPr>
      <w:r>
        <w:rPr>
          <w:rFonts w:hint="eastAsia" w:ascii="宋体" w:hAnsi="宋体"/>
          <w:highlight w:val="none"/>
        </w:rPr>
        <w:t xml:space="preserve">日   期：    年    月    日 </w:t>
      </w:r>
    </w:p>
    <w:p>
      <w:pPr>
        <w:tabs>
          <w:tab w:val="left" w:pos="7655"/>
        </w:tabs>
        <w:spacing w:line="360" w:lineRule="auto"/>
        <w:ind w:right="492"/>
        <w:jc w:val="right"/>
        <w:rPr>
          <w:rFonts w:ascii="宋体" w:hAnsi="宋体" w:cs="宋体"/>
          <w:spacing w:val="18"/>
          <w:kern w:val="1"/>
          <w:sz w:val="24"/>
          <w:highlight w:val="none"/>
          <w:lang w:val="zh-CN"/>
        </w:rPr>
      </w:pPr>
      <w:r>
        <w:rPr>
          <w:rFonts w:hint="eastAsia" w:ascii="宋体" w:hAnsi="宋体"/>
          <w:highlight w:val="none"/>
        </w:rPr>
        <w:br w:type="page"/>
      </w:r>
    </w:p>
    <w:p>
      <w:pPr>
        <w:rPr>
          <w:rFonts w:ascii="宋体" w:hAnsi="宋体"/>
          <w:highlight w:val="none"/>
        </w:rPr>
      </w:pPr>
      <w:r>
        <w:rPr>
          <w:rFonts w:hint="eastAsia" w:ascii="宋体" w:hAnsi="宋体"/>
          <w:highlight w:val="none"/>
          <w:lang w:val="en-US" w:eastAsia="zh-CN"/>
        </w:rPr>
        <w:t>5</w:t>
      </w:r>
      <w:r>
        <w:rPr>
          <w:rFonts w:hint="eastAsia" w:ascii="宋体" w:hAnsi="宋体"/>
          <w:highlight w:val="none"/>
        </w:rPr>
        <w:t>.</w:t>
      </w:r>
    </w:p>
    <w:p>
      <w:pPr>
        <w:autoSpaceDE w:val="0"/>
        <w:autoSpaceDN w:val="0"/>
        <w:adjustRightInd w:val="0"/>
        <w:spacing w:line="360" w:lineRule="auto"/>
        <w:jc w:val="center"/>
        <w:rPr>
          <w:rFonts w:ascii="宋体" w:hAnsi="宋体" w:cs="宋体"/>
          <w:b/>
          <w:bCs/>
          <w:sz w:val="36"/>
          <w:szCs w:val="36"/>
          <w:highlight w:val="none"/>
          <w:lang w:val="zh-CN"/>
        </w:rPr>
      </w:pPr>
      <w:r>
        <w:rPr>
          <w:rFonts w:hint="eastAsia" w:ascii="宋体" w:hAnsi="宋体" w:cs="宋体"/>
          <w:b/>
          <w:bCs/>
          <w:sz w:val="36"/>
          <w:szCs w:val="36"/>
          <w:highlight w:val="none"/>
          <w:lang w:val="zh-CN"/>
        </w:rPr>
        <w:t>企业承建工程获奖情况</w:t>
      </w:r>
    </w:p>
    <w:tbl>
      <w:tblPr>
        <w:tblStyle w:val="16"/>
        <w:tblW w:w="90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11"/>
        <w:gridCol w:w="1475"/>
        <w:gridCol w:w="1146"/>
        <w:gridCol w:w="1216"/>
        <w:gridCol w:w="1375"/>
        <w:gridCol w:w="1488"/>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20" w:hRule="atLeast"/>
          <w:jc w:val="center"/>
        </w:trPr>
        <w:tc>
          <w:tcPr>
            <w:tcW w:w="1111"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r>
              <w:rPr>
                <w:rFonts w:hint="eastAsia" w:ascii="宋体" w:hAnsi="宋体"/>
                <w:highlight w:val="none"/>
              </w:rPr>
              <w:t>项目名称</w:t>
            </w:r>
          </w:p>
        </w:tc>
        <w:tc>
          <w:tcPr>
            <w:tcW w:w="147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r>
              <w:rPr>
                <w:rFonts w:hint="eastAsia" w:ascii="宋体" w:hAnsi="宋体"/>
                <w:highlight w:val="none"/>
              </w:rPr>
              <w:t>项目概况</w:t>
            </w:r>
          </w:p>
        </w:tc>
        <w:tc>
          <w:tcPr>
            <w:tcW w:w="1146"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r>
              <w:rPr>
                <w:rFonts w:hint="eastAsia" w:ascii="宋体" w:hAnsi="宋体"/>
                <w:highlight w:val="none"/>
                <w:lang w:val="en-US" w:eastAsia="zh-CN"/>
              </w:rPr>
              <w:t>建设</w:t>
            </w:r>
            <w:r>
              <w:rPr>
                <w:rFonts w:hint="eastAsia" w:ascii="宋体" w:hAnsi="宋体"/>
                <w:highlight w:val="none"/>
              </w:rPr>
              <w:t>单位</w:t>
            </w:r>
          </w:p>
        </w:tc>
        <w:tc>
          <w:tcPr>
            <w:tcW w:w="1216"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r>
              <w:rPr>
                <w:rFonts w:hint="eastAsia" w:ascii="宋体" w:hAnsi="宋体"/>
                <w:highlight w:val="none"/>
              </w:rPr>
              <w:t>完成情况</w:t>
            </w:r>
          </w:p>
        </w:tc>
        <w:tc>
          <w:tcPr>
            <w:tcW w:w="137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r>
              <w:rPr>
                <w:rFonts w:hint="eastAsia" w:ascii="宋体" w:hAnsi="宋体"/>
                <w:highlight w:val="none"/>
              </w:rPr>
              <w:t>颁发单位</w:t>
            </w:r>
          </w:p>
        </w:tc>
        <w:tc>
          <w:tcPr>
            <w:tcW w:w="148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r>
              <w:rPr>
                <w:rFonts w:hint="eastAsia" w:ascii="宋体" w:hAnsi="宋体"/>
                <w:highlight w:val="none"/>
              </w:rPr>
              <w:t>获奖奖项</w:t>
            </w:r>
          </w:p>
        </w:tc>
        <w:tc>
          <w:tcPr>
            <w:tcW w:w="1251"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r>
              <w:rPr>
                <w:rFonts w:hint="eastAsia" w:ascii="宋体" w:hAnsi="宋体"/>
                <w:highlight w:val="none"/>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17" w:hRule="atLeast"/>
          <w:jc w:val="center"/>
        </w:trPr>
        <w:tc>
          <w:tcPr>
            <w:tcW w:w="1111"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p>
        </w:tc>
        <w:tc>
          <w:tcPr>
            <w:tcW w:w="1216"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p>
        </w:tc>
        <w:tc>
          <w:tcPr>
            <w:tcW w:w="1375" w:type="dxa"/>
            <w:tcBorders>
              <w:top w:val="single" w:color="auto" w:sz="4" w:space="0"/>
              <w:left w:val="single" w:color="auto" w:sz="4" w:space="0"/>
              <w:bottom w:val="single" w:color="auto" w:sz="4" w:space="0"/>
              <w:right w:val="single" w:color="auto" w:sz="4" w:space="0"/>
            </w:tcBorders>
          </w:tcPr>
          <w:p>
            <w:pPr>
              <w:topLinePunct/>
              <w:spacing w:line="360" w:lineRule="auto"/>
              <w:jc w:val="center"/>
              <w:rPr>
                <w:rFonts w:ascii="宋体" w:hAnsi="宋体"/>
                <w:highlight w:val="none"/>
              </w:rPr>
            </w:pPr>
          </w:p>
        </w:tc>
        <w:tc>
          <w:tcPr>
            <w:tcW w:w="148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43" w:hRule="atLeast"/>
          <w:jc w:val="center"/>
        </w:trPr>
        <w:tc>
          <w:tcPr>
            <w:tcW w:w="1111"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p>
        </w:tc>
        <w:tc>
          <w:tcPr>
            <w:tcW w:w="1216"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p>
        </w:tc>
        <w:tc>
          <w:tcPr>
            <w:tcW w:w="1375" w:type="dxa"/>
            <w:tcBorders>
              <w:top w:val="single" w:color="auto" w:sz="4" w:space="0"/>
              <w:left w:val="single" w:color="auto" w:sz="4" w:space="0"/>
              <w:bottom w:val="single" w:color="auto" w:sz="4" w:space="0"/>
              <w:right w:val="single" w:color="auto" w:sz="4" w:space="0"/>
            </w:tcBorders>
          </w:tcPr>
          <w:p>
            <w:pPr>
              <w:topLinePunct/>
              <w:spacing w:line="360" w:lineRule="auto"/>
              <w:jc w:val="center"/>
              <w:rPr>
                <w:rFonts w:ascii="宋体" w:hAnsi="宋体"/>
                <w:highlight w:val="none"/>
              </w:rPr>
            </w:pPr>
          </w:p>
        </w:tc>
        <w:tc>
          <w:tcPr>
            <w:tcW w:w="148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21" w:hRule="atLeast"/>
          <w:jc w:val="center"/>
        </w:trPr>
        <w:tc>
          <w:tcPr>
            <w:tcW w:w="1111"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p>
        </w:tc>
        <w:tc>
          <w:tcPr>
            <w:tcW w:w="1216"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p>
        </w:tc>
        <w:tc>
          <w:tcPr>
            <w:tcW w:w="1375" w:type="dxa"/>
            <w:tcBorders>
              <w:top w:val="single" w:color="auto" w:sz="4" w:space="0"/>
              <w:left w:val="single" w:color="auto" w:sz="4" w:space="0"/>
              <w:bottom w:val="single" w:color="auto" w:sz="4" w:space="0"/>
              <w:right w:val="single" w:color="auto" w:sz="4" w:space="0"/>
            </w:tcBorders>
          </w:tcPr>
          <w:p>
            <w:pPr>
              <w:topLinePunct/>
              <w:spacing w:line="360" w:lineRule="auto"/>
              <w:jc w:val="center"/>
              <w:rPr>
                <w:rFonts w:ascii="宋体" w:hAnsi="宋体"/>
                <w:highlight w:val="none"/>
              </w:rPr>
            </w:pPr>
          </w:p>
        </w:tc>
        <w:tc>
          <w:tcPr>
            <w:tcW w:w="148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31" w:hRule="atLeast"/>
          <w:jc w:val="center"/>
        </w:trPr>
        <w:tc>
          <w:tcPr>
            <w:tcW w:w="1111"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p>
        </w:tc>
        <w:tc>
          <w:tcPr>
            <w:tcW w:w="1216"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p>
        </w:tc>
        <w:tc>
          <w:tcPr>
            <w:tcW w:w="1375" w:type="dxa"/>
            <w:tcBorders>
              <w:top w:val="single" w:color="auto" w:sz="4" w:space="0"/>
              <w:left w:val="single" w:color="auto" w:sz="4" w:space="0"/>
              <w:bottom w:val="single" w:color="auto" w:sz="4" w:space="0"/>
              <w:right w:val="single" w:color="auto" w:sz="4" w:space="0"/>
            </w:tcBorders>
          </w:tcPr>
          <w:p>
            <w:pPr>
              <w:topLinePunct/>
              <w:spacing w:line="360" w:lineRule="auto"/>
              <w:jc w:val="center"/>
              <w:rPr>
                <w:rFonts w:ascii="宋体" w:hAnsi="宋体"/>
                <w:highlight w:val="none"/>
              </w:rPr>
            </w:pPr>
          </w:p>
        </w:tc>
        <w:tc>
          <w:tcPr>
            <w:tcW w:w="148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27" w:hRule="atLeast"/>
          <w:jc w:val="center"/>
        </w:trPr>
        <w:tc>
          <w:tcPr>
            <w:tcW w:w="1111"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p>
        </w:tc>
        <w:tc>
          <w:tcPr>
            <w:tcW w:w="1216"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p>
        </w:tc>
        <w:tc>
          <w:tcPr>
            <w:tcW w:w="1375" w:type="dxa"/>
            <w:tcBorders>
              <w:top w:val="single" w:color="auto" w:sz="4" w:space="0"/>
              <w:left w:val="single" w:color="auto" w:sz="4" w:space="0"/>
              <w:bottom w:val="single" w:color="auto" w:sz="4" w:space="0"/>
              <w:right w:val="single" w:color="auto" w:sz="4" w:space="0"/>
            </w:tcBorders>
          </w:tcPr>
          <w:p>
            <w:pPr>
              <w:topLinePunct/>
              <w:spacing w:line="360" w:lineRule="auto"/>
              <w:jc w:val="center"/>
              <w:rPr>
                <w:rFonts w:ascii="宋体" w:hAnsi="宋体"/>
                <w:highlight w:val="none"/>
              </w:rPr>
            </w:pPr>
          </w:p>
        </w:tc>
        <w:tc>
          <w:tcPr>
            <w:tcW w:w="148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23" w:hRule="atLeast"/>
          <w:jc w:val="center"/>
        </w:trPr>
        <w:tc>
          <w:tcPr>
            <w:tcW w:w="1111"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p>
        </w:tc>
        <w:tc>
          <w:tcPr>
            <w:tcW w:w="1216"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p>
        </w:tc>
        <w:tc>
          <w:tcPr>
            <w:tcW w:w="1375" w:type="dxa"/>
            <w:tcBorders>
              <w:top w:val="single" w:color="auto" w:sz="4" w:space="0"/>
              <w:left w:val="single" w:color="auto" w:sz="4" w:space="0"/>
              <w:bottom w:val="single" w:color="auto" w:sz="4" w:space="0"/>
              <w:right w:val="single" w:color="auto" w:sz="4" w:space="0"/>
            </w:tcBorders>
          </w:tcPr>
          <w:p>
            <w:pPr>
              <w:topLinePunct/>
              <w:spacing w:line="360" w:lineRule="auto"/>
              <w:jc w:val="center"/>
              <w:rPr>
                <w:rFonts w:ascii="宋体" w:hAnsi="宋体"/>
                <w:highlight w:val="none"/>
              </w:rPr>
            </w:pPr>
          </w:p>
        </w:tc>
        <w:tc>
          <w:tcPr>
            <w:tcW w:w="148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20" w:hRule="atLeast"/>
          <w:jc w:val="center"/>
        </w:trPr>
        <w:tc>
          <w:tcPr>
            <w:tcW w:w="1111"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p>
        </w:tc>
        <w:tc>
          <w:tcPr>
            <w:tcW w:w="1216"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p>
        </w:tc>
        <w:tc>
          <w:tcPr>
            <w:tcW w:w="1375" w:type="dxa"/>
            <w:tcBorders>
              <w:top w:val="single" w:color="auto" w:sz="4" w:space="0"/>
              <w:left w:val="single" w:color="auto" w:sz="4" w:space="0"/>
              <w:bottom w:val="single" w:color="auto" w:sz="4" w:space="0"/>
              <w:right w:val="single" w:color="auto" w:sz="4" w:space="0"/>
            </w:tcBorders>
          </w:tcPr>
          <w:p>
            <w:pPr>
              <w:topLinePunct/>
              <w:spacing w:line="360" w:lineRule="auto"/>
              <w:jc w:val="center"/>
              <w:rPr>
                <w:rFonts w:ascii="宋体" w:hAnsi="宋体"/>
                <w:highlight w:val="none"/>
              </w:rPr>
            </w:pPr>
          </w:p>
        </w:tc>
        <w:tc>
          <w:tcPr>
            <w:tcW w:w="148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highlight w:val="none"/>
              </w:rPr>
            </w:pPr>
          </w:p>
        </w:tc>
      </w:tr>
    </w:tbl>
    <w:p>
      <w:pPr>
        <w:topLinePunct/>
        <w:spacing w:line="360" w:lineRule="auto"/>
        <w:jc w:val="left"/>
        <w:rPr>
          <w:rFonts w:ascii="宋体" w:hAnsi="宋体"/>
          <w:snapToGrid w:val="0"/>
          <w:spacing w:val="4"/>
          <w:szCs w:val="21"/>
          <w:highlight w:val="none"/>
        </w:rPr>
      </w:pPr>
      <w:r>
        <w:rPr>
          <w:rFonts w:hint="eastAsia" w:ascii="宋体" w:hAnsi="宋体"/>
          <w:snapToGrid w:val="0"/>
          <w:spacing w:val="4"/>
          <w:szCs w:val="21"/>
          <w:highlight w:val="none"/>
        </w:rPr>
        <w:t>注：表后附相关证明材料。</w:t>
      </w:r>
    </w:p>
    <w:p>
      <w:pPr>
        <w:ind w:firstLine="168" w:firstLineChars="80"/>
        <w:rPr>
          <w:rFonts w:ascii="宋体" w:hAnsi="宋体"/>
          <w:highlight w:val="none"/>
        </w:rPr>
      </w:pPr>
    </w:p>
    <w:p>
      <w:pPr>
        <w:ind w:firstLine="168" w:firstLineChars="80"/>
        <w:rPr>
          <w:rFonts w:ascii="宋体" w:hAnsi="宋体"/>
          <w:highlight w:val="none"/>
        </w:rPr>
      </w:pPr>
    </w:p>
    <w:p>
      <w:pPr>
        <w:ind w:firstLine="3045" w:firstLineChars="1450"/>
        <w:rPr>
          <w:rFonts w:ascii="宋体" w:hAnsi="宋体"/>
          <w:highlight w:val="none"/>
        </w:rPr>
      </w:pPr>
      <w:r>
        <w:rPr>
          <w:rFonts w:hint="eastAsia" w:ascii="宋体" w:hAnsi="宋体"/>
          <w:highlight w:val="none"/>
        </w:rPr>
        <w:t>投标人：　　（盖章）</w:t>
      </w:r>
    </w:p>
    <w:p>
      <w:pPr>
        <w:ind w:firstLine="3045" w:firstLineChars="1450"/>
        <w:rPr>
          <w:rFonts w:ascii="宋体" w:hAnsi="宋体"/>
          <w:highlight w:val="none"/>
        </w:rPr>
      </w:pPr>
      <w:r>
        <w:rPr>
          <w:rFonts w:hint="eastAsia" w:ascii="宋体" w:hAnsi="宋体"/>
          <w:highlight w:val="none"/>
        </w:rPr>
        <w:t>法定代表人或授权代理人(签字或盖章)：</w:t>
      </w:r>
    </w:p>
    <w:p>
      <w:pPr>
        <w:ind w:firstLine="3045" w:firstLineChars="1450"/>
        <w:rPr>
          <w:rFonts w:ascii="宋体" w:hAnsi="宋体"/>
          <w:highlight w:val="none"/>
        </w:rPr>
      </w:pPr>
      <w:r>
        <w:rPr>
          <w:rFonts w:hint="eastAsia" w:ascii="宋体" w:hAnsi="宋体"/>
          <w:highlight w:val="none"/>
        </w:rPr>
        <w:t>日   期：    年    月    日</w:t>
      </w:r>
    </w:p>
    <w:p>
      <w:pPr>
        <w:ind w:firstLine="158" w:firstLineChars="80"/>
        <w:rPr>
          <w:rFonts w:ascii="宋体" w:hAnsi="宋体"/>
          <w:spacing w:val="-6"/>
          <w:szCs w:val="21"/>
          <w:highlight w:val="none"/>
        </w:rPr>
      </w:pPr>
    </w:p>
    <w:p>
      <w:pPr>
        <w:ind w:firstLine="158" w:firstLineChars="80"/>
        <w:rPr>
          <w:rFonts w:ascii="宋体" w:hAnsi="宋体"/>
          <w:spacing w:val="-6"/>
          <w:szCs w:val="21"/>
          <w:highlight w:val="none"/>
        </w:rPr>
      </w:pPr>
    </w:p>
    <w:p>
      <w:pPr>
        <w:ind w:firstLine="158" w:firstLineChars="80"/>
        <w:rPr>
          <w:rFonts w:ascii="宋体" w:hAnsi="宋体"/>
          <w:spacing w:val="-6"/>
          <w:szCs w:val="21"/>
          <w:highlight w:val="none"/>
        </w:rPr>
      </w:pPr>
    </w:p>
    <w:p>
      <w:pPr>
        <w:ind w:firstLine="158" w:firstLineChars="80"/>
        <w:rPr>
          <w:rFonts w:ascii="宋体" w:hAnsi="宋体"/>
          <w:spacing w:val="-6"/>
          <w:szCs w:val="21"/>
          <w:highlight w:val="none"/>
        </w:rPr>
      </w:pPr>
    </w:p>
    <w:p>
      <w:pPr>
        <w:pStyle w:val="17"/>
        <w:rPr>
          <w:rFonts w:ascii="宋体" w:hAnsi="宋体"/>
          <w:spacing w:val="-6"/>
          <w:szCs w:val="21"/>
          <w:highlight w:val="none"/>
        </w:rPr>
      </w:pPr>
    </w:p>
    <w:p>
      <w:pPr>
        <w:pStyle w:val="17"/>
        <w:rPr>
          <w:rFonts w:ascii="宋体" w:hAnsi="宋体"/>
          <w:spacing w:val="-6"/>
          <w:szCs w:val="21"/>
          <w:highlight w:val="none"/>
        </w:rPr>
      </w:pPr>
    </w:p>
    <w:p>
      <w:pPr>
        <w:pStyle w:val="17"/>
        <w:rPr>
          <w:rFonts w:ascii="宋体" w:hAnsi="宋体"/>
          <w:spacing w:val="-6"/>
          <w:szCs w:val="21"/>
          <w:highlight w:val="none"/>
        </w:rPr>
      </w:pPr>
    </w:p>
    <w:p>
      <w:pPr>
        <w:pStyle w:val="17"/>
        <w:rPr>
          <w:rFonts w:ascii="宋体" w:hAnsi="宋体"/>
          <w:spacing w:val="-6"/>
          <w:szCs w:val="21"/>
          <w:highlight w:val="none"/>
        </w:rPr>
      </w:pPr>
    </w:p>
    <w:p>
      <w:pPr>
        <w:pStyle w:val="17"/>
        <w:rPr>
          <w:rFonts w:ascii="宋体" w:hAnsi="宋体"/>
          <w:spacing w:val="-6"/>
          <w:szCs w:val="21"/>
          <w:highlight w:val="none"/>
        </w:rPr>
      </w:pPr>
    </w:p>
    <w:p>
      <w:pPr>
        <w:ind w:firstLine="158" w:firstLineChars="80"/>
        <w:rPr>
          <w:rFonts w:ascii="宋体" w:hAnsi="宋体"/>
          <w:spacing w:val="-6"/>
          <w:szCs w:val="21"/>
          <w:highlight w:val="none"/>
        </w:rPr>
      </w:pPr>
    </w:p>
    <w:p>
      <w:pPr>
        <w:ind w:firstLine="158" w:firstLineChars="80"/>
        <w:rPr>
          <w:rFonts w:ascii="宋体" w:hAnsi="宋体"/>
          <w:spacing w:val="-6"/>
          <w:szCs w:val="21"/>
          <w:highlight w:val="none"/>
        </w:rPr>
      </w:pPr>
    </w:p>
    <w:p>
      <w:pPr>
        <w:spacing w:line="360" w:lineRule="auto"/>
        <w:jc w:val="left"/>
        <w:rPr>
          <w:rFonts w:ascii="宋体" w:hAnsi="宋体"/>
          <w:highlight w:val="none"/>
        </w:rPr>
      </w:pPr>
      <w:bookmarkStart w:id="1126" w:name="_Toc9724"/>
      <w:bookmarkStart w:id="1127" w:name="_Toc50453132"/>
      <w:bookmarkStart w:id="1128" w:name="_Toc26871"/>
      <w:bookmarkStart w:id="1129" w:name="_Toc7829"/>
      <w:bookmarkStart w:id="1130" w:name="_Toc6902"/>
      <w:bookmarkStart w:id="1131" w:name="_Toc8984"/>
      <w:bookmarkStart w:id="1132" w:name="_Toc7799"/>
      <w:bookmarkStart w:id="1133" w:name="_Toc15234"/>
      <w:bookmarkStart w:id="1134" w:name="_Toc19854"/>
      <w:bookmarkStart w:id="1135" w:name="_Toc51288279"/>
      <w:bookmarkStart w:id="1136" w:name="_Toc26933"/>
      <w:bookmarkStart w:id="1137" w:name="_Toc11707"/>
      <w:bookmarkStart w:id="1138" w:name="_Toc33695125"/>
      <w:r>
        <w:rPr>
          <w:rFonts w:hint="eastAsia" w:ascii="宋体" w:hAnsi="宋体"/>
          <w:highlight w:val="none"/>
        </w:rPr>
        <w:t>格式</w:t>
      </w:r>
      <w:r>
        <w:rPr>
          <w:rFonts w:hint="eastAsia" w:ascii="宋体" w:hAnsi="宋体"/>
          <w:highlight w:val="none"/>
          <w:lang w:eastAsia="zh-CN"/>
        </w:rPr>
        <w:t>八</w:t>
      </w:r>
      <w:r>
        <w:rPr>
          <w:rFonts w:hint="eastAsia" w:ascii="宋体" w:hAnsi="宋体"/>
          <w:sz w:val="24"/>
          <w:highlight w:val="none"/>
        </w:rPr>
        <w:t>：</w:t>
      </w:r>
      <w:bookmarkEnd w:id="1126"/>
      <w:bookmarkEnd w:id="1127"/>
      <w:bookmarkEnd w:id="1128"/>
      <w:bookmarkEnd w:id="1129"/>
      <w:bookmarkEnd w:id="1130"/>
      <w:bookmarkEnd w:id="1131"/>
      <w:bookmarkEnd w:id="1132"/>
      <w:bookmarkEnd w:id="1133"/>
      <w:bookmarkEnd w:id="1134"/>
      <w:bookmarkEnd w:id="1135"/>
      <w:bookmarkEnd w:id="1136"/>
      <w:bookmarkEnd w:id="1137"/>
      <w:bookmarkEnd w:id="1138"/>
    </w:p>
    <w:p>
      <w:pPr>
        <w:ind w:firstLine="643"/>
        <w:jc w:val="center"/>
        <w:rPr>
          <w:rFonts w:ascii="Arial" w:hAnsi="Arial" w:eastAsia="黑体"/>
          <w:b/>
          <w:bCs/>
          <w:sz w:val="32"/>
          <w:szCs w:val="32"/>
          <w:highlight w:val="none"/>
        </w:rPr>
      </w:pPr>
      <w:bookmarkStart w:id="1139" w:name="_Toc504465867"/>
      <w:bookmarkStart w:id="1140" w:name="_Toc33695126"/>
      <w:r>
        <w:rPr>
          <w:rFonts w:hint="eastAsia" w:ascii="Arial" w:hAnsi="Arial" w:eastAsia="黑体"/>
          <w:b/>
          <w:bCs/>
          <w:sz w:val="32"/>
          <w:szCs w:val="32"/>
          <w:highlight w:val="none"/>
        </w:rPr>
        <w:t>工程总承包实施方案</w:t>
      </w:r>
    </w:p>
    <w:bookmarkEnd w:id="1139"/>
    <w:bookmarkEnd w:id="1140"/>
    <w:p>
      <w:pPr>
        <w:ind w:firstLine="496"/>
        <w:rPr>
          <w:highlight w:val="none"/>
        </w:rPr>
      </w:pPr>
      <w:r>
        <w:rPr>
          <w:rFonts w:hint="eastAsia"/>
          <w:highlight w:val="none"/>
        </w:rPr>
        <w:t>由投标人有针对性的描述，各部分文字直接简炼，不得出现大量宣传性及无实质性意义或直接引用范本照搬照套的文字。</w:t>
      </w:r>
    </w:p>
    <w:p>
      <w:pPr>
        <w:spacing w:line="336" w:lineRule="auto"/>
        <w:ind w:firstLine="496"/>
        <w:rPr>
          <w:highlight w:val="none"/>
        </w:rPr>
      </w:pPr>
      <w:r>
        <w:rPr>
          <w:rFonts w:hint="eastAsia"/>
          <w:highlight w:val="none"/>
        </w:rPr>
        <w:t>一、按照《工程总承包实施方案实施方案投标文件有效性审查表》评审内容提交，格式自拟</w:t>
      </w:r>
    </w:p>
    <w:p>
      <w:pPr>
        <w:spacing w:line="336" w:lineRule="auto"/>
        <w:ind w:firstLine="498"/>
        <w:rPr>
          <w:b/>
          <w:bCs/>
          <w:highlight w:val="none"/>
        </w:rPr>
      </w:pPr>
      <w:r>
        <w:rPr>
          <w:rFonts w:hint="eastAsia"/>
          <w:b/>
          <w:bCs/>
          <w:highlight w:val="none"/>
        </w:rPr>
        <w:t>二、资源供应保障计划</w:t>
      </w:r>
    </w:p>
    <w:p>
      <w:pPr>
        <w:spacing w:line="312" w:lineRule="auto"/>
        <w:ind w:firstLine="496"/>
        <w:rPr>
          <w:highlight w:val="none"/>
        </w:rPr>
      </w:pPr>
      <w:r>
        <w:rPr>
          <w:rFonts w:hint="eastAsia"/>
          <w:highlight w:val="none"/>
        </w:rPr>
        <w:t>1、设计和施工进度计划（附表</w:t>
      </w:r>
      <w:r>
        <w:rPr>
          <w:highlight w:val="none"/>
        </w:rPr>
        <w:t>1</w:t>
      </w:r>
      <w:r>
        <w:rPr>
          <w:rFonts w:hint="eastAsia"/>
          <w:highlight w:val="none"/>
        </w:rPr>
        <w:t>）</w:t>
      </w:r>
    </w:p>
    <w:p>
      <w:pPr>
        <w:spacing w:line="312" w:lineRule="auto"/>
        <w:ind w:firstLine="496"/>
        <w:rPr>
          <w:highlight w:val="none"/>
        </w:rPr>
      </w:pPr>
      <w:r>
        <w:rPr>
          <w:rFonts w:hint="eastAsia"/>
          <w:highlight w:val="none"/>
        </w:rPr>
        <w:t>2、劳动力需求计划（附表</w:t>
      </w:r>
      <w:r>
        <w:rPr>
          <w:highlight w:val="none"/>
        </w:rPr>
        <w:t>2</w:t>
      </w:r>
      <w:r>
        <w:rPr>
          <w:rFonts w:hint="eastAsia"/>
          <w:highlight w:val="none"/>
        </w:rPr>
        <w:t>）；</w:t>
      </w:r>
    </w:p>
    <w:p>
      <w:pPr>
        <w:spacing w:line="312" w:lineRule="auto"/>
        <w:ind w:firstLine="496"/>
        <w:rPr>
          <w:highlight w:val="none"/>
        </w:rPr>
      </w:pPr>
      <w:r>
        <w:rPr>
          <w:rFonts w:hint="eastAsia"/>
          <w:highlight w:val="none"/>
        </w:rPr>
        <w:t>3、主要材料设备采购计划（附表</w:t>
      </w:r>
      <w:r>
        <w:rPr>
          <w:highlight w:val="none"/>
        </w:rPr>
        <w:t>3</w:t>
      </w:r>
      <w:r>
        <w:rPr>
          <w:rFonts w:hint="eastAsia"/>
          <w:highlight w:val="none"/>
        </w:rPr>
        <w:t>）；</w:t>
      </w:r>
    </w:p>
    <w:p>
      <w:pPr>
        <w:spacing w:line="312" w:lineRule="auto"/>
        <w:ind w:firstLine="496"/>
        <w:rPr>
          <w:highlight w:val="none"/>
        </w:rPr>
      </w:pPr>
      <w:r>
        <w:rPr>
          <w:rFonts w:hint="eastAsia"/>
          <w:highlight w:val="none"/>
        </w:rPr>
        <w:t>4、机械设备投入、使用计划（附表</w:t>
      </w:r>
      <w:r>
        <w:rPr>
          <w:highlight w:val="none"/>
        </w:rPr>
        <w:t>4</w:t>
      </w:r>
      <w:r>
        <w:rPr>
          <w:rFonts w:hint="eastAsia"/>
          <w:highlight w:val="none"/>
        </w:rPr>
        <w:t>）；</w:t>
      </w:r>
    </w:p>
    <w:p>
      <w:pPr>
        <w:spacing w:line="312" w:lineRule="auto"/>
        <w:ind w:firstLine="496"/>
        <w:rPr>
          <w:highlight w:val="none"/>
        </w:rPr>
      </w:pPr>
      <w:r>
        <w:rPr>
          <w:rFonts w:hint="eastAsia"/>
          <w:highlight w:val="none"/>
        </w:rPr>
        <w:t>5、资金使用计划（附表</w:t>
      </w:r>
      <w:r>
        <w:rPr>
          <w:highlight w:val="none"/>
        </w:rPr>
        <w:t>5</w:t>
      </w:r>
      <w:r>
        <w:rPr>
          <w:rFonts w:hint="eastAsia"/>
          <w:highlight w:val="none"/>
        </w:rPr>
        <w:t>）；</w:t>
      </w:r>
    </w:p>
    <w:p>
      <w:pPr>
        <w:spacing w:line="312" w:lineRule="auto"/>
        <w:ind w:firstLine="496"/>
        <w:rPr>
          <w:highlight w:val="none"/>
        </w:rPr>
      </w:pPr>
      <w:r>
        <w:rPr>
          <w:rFonts w:hint="eastAsia"/>
          <w:highlight w:val="none"/>
        </w:rPr>
        <w:t>6、材料设备供应保障措施；</w:t>
      </w:r>
    </w:p>
    <w:p>
      <w:pPr>
        <w:spacing w:line="312" w:lineRule="auto"/>
        <w:ind w:firstLine="498"/>
        <w:rPr>
          <w:b/>
          <w:bCs/>
          <w:highlight w:val="none"/>
        </w:rPr>
      </w:pPr>
      <w:r>
        <w:rPr>
          <w:rFonts w:hint="eastAsia"/>
          <w:b/>
          <w:bCs/>
          <w:highlight w:val="none"/>
        </w:rPr>
        <w:t>三、设计施工管理方案</w:t>
      </w:r>
    </w:p>
    <w:p>
      <w:pPr>
        <w:spacing w:line="312" w:lineRule="auto"/>
        <w:ind w:firstLine="496"/>
        <w:rPr>
          <w:rFonts w:ascii="Calibri" w:hAnsi="Calibri"/>
          <w:highlight w:val="none"/>
        </w:rPr>
      </w:pPr>
      <w:r>
        <w:rPr>
          <w:rFonts w:hint="eastAsia"/>
          <w:highlight w:val="none"/>
        </w:rPr>
        <w:t>1、</w:t>
      </w:r>
      <w:r>
        <w:rPr>
          <w:rFonts w:hint="eastAsia" w:ascii="Calibri" w:hAnsi="Calibri"/>
          <w:highlight w:val="none"/>
        </w:rPr>
        <w:t>设计和施工的融合措施</w:t>
      </w:r>
    </w:p>
    <w:p>
      <w:pPr>
        <w:spacing w:line="312" w:lineRule="auto"/>
        <w:ind w:firstLine="496"/>
        <w:rPr>
          <w:rFonts w:ascii="Calibri" w:hAnsi="Calibri"/>
          <w:highlight w:val="none"/>
        </w:rPr>
      </w:pPr>
      <w:r>
        <w:rPr>
          <w:rFonts w:hint="eastAsia" w:ascii="Calibri" w:hAnsi="Calibri"/>
          <w:highlight w:val="none"/>
        </w:rPr>
        <w:t>2、绿色节能控制措施</w:t>
      </w:r>
    </w:p>
    <w:p>
      <w:pPr>
        <w:spacing w:line="312" w:lineRule="auto"/>
        <w:ind w:firstLine="496"/>
        <w:rPr>
          <w:rFonts w:ascii="Calibri" w:hAnsi="Calibri"/>
          <w:highlight w:val="none"/>
        </w:rPr>
      </w:pPr>
      <w:r>
        <w:rPr>
          <w:rFonts w:hint="eastAsia" w:ascii="Calibri" w:hAnsi="Calibri"/>
          <w:highlight w:val="none"/>
        </w:rPr>
        <w:t>3、安全控制措施</w:t>
      </w:r>
    </w:p>
    <w:p>
      <w:pPr>
        <w:spacing w:line="312" w:lineRule="auto"/>
        <w:ind w:firstLine="496"/>
        <w:rPr>
          <w:rFonts w:ascii="Calibri" w:hAnsi="Calibri"/>
          <w:highlight w:val="none"/>
        </w:rPr>
      </w:pPr>
      <w:r>
        <w:rPr>
          <w:rFonts w:hint="eastAsia" w:ascii="Calibri" w:hAnsi="Calibri"/>
          <w:highlight w:val="none"/>
        </w:rPr>
        <w:t>4、质量控制措施</w:t>
      </w:r>
    </w:p>
    <w:p>
      <w:pPr>
        <w:spacing w:line="312" w:lineRule="auto"/>
        <w:ind w:firstLine="496"/>
        <w:rPr>
          <w:rFonts w:ascii="Calibri" w:hAnsi="Calibri"/>
          <w:highlight w:val="none"/>
        </w:rPr>
      </w:pPr>
      <w:r>
        <w:rPr>
          <w:rFonts w:hint="eastAsia" w:ascii="Calibri" w:hAnsi="Calibri"/>
          <w:highlight w:val="none"/>
        </w:rPr>
        <w:t>5、进度控制措施</w:t>
      </w:r>
    </w:p>
    <w:p>
      <w:pPr>
        <w:spacing w:line="312" w:lineRule="auto"/>
        <w:ind w:firstLine="496"/>
        <w:rPr>
          <w:rFonts w:ascii="Calibri" w:hAnsi="Calibri"/>
          <w:highlight w:val="none"/>
        </w:rPr>
      </w:pPr>
      <w:r>
        <w:rPr>
          <w:rFonts w:hint="eastAsia" w:ascii="Calibri" w:hAnsi="Calibri"/>
          <w:highlight w:val="none"/>
        </w:rPr>
        <w:t>6、项目管理机构人员配备</w:t>
      </w:r>
    </w:p>
    <w:p>
      <w:pPr>
        <w:ind w:firstLine="496"/>
        <w:rPr>
          <w:rFonts w:ascii="Calibri" w:hAnsi="Calibri"/>
          <w:highlight w:val="none"/>
        </w:rPr>
      </w:pPr>
    </w:p>
    <w:p>
      <w:pPr>
        <w:ind w:firstLine="3045" w:firstLineChars="1450"/>
        <w:rPr>
          <w:highlight w:val="none"/>
        </w:rPr>
      </w:pPr>
      <w:r>
        <w:rPr>
          <w:rFonts w:hint="eastAsia"/>
          <w:highlight w:val="none"/>
        </w:rPr>
        <w:t>投标人：　　（盖章）</w:t>
      </w:r>
    </w:p>
    <w:p>
      <w:pPr>
        <w:ind w:firstLine="3045" w:firstLineChars="1450"/>
        <w:rPr>
          <w:highlight w:val="none"/>
        </w:rPr>
      </w:pPr>
      <w:r>
        <w:rPr>
          <w:rFonts w:hint="eastAsia"/>
          <w:highlight w:val="none"/>
        </w:rPr>
        <w:t>法定代表人或授权代理人</w:t>
      </w:r>
      <w:r>
        <w:rPr>
          <w:highlight w:val="none"/>
        </w:rPr>
        <w:t>(</w:t>
      </w:r>
      <w:r>
        <w:rPr>
          <w:rFonts w:hint="eastAsia"/>
          <w:highlight w:val="none"/>
        </w:rPr>
        <w:t>签字或盖章</w:t>
      </w:r>
      <w:r>
        <w:rPr>
          <w:highlight w:val="none"/>
        </w:rPr>
        <w:t>)</w:t>
      </w:r>
      <w:r>
        <w:rPr>
          <w:rFonts w:hint="eastAsia"/>
          <w:highlight w:val="none"/>
        </w:rPr>
        <w:t>：</w:t>
      </w:r>
    </w:p>
    <w:p>
      <w:pPr>
        <w:ind w:firstLine="3309" w:firstLineChars="1576"/>
        <w:rPr>
          <w:rFonts w:ascii="宋体" w:hAnsi="宋体"/>
          <w:spacing w:val="-6"/>
          <w:szCs w:val="21"/>
          <w:highlight w:val="none"/>
        </w:rPr>
      </w:pPr>
      <w:r>
        <w:rPr>
          <w:rFonts w:hint="eastAsia"/>
          <w:highlight w:val="none"/>
        </w:rPr>
        <w:t>日</w:t>
      </w:r>
      <w:r>
        <w:rPr>
          <w:highlight w:val="none"/>
        </w:rPr>
        <w:t xml:space="preserve">   </w:t>
      </w:r>
      <w:r>
        <w:rPr>
          <w:rFonts w:hint="eastAsia"/>
          <w:highlight w:val="none"/>
        </w:rPr>
        <w:t>期：</w:t>
      </w:r>
      <w:r>
        <w:rPr>
          <w:highlight w:val="none"/>
        </w:rPr>
        <w:t xml:space="preserve">    </w:t>
      </w:r>
      <w:r>
        <w:rPr>
          <w:rFonts w:hint="eastAsia"/>
          <w:highlight w:val="none"/>
        </w:rPr>
        <w:t>年</w:t>
      </w:r>
      <w:r>
        <w:rPr>
          <w:highlight w:val="none"/>
        </w:rPr>
        <w:t xml:space="preserve">     </w:t>
      </w:r>
      <w:r>
        <w:rPr>
          <w:rFonts w:hint="eastAsia"/>
          <w:highlight w:val="none"/>
        </w:rPr>
        <w:t>月</w:t>
      </w:r>
      <w:r>
        <w:rPr>
          <w:highlight w:val="none"/>
        </w:rPr>
        <w:t xml:space="preserve">    </w:t>
      </w:r>
      <w:r>
        <w:rPr>
          <w:rFonts w:hint="eastAsia"/>
          <w:highlight w:val="none"/>
        </w:rPr>
        <w:t>日</w:t>
      </w:r>
    </w:p>
    <w:p>
      <w:pPr>
        <w:jc w:val="left"/>
        <w:rPr>
          <w:rFonts w:hint="eastAsia" w:ascii="宋体" w:hAnsi="宋体"/>
          <w:b/>
          <w:highlight w:val="none"/>
        </w:rPr>
      </w:pPr>
      <w:bookmarkStart w:id="1141" w:name="_Toc226209017"/>
      <w:bookmarkStart w:id="1142" w:name="_Toc239216045"/>
      <w:bookmarkStart w:id="1143" w:name="_Toc239311760"/>
      <w:bookmarkStart w:id="1144" w:name="_Toc163337634"/>
      <w:bookmarkStart w:id="1145" w:name="_Toc352240536"/>
      <w:bookmarkStart w:id="1146" w:name="_Toc318924509"/>
      <w:bookmarkStart w:id="1147" w:name="_Toc337720104"/>
      <w:bookmarkStart w:id="1148" w:name="_Toc319444835"/>
      <w:bookmarkStart w:id="1149" w:name="_Toc352623434"/>
      <w:bookmarkStart w:id="1150" w:name="_Toc318924505"/>
      <w:bookmarkStart w:id="1151" w:name="_Toc319444831"/>
      <w:bookmarkStart w:id="1152" w:name="_Toc239216041"/>
      <w:bookmarkStart w:id="1153" w:name="_Toc226209013"/>
      <w:bookmarkStart w:id="1154" w:name="_Toc239311756"/>
      <w:bookmarkStart w:id="1155" w:name="_Toc163337630"/>
    </w:p>
    <w:p>
      <w:pPr>
        <w:jc w:val="left"/>
        <w:rPr>
          <w:rFonts w:hint="eastAsia" w:ascii="宋体" w:hAnsi="宋体"/>
          <w:b/>
          <w:highlight w:val="none"/>
        </w:rPr>
      </w:pPr>
    </w:p>
    <w:p>
      <w:pPr>
        <w:jc w:val="left"/>
        <w:rPr>
          <w:rFonts w:hint="eastAsia" w:ascii="宋体" w:hAnsi="宋体"/>
          <w:b/>
          <w:highlight w:val="none"/>
        </w:rPr>
      </w:pPr>
    </w:p>
    <w:p>
      <w:pPr>
        <w:jc w:val="left"/>
        <w:rPr>
          <w:rFonts w:hint="eastAsia" w:ascii="宋体" w:hAnsi="宋体"/>
          <w:b/>
          <w:highlight w:val="none"/>
        </w:rPr>
      </w:pPr>
    </w:p>
    <w:p>
      <w:pPr>
        <w:jc w:val="left"/>
        <w:rPr>
          <w:rFonts w:hint="eastAsia" w:ascii="宋体" w:hAnsi="宋体"/>
          <w:b/>
          <w:highlight w:val="none"/>
        </w:rPr>
      </w:pPr>
    </w:p>
    <w:p>
      <w:pPr>
        <w:jc w:val="left"/>
        <w:rPr>
          <w:rFonts w:hint="eastAsia" w:ascii="宋体" w:hAnsi="宋体"/>
          <w:b/>
          <w:highlight w:val="none"/>
        </w:rPr>
      </w:pPr>
    </w:p>
    <w:p>
      <w:pPr>
        <w:jc w:val="left"/>
        <w:rPr>
          <w:rFonts w:hint="eastAsia" w:ascii="宋体" w:hAnsi="宋体"/>
          <w:b/>
          <w:highlight w:val="none"/>
        </w:rPr>
      </w:pPr>
    </w:p>
    <w:p>
      <w:pPr>
        <w:jc w:val="left"/>
        <w:rPr>
          <w:rFonts w:hint="eastAsia" w:ascii="宋体" w:hAnsi="宋体"/>
          <w:b/>
          <w:highlight w:val="none"/>
        </w:rPr>
      </w:pPr>
    </w:p>
    <w:p>
      <w:pPr>
        <w:jc w:val="left"/>
        <w:rPr>
          <w:rFonts w:hint="eastAsia" w:ascii="宋体" w:hAnsi="宋体"/>
          <w:b/>
          <w:highlight w:val="none"/>
        </w:rPr>
      </w:pPr>
    </w:p>
    <w:p>
      <w:pPr>
        <w:jc w:val="left"/>
        <w:rPr>
          <w:rFonts w:hint="eastAsia" w:ascii="宋体" w:hAnsi="宋体"/>
          <w:b/>
          <w:highlight w:val="none"/>
        </w:rPr>
      </w:pPr>
    </w:p>
    <w:p>
      <w:pPr>
        <w:jc w:val="left"/>
        <w:rPr>
          <w:rFonts w:hint="eastAsia" w:ascii="宋体" w:hAnsi="宋体"/>
          <w:b/>
          <w:highlight w:val="none"/>
        </w:rPr>
      </w:pPr>
    </w:p>
    <w:p>
      <w:pPr>
        <w:jc w:val="left"/>
        <w:rPr>
          <w:rFonts w:hint="eastAsia" w:ascii="宋体" w:hAnsi="宋体"/>
          <w:b/>
          <w:highlight w:val="none"/>
        </w:rPr>
      </w:pPr>
    </w:p>
    <w:p>
      <w:pPr>
        <w:jc w:val="left"/>
        <w:rPr>
          <w:rFonts w:hint="eastAsia" w:ascii="宋体" w:hAnsi="宋体"/>
          <w:b/>
          <w:highlight w:val="none"/>
        </w:rPr>
      </w:pPr>
    </w:p>
    <w:p>
      <w:pPr>
        <w:jc w:val="left"/>
        <w:rPr>
          <w:rFonts w:hint="eastAsia" w:ascii="宋体" w:hAnsi="宋体"/>
          <w:b/>
          <w:highlight w:val="none"/>
        </w:rPr>
      </w:pPr>
    </w:p>
    <w:p>
      <w:pPr>
        <w:jc w:val="left"/>
        <w:rPr>
          <w:rFonts w:hint="eastAsia" w:ascii="宋体" w:hAnsi="宋体"/>
          <w:b/>
          <w:highlight w:val="none"/>
        </w:rPr>
      </w:pPr>
    </w:p>
    <w:p>
      <w:pPr>
        <w:jc w:val="left"/>
        <w:rPr>
          <w:rFonts w:ascii="宋体" w:hAnsi="宋体"/>
          <w:b/>
          <w:highlight w:val="none"/>
        </w:rPr>
      </w:pPr>
      <w:r>
        <w:rPr>
          <w:rFonts w:hint="eastAsia" w:ascii="宋体" w:hAnsi="宋体"/>
          <w:b/>
          <w:highlight w:val="none"/>
        </w:rPr>
        <w:t>附表1：</w:t>
      </w:r>
      <w:bookmarkEnd w:id="1141"/>
      <w:bookmarkEnd w:id="1142"/>
      <w:bookmarkEnd w:id="1143"/>
      <w:bookmarkEnd w:id="1144"/>
      <w:bookmarkEnd w:id="1145"/>
      <w:bookmarkEnd w:id="1146"/>
      <w:bookmarkEnd w:id="1147"/>
      <w:bookmarkEnd w:id="1148"/>
      <w:bookmarkEnd w:id="1149"/>
    </w:p>
    <w:p>
      <w:pPr>
        <w:rPr>
          <w:highlight w:val="none"/>
        </w:rPr>
      </w:pPr>
      <w:r>
        <w:rPr>
          <w:rFonts w:hint="eastAsia"/>
          <w:highlight w:val="none"/>
        </w:rPr>
        <w:t>进度计划表</w:t>
      </w:r>
    </w:p>
    <w:tbl>
      <w:tblPr>
        <w:tblStyle w:val="16"/>
        <w:tblW w:w="935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63"/>
        <w:gridCol w:w="1361"/>
        <w:gridCol w:w="876"/>
        <w:gridCol w:w="720"/>
        <w:gridCol w:w="776"/>
        <w:gridCol w:w="540"/>
        <w:gridCol w:w="540"/>
        <w:gridCol w:w="540"/>
        <w:gridCol w:w="540"/>
        <w:gridCol w:w="540"/>
        <w:gridCol w:w="540"/>
        <w:gridCol w:w="54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trPr>
        <w:tc>
          <w:tcPr>
            <w:tcW w:w="763" w:type="dxa"/>
            <w:vMerge w:val="restart"/>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序号</w:t>
            </w:r>
          </w:p>
        </w:tc>
        <w:tc>
          <w:tcPr>
            <w:tcW w:w="1361" w:type="dxa"/>
            <w:vMerge w:val="restart"/>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工程项目</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工程量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开工时间</w:t>
            </w:r>
          </w:p>
        </w:tc>
        <w:tc>
          <w:tcPr>
            <w:tcW w:w="776" w:type="dxa"/>
            <w:vMerge w:val="restart"/>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完工时间</w:t>
            </w:r>
          </w:p>
        </w:tc>
        <w:tc>
          <w:tcPr>
            <w:tcW w:w="4860" w:type="dxa"/>
            <w:gridSpan w:val="9"/>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进度计划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trPr>
        <w:tc>
          <w:tcPr>
            <w:tcW w:w="7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highlight w:val="none"/>
              </w:rPr>
            </w:pPr>
          </w:p>
        </w:tc>
        <w:tc>
          <w:tcPr>
            <w:tcW w:w="13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highlight w:val="none"/>
              </w:rPr>
            </w:pP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highlight w:val="none"/>
              </w:rPr>
            </w:pPr>
          </w:p>
        </w:tc>
        <w:tc>
          <w:tcPr>
            <w:tcW w:w="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highlight w:val="none"/>
              </w:rPr>
            </w:pPr>
          </w:p>
        </w:tc>
        <w:tc>
          <w:tcPr>
            <w:tcW w:w="4860" w:type="dxa"/>
            <w:gridSpan w:val="9"/>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20</w:t>
            </w:r>
            <w:r>
              <w:rPr>
                <w:rFonts w:hint="eastAsia"/>
                <w:highlight w:val="none"/>
                <w:u w:val="single"/>
              </w:rPr>
              <w:t xml:space="preserve">   </w:t>
            </w:r>
            <w:r>
              <w:rPr>
                <w:rFonts w:hint="eastAsia"/>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trHeight w:val="443" w:hRule="atLeast"/>
        </w:trPr>
        <w:tc>
          <w:tcPr>
            <w:tcW w:w="7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highlight w:val="none"/>
              </w:rPr>
            </w:pPr>
          </w:p>
        </w:tc>
        <w:tc>
          <w:tcPr>
            <w:tcW w:w="13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highlight w:val="none"/>
              </w:rPr>
            </w:pP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highlight w:val="none"/>
              </w:rPr>
            </w:pPr>
          </w:p>
        </w:tc>
        <w:tc>
          <w:tcPr>
            <w:tcW w:w="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trHeight w:val="443" w:hRule="atLeas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1</w:t>
            </w:r>
          </w:p>
        </w:tc>
        <w:tc>
          <w:tcPr>
            <w:tcW w:w="1361" w:type="dxa"/>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r>
              <w:rPr>
                <w:rFonts w:hint="eastAsia"/>
                <w:sz w:val="18"/>
                <w:szCs w:val="18"/>
                <w:highlight w:val="none"/>
              </w:rPr>
              <w:t>初步设计</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highlight w:val="none"/>
              </w:rPr>
            </w:pPr>
          </w:p>
        </w:tc>
        <w:tc>
          <w:tcPr>
            <w:tcW w:w="77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trHeight w:val="443" w:hRule="atLeas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2</w:t>
            </w:r>
          </w:p>
        </w:tc>
        <w:tc>
          <w:tcPr>
            <w:tcW w:w="1361" w:type="dxa"/>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r>
              <w:rPr>
                <w:rFonts w:hint="eastAsia"/>
                <w:sz w:val="18"/>
                <w:szCs w:val="18"/>
                <w:highlight w:val="none"/>
              </w:rPr>
              <w:t>施工图设计</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highlight w:val="none"/>
              </w:rPr>
            </w:pPr>
          </w:p>
        </w:tc>
        <w:tc>
          <w:tcPr>
            <w:tcW w:w="77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trHeight w:val="443" w:hRule="atLeas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3</w:t>
            </w:r>
          </w:p>
        </w:tc>
        <w:tc>
          <w:tcPr>
            <w:tcW w:w="1361" w:type="dxa"/>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r>
              <w:rPr>
                <w:rFonts w:hint="eastAsia"/>
                <w:szCs w:val="24"/>
                <w:highlight w:val="none"/>
              </w:rPr>
              <w:t>……</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highlight w:val="none"/>
              </w:rPr>
            </w:pPr>
          </w:p>
        </w:tc>
        <w:tc>
          <w:tcPr>
            <w:tcW w:w="77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exac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4</w:t>
            </w:r>
          </w:p>
        </w:tc>
        <w:tc>
          <w:tcPr>
            <w:tcW w:w="1361" w:type="dxa"/>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r>
              <w:rPr>
                <w:rFonts w:hint="eastAsia"/>
                <w:sz w:val="18"/>
                <w:szCs w:val="18"/>
                <w:highlight w:val="none"/>
              </w:rPr>
              <w:t>施工准备</w:t>
            </w:r>
          </w:p>
        </w:tc>
        <w:tc>
          <w:tcPr>
            <w:tcW w:w="876"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776"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exac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5</w:t>
            </w:r>
          </w:p>
        </w:tc>
        <w:tc>
          <w:tcPr>
            <w:tcW w:w="1361" w:type="dxa"/>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r>
              <w:rPr>
                <w:rFonts w:hint="eastAsia"/>
                <w:sz w:val="18"/>
                <w:szCs w:val="18"/>
                <w:highlight w:val="none"/>
              </w:rPr>
              <w:t>……工程</w:t>
            </w:r>
          </w:p>
        </w:tc>
        <w:tc>
          <w:tcPr>
            <w:tcW w:w="876"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776"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exac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6</w:t>
            </w:r>
          </w:p>
        </w:tc>
        <w:tc>
          <w:tcPr>
            <w:tcW w:w="1361" w:type="dxa"/>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r>
              <w:rPr>
                <w:rFonts w:hint="eastAsia"/>
                <w:sz w:val="18"/>
                <w:szCs w:val="18"/>
                <w:highlight w:val="none"/>
              </w:rPr>
              <w:t>……工程</w:t>
            </w:r>
          </w:p>
        </w:tc>
        <w:tc>
          <w:tcPr>
            <w:tcW w:w="876"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776"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exac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7</w:t>
            </w:r>
          </w:p>
        </w:tc>
        <w:tc>
          <w:tcPr>
            <w:tcW w:w="1361" w:type="dxa"/>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r>
              <w:rPr>
                <w:rFonts w:hint="eastAsia"/>
                <w:sz w:val="18"/>
                <w:szCs w:val="18"/>
                <w:highlight w:val="none"/>
              </w:rPr>
              <w:t>……工程</w:t>
            </w:r>
          </w:p>
        </w:tc>
        <w:tc>
          <w:tcPr>
            <w:tcW w:w="876"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776"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exac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8</w:t>
            </w:r>
          </w:p>
        </w:tc>
        <w:tc>
          <w:tcPr>
            <w:tcW w:w="1361" w:type="dxa"/>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r>
              <w:rPr>
                <w:rFonts w:hint="eastAsia"/>
                <w:sz w:val="18"/>
                <w:szCs w:val="18"/>
                <w:highlight w:val="none"/>
              </w:rPr>
              <w:t>……工程</w:t>
            </w:r>
          </w:p>
        </w:tc>
        <w:tc>
          <w:tcPr>
            <w:tcW w:w="876"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776"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exac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9</w:t>
            </w:r>
          </w:p>
        </w:tc>
        <w:tc>
          <w:tcPr>
            <w:tcW w:w="1361" w:type="dxa"/>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r>
              <w:rPr>
                <w:rFonts w:hint="eastAsia"/>
                <w:sz w:val="18"/>
                <w:szCs w:val="18"/>
                <w:highlight w:val="none"/>
              </w:rPr>
              <w:t>……工程</w:t>
            </w:r>
          </w:p>
        </w:tc>
        <w:tc>
          <w:tcPr>
            <w:tcW w:w="876"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776"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exac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10</w:t>
            </w:r>
          </w:p>
        </w:tc>
        <w:tc>
          <w:tcPr>
            <w:tcW w:w="1361" w:type="dxa"/>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p>
        </w:tc>
        <w:tc>
          <w:tcPr>
            <w:tcW w:w="876"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776"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exac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11</w:t>
            </w:r>
          </w:p>
        </w:tc>
        <w:tc>
          <w:tcPr>
            <w:tcW w:w="1361" w:type="dxa"/>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p>
        </w:tc>
        <w:tc>
          <w:tcPr>
            <w:tcW w:w="876"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776"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exac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12</w:t>
            </w:r>
          </w:p>
        </w:tc>
        <w:tc>
          <w:tcPr>
            <w:tcW w:w="1361" w:type="dxa"/>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p>
        </w:tc>
        <w:tc>
          <w:tcPr>
            <w:tcW w:w="876"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776"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exac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13</w:t>
            </w:r>
          </w:p>
        </w:tc>
        <w:tc>
          <w:tcPr>
            <w:tcW w:w="1361" w:type="dxa"/>
            <w:tcBorders>
              <w:top w:val="single" w:color="auto" w:sz="4" w:space="0"/>
              <w:left w:val="single" w:color="auto" w:sz="4" w:space="0"/>
              <w:bottom w:val="single" w:color="auto" w:sz="4" w:space="0"/>
              <w:right w:val="single" w:color="auto" w:sz="4" w:space="0"/>
            </w:tcBorders>
            <w:vAlign w:val="center"/>
          </w:tcPr>
          <w:p>
            <w:pPr>
              <w:rPr>
                <w:sz w:val="18"/>
                <w:szCs w:val="18"/>
                <w:highlight w:val="none"/>
              </w:rPr>
            </w:pPr>
            <w:r>
              <w:rPr>
                <w:rFonts w:hint="eastAsia"/>
                <w:szCs w:val="24"/>
                <w:highlight w:val="none"/>
              </w:rPr>
              <w:t>……</w:t>
            </w:r>
          </w:p>
        </w:tc>
        <w:tc>
          <w:tcPr>
            <w:tcW w:w="876"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776"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rPr>
                <w:highlight w:val="none"/>
              </w:rPr>
            </w:pPr>
          </w:p>
        </w:tc>
      </w:tr>
    </w:tbl>
    <w:p>
      <w:pPr>
        <w:ind w:firstLine="496"/>
        <w:rPr>
          <w:highlight w:val="none"/>
        </w:rPr>
      </w:pPr>
    </w:p>
    <w:p>
      <w:pPr>
        <w:ind w:firstLine="496"/>
        <w:rPr>
          <w:highlight w:val="none"/>
        </w:rPr>
      </w:pPr>
    </w:p>
    <w:p>
      <w:pPr>
        <w:ind w:firstLine="3045" w:firstLineChars="1450"/>
        <w:rPr>
          <w:highlight w:val="none"/>
        </w:rPr>
      </w:pPr>
      <w:r>
        <w:rPr>
          <w:rFonts w:hint="eastAsia"/>
          <w:highlight w:val="none"/>
        </w:rPr>
        <w:t>投标人：　　（盖章）</w:t>
      </w:r>
    </w:p>
    <w:p>
      <w:pPr>
        <w:ind w:firstLine="3045" w:firstLineChars="1450"/>
        <w:rPr>
          <w:highlight w:val="none"/>
        </w:rPr>
      </w:pPr>
      <w:r>
        <w:rPr>
          <w:rFonts w:hint="eastAsia"/>
          <w:highlight w:val="none"/>
        </w:rPr>
        <w:t>法定代表人或授权代理人</w:t>
      </w:r>
      <w:r>
        <w:rPr>
          <w:highlight w:val="none"/>
        </w:rPr>
        <w:t>(</w:t>
      </w:r>
      <w:r>
        <w:rPr>
          <w:rFonts w:hint="eastAsia"/>
          <w:highlight w:val="none"/>
        </w:rPr>
        <w:t>签字或盖章</w:t>
      </w:r>
      <w:r>
        <w:rPr>
          <w:highlight w:val="none"/>
        </w:rPr>
        <w:t>)</w:t>
      </w:r>
      <w:r>
        <w:rPr>
          <w:rFonts w:hint="eastAsia"/>
          <w:highlight w:val="none"/>
        </w:rPr>
        <w:t>：</w:t>
      </w:r>
    </w:p>
    <w:p>
      <w:pPr>
        <w:ind w:firstLine="3045" w:firstLineChars="1450"/>
        <w:rPr>
          <w:highlight w:val="none"/>
        </w:rPr>
      </w:pPr>
      <w:r>
        <w:rPr>
          <w:rFonts w:hint="eastAsia"/>
          <w:highlight w:val="none"/>
        </w:rPr>
        <w:t>日</w:t>
      </w:r>
      <w:r>
        <w:rPr>
          <w:highlight w:val="none"/>
        </w:rPr>
        <w:t xml:space="preserve">   </w:t>
      </w:r>
      <w:r>
        <w:rPr>
          <w:rFonts w:hint="eastAsia"/>
          <w:highlight w:val="none"/>
        </w:rPr>
        <w:t>期：</w:t>
      </w:r>
      <w:r>
        <w:rPr>
          <w:highlight w:val="none"/>
        </w:rPr>
        <w:t xml:space="preserve">    </w:t>
      </w:r>
      <w:r>
        <w:rPr>
          <w:rFonts w:hint="eastAsia"/>
          <w:highlight w:val="none"/>
        </w:rPr>
        <w:t>年</w:t>
      </w:r>
      <w:r>
        <w:rPr>
          <w:highlight w:val="none"/>
        </w:rPr>
        <w:t xml:space="preserve">    </w:t>
      </w:r>
      <w:r>
        <w:rPr>
          <w:rFonts w:hint="eastAsia"/>
          <w:highlight w:val="none"/>
        </w:rPr>
        <w:t>月</w:t>
      </w:r>
      <w:r>
        <w:rPr>
          <w:highlight w:val="none"/>
        </w:rPr>
        <w:t xml:space="preserve">    </w:t>
      </w:r>
      <w:r>
        <w:rPr>
          <w:rFonts w:hint="eastAsia"/>
          <w:highlight w:val="none"/>
        </w:rPr>
        <w:t>日</w:t>
      </w:r>
      <w:r>
        <w:rPr>
          <w:highlight w:val="none"/>
        </w:rPr>
        <w:t xml:space="preserve"> </w:t>
      </w:r>
    </w:p>
    <w:p>
      <w:pPr>
        <w:ind w:firstLine="169" w:firstLineChars="80"/>
        <w:rPr>
          <w:rFonts w:ascii="宋体" w:hAnsi="宋体"/>
          <w:b/>
          <w:highlight w:val="none"/>
        </w:rPr>
      </w:pPr>
      <w:r>
        <w:rPr>
          <w:b/>
          <w:highlight w:val="none"/>
        </w:rPr>
        <w:br w:type="page"/>
      </w:r>
      <w:r>
        <w:rPr>
          <w:rFonts w:hint="eastAsia" w:ascii="宋体" w:hAnsi="宋体"/>
          <w:b/>
          <w:highlight w:val="none"/>
        </w:rPr>
        <w:t>附表2：</w:t>
      </w:r>
      <w:bookmarkEnd w:id="1150"/>
      <w:bookmarkEnd w:id="1151"/>
      <w:bookmarkEnd w:id="1152"/>
      <w:bookmarkEnd w:id="1153"/>
      <w:bookmarkEnd w:id="1154"/>
      <w:bookmarkEnd w:id="1155"/>
    </w:p>
    <w:p>
      <w:pPr>
        <w:rPr>
          <w:highlight w:val="none"/>
        </w:rPr>
      </w:pPr>
      <w:r>
        <w:rPr>
          <w:rFonts w:hint="eastAsia"/>
          <w:highlight w:val="none"/>
        </w:rPr>
        <w:t>投入劳动力计划表</w:t>
      </w:r>
    </w:p>
    <w:tbl>
      <w:tblPr>
        <w:tblStyle w:val="16"/>
        <w:tblW w:w="90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47"/>
        <w:gridCol w:w="689"/>
        <w:gridCol w:w="1377"/>
        <w:gridCol w:w="1087"/>
        <w:gridCol w:w="1089"/>
        <w:gridCol w:w="1087"/>
        <w:gridCol w:w="1088"/>
        <w:gridCol w:w="1088"/>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trHeight w:val="317" w:hRule="atLeast"/>
          <w:jc w:val="center"/>
        </w:trPr>
        <w:tc>
          <w:tcPr>
            <w:tcW w:w="447" w:type="dxa"/>
            <w:vMerge w:val="restart"/>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序号</w:t>
            </w:r>
          </w:p>
        </w:tc>
        <w:tc>
          <w:tcPr>
            <w:tcW w:w="689" w:type="dxa"/>
            <w:vMerge w:val="restart"/>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工种</w:t>
            </w:r>
          </w:p>
        </w:tc>
        <w:tc>
          <w:tcPr>
            <w:tcW w:w="1377" w:type="dxa"/>
            <w:vMerge w:val="restart"/>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投入总数量</w:t>
            </w:r>
          </w:p>
        </w:tc>
        <w:tc>
          <w:tcPr>
            <w:tcW w:w="6527" w:type="dxa"/>
            <w:gridSpan w:val="6"/>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进场计划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trHeight w:val="317" w:hRule="atLeast"/>
          <w:jc w:val="center"/>
        </w:trPr>
        <w:tc>
          <w:tcPr>
            <w:tcW w:w="4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highlight w:val="none"/>
              </w:rPr>
            </w:pPr>
          </w:p>
        </w:tc>
        <w:tc>
          <w:tcPr>
            <w:tcW w:w="6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highlight w:val="none"/>
              </w:rPr>
            </w:pPr>
          </w:p>
        </w:tc>
        <w:tc>
          <w:tcPr>
            <w:tcW w:w="13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highlight w:val="none"/>
              </w:rPr>
            </w:pPr>
          </w:p>
        </w:tc>
        <w:tc>
          <w:tcPr>
            <w:tcW w:w="6527" w:type="dxa"/>
            <w:gridSpan w:val="6"/>
            <w:tcBorders>
              <w:top w:val="single" w:color="auto" w:sz="4" w:space="0"/>
              <w:left w:val="single" w:color="auto" w:sz="4" w:space="0"/>
              <w:bottom w:val="nil"/>
              <w:right w:val="single" w:color="auto" w:sz="4" w:space="0"/>
            </w:tcBorders>
            <w:vAlign w:val="center"/>
          </w:tcPr>
          <w:p>
            <w:pPr>
              <w:jc w:val="center"/>
              <w:rPr>
                <w:highlight w:val="none"/>
              </w:rPr>
            </w:pPr>
            <w:r>
              <w:rPr>
                <w:rFonts w:hint="eastAsia"/>
                <w:highlight w:val="none"/>
              </w:rPr>
              <w:t>20</w:t>
            </w:r>
            <w:r>
              <w:rPr>
                <w:rFonts w:hint="eastAsia"/>
                <w:highlight w:val="none"/>
                <w:u w:val="single"/>
              </w:rPr>
              <w:t xml:space="preserve">    </w:t>
            </w:r>
            <w:r>
              <w:rPr>
                <w:rFonts w:hint="eastAsia"/>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trHeight w:val="317" w:hRule="atLeast"/>
          <w:jc w:val="center"/>
        </w:trPr>
        <w:tc>
          <w:tcPr>
            <w:tcW w:w="4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highlight w:val="none"/>
              </w:rPr>
            </w:pPr>
          </w:p>
        </w:tc>
        <w:tc>
          <w:tcPr>
            <w:tcW w:w="6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highlight w:val="none"/>
              </w:rPr>
            </w:pPr>
          </w:p>
        </w:tc>
        <w:tc>
          <w:tcPr>
            <w:tcW w:w="13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×月</w:t>
            </w:r>
          </w:p>
        </w:tc>
        <w:tc>
          <w:tcPr>
            <w:tcW w:w="1089"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×月</w:t>
            </w: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×月</w:t>
            </w:r>
          </w:p>
        </w:tc>
        <w:tc>
          <w:tcPr>
            <w:tcW w:w="108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×月</w:t>
            </w:r>
          </w:p>
        </w:tc>
        <w:tc>
          <w:tcPr>
            <w:tcW w:w="108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×月</w:t>
            </w:r>
          </w:p>
        </w:tc>
        <w:tc>
          <w:tcPr>
            <w:tcW w:w="108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89"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1</w:t>
            </w:r>
          </w:p>
        </w:tc>
        <w:tc>
          <w:tcPr>
            <w:tcW w:w="689"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377"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89"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2</w:t>
            </w:r>
          </w:p>
        </w:tc>
        <w:tc>
          <w:tcPr>
            <w:tcW w:w="689"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377"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89"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3</w:t>
            </w:r>
          </w:p>
        </w:tc>
        <w:tc>
          <w:tcPr>
            <w:tcW w:w="689"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377"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89"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4</w:t>
            </w:r>
          </w:p>
        </w:tc>
        <w:tc>
          <w:tcPr>
            <w:tcW w:w="689"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377"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89"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5</w:t>
            </w:r>
          </w:p>
        </w:tc>
        <w:tc>
          <w:tcPr>
            <w:tcW w:w="689"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377"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98"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6</w:t>
            </w:r>
          </w:p>
        </w:tc>
        <w:tc>
          <w:tcPr>
            <w:tcW w:w="689" w:type="dxa"/>
            <w:tcBorders>
              <w:top w:val="single" w:color="auto" w:sz="4" w:space="0"/>
              <w:left w:val="single" w:color="auto" w:sz="4" w:space="0"/>
              <w:bottom w:val="single" w:color="auto" w:sz="4" w:space="0"/>
              <w:right w:val="single" w:color="auto" w:sz="4" w:space="0"/>
            </w:tcBorders>
            <w:vAlign w:val="center"/>
          </w:tcPr>
          <w:p>
            <w:pPr>
              <w:rPr>
                <w:highlight w:val="none"/>
              </w:rPr>
            </w:pPr>
            <w:r>
              <w:rPr>
                <w:rFonts w:hint="eastAsia"/>
                <w:highlight w:val="none"/>
              </w:rPr>
              <w:t>…</w:t>
            </w:r>
          </w:p>
        </w:tc>
        <w:tc>
          <w:tcPr>
            <w:tcW w:w="1377"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pPr>
              <w:rPr>
                <w:highlight w:val="none"/>
              </w:rPr>
            </w:pPr>
          </w:p>
        </w:tc>
      </w:tr>
    </w:tbl>
    <w:p>
      <w:pPr>
        <w:rPr>
          <w:highlight w:val="none"/>
        </w:rPr>
      </w:pPr>
      <w:r>
        <w:rPr>
          <w:rFonts w:hint="eastAsia"/>
          <w:highlight w:val="none"/>
        </w:rPr>
        <w:t>注：本表后应附投入劳动力计划柱状图。</w:t>
      </w:r>
    </w:p>
    <w:p>
      <w:pPr>
        <w:ind w:firstLine="496"/>
        <w:rPr>
          <w:highlight w:val="none"/>
        </w:rPr>
      </w:pPr>
    </w:p>
    <w:p>
      <w:pPr>
        <w:ind w:firstLine="496"/>
        <w:rPr>
          <w:highlight w:val="none"/>
        </w:rPr>
      </w:pPr>
    </w:p>
    <w:p>
      <w:pPr>
        <w:ind w:firstLine="496"/>
        <w:rPr>
          <w:highlight w:val="none"/>
        </w:rPr>
      </w:pPr>
    </w:p>
    <w:p>
      <w:pPr>
        <w:ind w:firstLine="3045" w:firstLineChars="1450"/>
        <w:rPr>
          <w:highlight w:val="none"/>
        </w:rPr>
      </w:pPr>
      <w:r>
        <w:rPr>
          <w:rFonts w:hint="eastAsia"/>
          <w:highlight w:val="none"/>
        </w:rPr>
        <w:t>投标人：　　（盖章）</w:t>
      </w:r>
    </w:p>
    <w:p>
      <w:pPr>
        <w:ind w:firstLine="3045" w:firstLineChars="1450"/>
        <w:rPr>
          <w:highlight w:val="none"/>
        </w:rPr>
      </w:pPr>
      <w:r>
        <w:rPr>
          <w:rFonts w:hint="eastAsia"/>
          <w:highlight w:val="none"/>
        </w:rPr>
        <w:t>法定代表人或授权代理人</w:t>
      </w:r>
      <w:r>
        <w:rPr>
          <w:highlight w:val="none"/>
        </w:rPr>
        <w:t>(</w:t>
      </w:r>
      <w:r>
        <w:rPr>
          <w:rFonts w:hint="eastAsia"/>
          <w:highlight w:val="none"/>
        </w:rPr>
        <w:t>签字或盖章</w:t>
      </w:r>
      <w:r>
        <w:rPr>
          <w:highlight w:val="none"/>
        </w:rPr>
        <w:t>)</w:t>
      </w:r>
      <w:r>
        <w:rPr>
          <w:rFonts w:hint="eastAsia"/>
          <w:highlight w:val="none"/>
        </w:rPr>
        <w:t>：</w:t>
      </w:r>
    </w:p>
    <w:p>
      <w:pPr>
        <w:ind w:firstLine="3045" w:firstLineChars="1450"/>
        <w:rPr>
          <w:highlight w:val="none"/>
        </w:rPr>
      </w:pPr>
      <w:r>
        <w:rPr>
          <w:rFonts w:hint="eastAsia"/>
          <w:highlight w:val="none"/>
        </w:rPr>
        <w:t>日</w:t>
      </w:r>
      <w:r>
        <w:rPr>
          <w:highlight w:val="none"/>
        </w:rPr>
        <w:t xml:space="preserve">   </w:t>
      </w:r>
      <w:r>
        <w:rPr>
          <w:rFonts w:hint="eastAsia"/>
          <w:highlight w:val="none"/>
        </w:rPr>
        <w:t>期：</w:t>
      </w:r>
      <w:r>
        <w:rPr>
          <w:highlight w:val="none"/>
        </w:rPr>
        <w:t xml:space="preserve">    </w:t>
      </w:r>
      <w:r>
        <w:rPr>
          <w:rFonts w:hint="eastAsia"/>
          <w:highlight w:val="none"/>
        </w:rPr>
        <w:t>年</w:t>
      </w:r>
      <w:r>
        <w:rPr>
          <w:highlight w:val="none"/>
        </w:rPr>
        <w:t xml:space="preserve">    </w:t>
      </w:r>
      <w:r>
        <w:rPr>
          <w:rFonts w:hint="eastAsia"/>
          <w:highlight w:val="none"/>
        </w:rPr>
        <w:t>月</w:t>
      </w:r>
      <w:r>
        <w:rPr>
          <w:highlight w:val="none"/>
        </w:rPr>
        <w:t xml:space="preserve">    </w:t>
      </w:r>
      <w:r>
        <w:rPr>
          <w:rFonts w:hint="eastAsia"/>
          <w:highlight w:val="none"/>
        </w:rPr>
        <w:t>日</w:t>
      </w:r>
      <w:r>
        <w:rPr>
          <w:highlight w:val="none"/>
        </w:rPr>
        <w:t xml:space="preserve"> </w:t>
      </w:r>
    </w:p>
    <w:p>
      <w:pPr>
        <w:ind w:firstLine="496"/>
        <w:rPr>
          <w:highlight w:val="none"/>
        </w:rPr>
      </w:pPr>
    </w:p>
    <w:p>
      <w:pPr>
        <w:ind w:firstLine="496"/>
        <w:rPr>
          <w:highlight w:val="none"/>
        </w:rPr>
      </w:pPr>
      <w:r>
        <w:rPr>
          <w:highlight w:val="none"/>
        </w:rPr>
        <w:t xml:space="preserve"> </w:t>
      </w:r>
    </w:p>
    <w:p>
      <w:pPr>
        <w:widowControl/>
        <w:jc w:val="left"/>
        <w:rPr>
          <w:rFonts w:ascii="黑体" w:hAnsi="宋体" w:eastAsia="黑体"/>
          <w:snapToGrid w:val="0"/>
          <w:spacing w:val="4"/>
          <w:sz w:val="24"/>
          <w:highlight w:val="none"/>
        </w:rPr>
        <w:sectPr>
          <w:pgSz w:w="11907" w:h="16840"/>
          <w:pgMar w:top="1418" w:right="1418" w:bottom="1418" w:left="1418" w:header="851" w:footer="851" w:gutter="0"/>
          <w:pgNumType w:fmt="decimal"/>
          <w:cols w:space="720" w:num="1"/>
          <w:docGrid w:type="lines" w:linePitch="312" w:charSpace="0"/>
        </w:sectPr>
      </w:pPr>
    </w:p>
    <w:p>
      <w:pPr>
        <w:spacing w:before="156"/>
        <w:rPr>
          <w:highlight w:val="none"/>
        </w:rPr>
      </w:pPr>
      <w:bookmarkStart w:id="1156" w:name="_Toc318924506"/>
      <w:bookmarkStart w:id="1157" w:name="_Toc369536780"/>
      <w:bookmarkStart w:id="1158" w:name="_Toc18545"/>
      <w:bookmarkStart w:id="1159" w:name="_Toc23928"/>
      <w:bookmarkStart w:id="1160" w:name="_Toc358370588"/>
      <w:bookmarkStart w:id="1161" w:name="_Toc352240533"/>
      <w:bookmarkStart w:id="1162" w:name="_Toc352623431"/>
      <w:bookmarkStart w:id="1163" w:name="_Toc163337631"/>
      <w:bookmarkStart w:id="1164" w:name="_Toc337720101"/>
      <w:bookmarkStart w:id="1165" w:name="_Toc239216042"/>
      <w:bookmarkStart w:id="1166" w:name="_Toc226209014"/>
      <w:bookmarkStart w:id="1167" w:name="_Toc6723"/>
      <w:bookmarkStart w:id="1168" w:name="_Toc319444832"/>
      <w:bookmarkStart w:id="1169" w:name="_Toc24046"/>
      <w:bookmarkStart w:id="1170" w:name="_Toc239311757"/>
      <w:r>
        <w:rPr>
          <w:rFonts w:hint="eastAsia"/>
          <w:b/>
          <w:highlight w:val="none"/>
        </w:rPr>
        <w:t>附表3：</w:t>
      </w:r>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r>
        <w:rPr>
          <w:rFonts w:hint="eastAsia"/>
          <w:highlight w:val="none"/>
        </w:rPr>
        <w:t>主要材料设备采购计划表</w:t>
      </w:r>
    </w:p>
    <w:tbl>
      <w:tblPr>
        <w:tblStyle w:val="16"/>
        <w:tblW w:w="87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16"/>
        <w:gridCol w:w="1520"/>
        <w:gridCol w:w="1093"/>
        <w:gridCol w:w="1020"/>
        <w:gridCol w:w="1070"/>
        <w:gridCol w:w="1040"/>
        <w:gridCol w:w="1410"/>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876"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right="11"/>
              <w:jc w:val="center"/>
              <w:rPr>
                <w:rFonts w:ascii="宋体" w:hAnsi="宋体"/>
                <w:snapToGrid w:val="0"/>
                <w:szCs w:val="21"/>
                <w:highlight w:val="none"/>
              </w:rPr>
            </w:pPr>
            <w:r>
              <w:rPr>
                <w:rFonts w:hint="eastAsia" w:ascii="宋体" w:hAnsi="宋体"/>
                <w:snapToGrid w:val="0"/>
                <w:szCs w:val="21"/>
                <w:highlight w:val="none"/>
              </w:rPr>
              <w:t>序号</w:t>
            </w:r>
          </w:p>
        </w:tc>
        <w:tc>
          <w:tcPr>
            <w:tcW w:w="15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right="11"/>
              <w:jc w:val="center"/>
              <w:rPr>
                <w:rFonts w:ascii="宋体" w:hAnsi="宋体"/>
                <w:snapToGrid w:val="0"/>
                <w:szCs w:val="21"/>
                <w:highlight w:val="none"/>
              </w:rPr>
            </w:pPr>
            <w:r>
              <w:rPr>
                <w:rFonts w:hint="eastAsia" w:ascii="宋体" w:hAnsi="宋体"/>
                <w:snapToGrid w:val="0"/>
                <w:szCs w:val="21"/>
                <w:highlight w:val="none"/>
              </w:rPr>
              <w:t>材料设备名称</w:t>
            </w:r>
          </w:p>
        </w:tc>
        <w:tc>
          <w:tcPr>
            <w:tcW w:w="10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right="11"/>
              <w:jc w:val="center"/>
              <w:rPr>
                <w:rFonts w:ascii="宋体" w:hAnsi="宋体"/>
                <w:snapToGrid w:val="0"/>
                <w:szCs w:val="21"/>
                <w:highlight w:val="none"/>
              </w:rPr>
            </w:pPr>
            <w:r>
              <w:rPr>
                <w:rFonts w:hint="eastAsia" w:ascii="宋体" w:hAnsi="宋体"/>
                <w:snapToGrid w:val="0"/>
                <w:szCs w:val="21"/>
                <w:highlight w:val="none"/>
              </w:rPr>
              <w:t>规格型号</w:t>
            </w: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right="11"/>
              <w:jc w:val="center"/>
              <w:rPr>
                <w:rFonts w:ascii="宋体" w:hAnsi="宋体"/>
                <w:snapToGrid w:val="0"/>
                <w:szCs w:val="21"/>
                <w:highlight w:val="none"/>
              </w:rPr>
            </w:pPr>
            <w:r>
              <w:rPr>
                <w:rFonts w:hint="eastAsia" w:ascii="宋体" w:hAnsi="宋体"/>
                <w:snapToGrid w:val="0"/>
                <w:szCs w:val="21"/>
                <w:highlight w:val="none"/>
              </w:rPr>
              <w:t>计量单位</w:t>
            </w:r>
          </w:p>
        </w:tc>
        <w:tc>
          <w:tcPr>
            <w:tcW w:w="10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right="11"/>
              <w:jc w:val="center"/>
              <w:rPr>
                <w:rFonts w:ascii="宋体" w:hAnsi="宋体"/>
                <w:snapToGrid w:val="0"/>
                <w:szCs w:val="21"/>
                <w:highlight w:val="none"/>
              </w:rPr>
            </w:pPr>
            <w:r>
              <w:rPr>
                <w:rFonts w:hint="eastAsia" w:ascii="宋体" w:hAnsi="宋体"/>
                <w:snapToGrid w:val="0"/>
                <w:szCs w:val="21"/>
                <w:highlight w:val="none"/>
              </w:rPr>
              <w:t>暂定数量</w:t>
            </w:r>
          </w:p>
        </w:tc>
        <w:tc>
          <w:tcPr>
            <w:tcW w:w="10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right="11"/>
              <w:jc w:val="center"/>
              <w:rPr>
                <w:rFonts w:ascii="宋体" w:hAnsi="宋体"/>
                <w:snapToGrid w:val="0"/>
                <w:szCs w:val="21"/>
                <w:highlight w:val="none"/>
              </w:rPr>
            </w:pPr>
            <w:r>
              <w:rPr>
                <w:rFonts w:hint="eastAsia" w:ascii="宋体" w:hAnsi="宋体"/>
                <w:snapToGrid w:val="0"/>
                <w:szCs w:val="21"/>
                <w:highlight w:val="none"/>
              </w:rPr>
              <w:t>采购合同签订时间</w:t>
            </w:r>
          </w:p>
        </w:tc>
        <w:tc>
          <w:tcPr>
            <w:tcW w:w="14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right="11"/>
              <w:jc w:val="center"/>
              <w:rPr>
                <w:rFonts w:ascii="宋体" w:hAnsi="宋体"/>
                <w:snapToGrid w:val="0"/>
                <w:szCs w:val="21"/>
                <w:highlight w:val="none"/>
              </w:rPr>
            </w:pPr>
            <w:r>
              <w:rPr>
                <w:rFonts w:hint="eastAsia" w:ascii="宋体" w:hAnsi="宋体"/>
                <w:snapToGrid w:val="0"/>
                <w:szCs w:val="21"/>
                <w:highlight w:val="none"/>
              </w:rPr>
              <w:t>到货时间</w:t>
            </w:r>
          </w:p>
        </w:tc>
        <w:tc>
          <w:tcPr>
            <w:tcW w:w="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right="11"/>
              <w:jc w:val="center"/>
              <w:rPr>
                <w:rFonts w:ascii="宋体" w:hAnsi="宋体"/>
                <w:snapToGrid w:val="0"/>
                <w:szCs w:val="21"/>
                <w:highlight w:val="none"/>
              </w:rPr>
            </w:pPr>
            <w:r>
              <w:rPr>
                <w:rFonts w:hint="eastAsia" w:ascii="宋体" w:hAnsi="宋体"/>
                <w:snapToGrid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42" w:hRule="atLeast"/>
          <w:jc w:val="center"/>
        </w:trPr>
        <w:tc>
          <w:tcPr>
            <w:tcW w:w="716"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c>
          <w:tcPr>
            <w:tcW w:w="152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c>
          <w:tcPr>
            <w:tcW w:w="1093"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c>
          <w:tcPr>
            <w:tcW w:w="102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c>
          <w:tcPr>
            <w:tcW w:w="107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c>
          <w:tcPr>
            <w:tcW w:w="104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c>
          <w:tcPr>
            <w:tcW w:w="141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c>
          <w:tcPr>
            <w:tcW w:w="88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42" w:hRule="atLeast"/>
          <w:jc w:val="center"/>
        </w:trPr>
        <w:tc>
          <w:tcPr>
            <w:tcW w:w="716"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c>
          <w:tcPr>
            <w:tcW w:w="152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c>
          <w:tcPr>
            <w:tcW w:w="1093"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c>
          <w:tcPr>
            <w:tcW w:w="102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c>
          <w:tcPr>
            <w:tcW w:w="107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c>
          <w:tcPr>
            <w:tcW w:w="104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c>
          <w:tcPr>
            <w:tcW w:w="141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c>
          <w:tcPr>
            <w:tcW w:w="88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42" w:hRule="atLeast"/>
          <w:jc w:val="center"/>
        </w:trPr>
        <w:tc>
          <w:tcPr>
            <w:tcW w:w="716"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c>
          <w:tcPr>
            <w:tcW w:w="152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c>
          <w:tcPr>
            <w:tcW w:w="1093"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c>
          <w:tcPr>
            <w:tcW w:w="102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c>
          <w:tcPr>
            <w:tcW w:w="107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c>
          <w:tcPr>
            <w:tcW w:w="104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c>
          <w:tcPr>
            <w:tcW w:w="141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c>
          <w:tcPr>
            <w:tcW w:w="88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42" w:hRule="atLeast"/>
          <w:jc w:val="center"/>
        </w:trPr>
        <w:tc>
          <w:tcPr>
            <w:tcW w:w="716"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c>
          <w:tcPr>
            <w:tcW w:w="152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c>
          <w:tcPr>
            <w:tcW w:w="1093"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c>
          <w:tcPr>
            <w:tcW w:w="102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c>
          <w:tcPr>
            <w:tcW w:w="107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c>
          <w:tcPr>
            <w:tcW w:w="104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c>
          <w:tcPr>
            <w:tcW w:w="141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c>
          <w:tcPr>
            <w:tcW w:w="88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42" w:hRule="atLeast"/>
          <w:jc w:val="center"/>
        </w:trPr>
        <w:tc>
          <w:tcPr>
            <w:tcW w:w="716"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c>
          <w:tcPr>
            <w:tcW w:w="152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c>
          <w:tcPr>
            <w:tcW w:w="1093"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c>
          <w:tcPr>
            <w:tcW w:w="102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c>
          <w:tcPr>
            <w:tcW w:w="107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c>
          <w:tcPr>
            <w:tcW w:w="104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c>
          <w:tcPr>
            <w:tcW w:w="141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c>
          <w:tcPr>
            <w:tcW w:w="88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3" w:hRule="atLeast"/>
          <w:jc w:val="center"/>
        </w:trPr>
        <w:tc>
          <w:tcPr>
            <w:tcW w:w="716"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c>
          <w:tcPr>
            <w:tcW w:w="152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c>
          <w:tcPr>
            <w:tcW w:w="1093"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c>
          <w:tcPr>
            <w:tcW w:w="102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c>
          <w:tcPr>
            <w:tcW w:w="107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c>
          <w:tcPr>
            <w:tcW w:w="104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c>
          <w:tcPr>
            <w:tcW w:w="141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c>
          <w:tcPr>
            <w:tcW w:w="88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ind w:right="11"/>
              <w:rPr>
                <w:rFonts w:ascii="宋体" w:hAnsi="宋体"/>
                <w:snapToGrid w:val="0"/>
                <w:szCs w:val="21"/>
                <w:highlight w:val="none"/>
              </w:rPr>
            </w:pPr>
          </w:p>
        </w:tc>
      </w:tr>
    </w:tbl>
    <w:p>
      <w:pPr>
        <w:rPr>
          <w:highlight w:val="none"/>
        </w:rPr>
      </w:pPr>
    </w:p>
    <w:p>
      <w:pPr>
        <w:rPr>
          <w:highlight w:val="none"/>
        </w:rPr>
      </w:pPr>
    </w:p>
    <w:p>
      <w:pPr>
        <w:rPr>
          <w:highlight w:val="none"/>
        </w:rPr>
      </w:pPr>
    </w:p>
    <w:p>
      <w:pPr>
        <w:rPr>
          <w:highlight w:val="none"/>
        </w:rPr>
      </w:pPr>
    </w:p>
    <w:p>
      <w:pPr>
        <w:rPr>
          <w:highlight w:val="none"/>
        </w:rPr>
      </w:pPr>
    </w:p>
    <w:p>
      <w:pPr>
        <w:ind w:firstLine="3315" w:firstLineChars="1579"/>
        <w:rPr>
          <w:highlight w:val="none"/>
        </w:rPr>
      </w:pPr>
      <w:r>
        <w:rPr>
          <w:rFonts w:hint="eastAsia"/>
          <w:highlight w:val="none"/>
        </w:rPr>
        <w:t>投标人：　　（盖章）</w:t>
      </w:r>
    </w:p>
    <w:p>
      <w:pPr>
        <w:ind w:firstLine="3315" w:firstLineChars="1579"/>
        <w:rPr>
          <w:highlight w:val="none"/>
        </w:rPr>
      </w:pPr>
      <w:r>
        <w:rPr>
          <w:rFonts w:hint="eastAsia"/>
          <w:highlight w:val="none"/>
        </w:rPr>
        <w:t>法定代表人或授权代理人</w:t>
      </w:r>
      <w:r>
        <w:rPr>
          <w:highlight w:val="none"/>
        </w:rPr>
        <w:t>(</w:t>
      </w:r>
      <w:r>
        <w:rPr>
          <w:rFonts w:hint="eastAsia"/>
          <w:highlight w:val="none"/>
        </w:rPr>
        <w:t>签字或盖章</w:t>
      </w:r>
      <w:r>
        <w:rPr>
          <w:highlight w:val="none"/>
        </w:rPr>
        <w:t>)</w:t>
      </w:r>
      <w:r>
        <w:rPr>
          <w:rFonts w:hint="eastAsia"/>
          <w:highlight w:val="none"/>
        </w:rPr>
        <w:t>：</w:t>
      </w:r>
    </w:p>
    <w:p>
      <w:pPr>
        <w:ind w:firstLine="3360" w:firstLineChars="1600"/>
        <w:rPr>
          <w:highlight w:val="none"/>
        </w:rPr>
      </w:pPr>
      <w:r>
        <w:rPr>
          <w:rFonts w:hint="eastAsia"/>
          <w:highlight w:val="none"/>
        </w:rPr>
        <w:t>日</w:t>
      </w:r>
      <w:r>
        <w:rPr>
          <w:highlight w:val="none"/>
        </w:rPr>
        <w:t xml:space="preserve">   </w:t>
      </w:r>
      <w:r>
        <w:rPr>
          <w:rFonts w:hint="eastAsia"/>
          <w:highlight w:val="none"/>
        </w:rPr>
        <w:t>期：</w:t>
      </w:r>
      <w:r>
        <w:rPr>
          <w:highlight w:val="none"/>
        </w:rPr>
        <w:t xml:space="preserve">    </w:t>
      </w:r>
      <w:r>
        <w:rPr>
          <w:rFonts w:hint="eastAsia"/>
          <w:highlight w:val="none"/>
        </w:rPr>
        <w:t>年</w:t>
      </w:r>
      <w:r>
        <w:rPr>
          <w:highlight w:val="none"/>
        </w:rPr>
        <w:t xml:space="preserve">    </w:t>
      </w:r>
      <w:r>
        <w:rPr>
          <w:rFonts w:hint="eastAsia"/>
          <w:highlight w:val="none"/>
        </w:rPr>
        <w:t>月</w:t>
      </w:r>
      <w:r>
        <w:rPr>
          <w:highlight w:val="none"/>
        </w:rPr>
        <w:t xml:space="preserve">    </w:t>
      </w:r>
      <w:r>
        <w:rPr>
          <w:rFonts w:hint="eastAsia"/>
          <w:highlight w:val="none"/>
        </w:rPr>
        <w:t>日</w:t>
      </w:r>
      <w:r>
        <w:rPr>
          <w:highlight w:val="none"/>
        </w:rPr>
        <w:t xml:space="preserve"> </w:t>
      </w:r>
    </w:p>
    <w:p>
      <w:pPr>
        <w:widowControl/>
        <w:spacing w:line="360" w:lineRule="auto"/>
        <w:jc w:val="left"/>
        <w:rPr>
          <w:snapToGrid w:val="0"/>
          <w:spacing w:val="4"/>
          <w:sz w:val="24"/>
          <w:highlight w:val="none"/>
        </w:rPr>
        <w:sectPr>
          <w:pgSz w:w="11907" w:h="16840"/>
          <w:pgMar w:top="1418" w:right="1418" w:bottom="1418" w:left="1418" w:header="851" w:footer="851" w:gutter="0"/>
          <w:pgNumType w:fmt="decimal"/>
          <w:cols w:space="720" w:num="1"/>
          <w:docGrid w:type="lines" w:linePitch="312" w:charSpace="0"/>
        </w:sectPr>
      </w:pPr>
    </w:p>
    <w:p>
      <w:pPr>
        <w:spacing w:before="120"/>
        <w:rPr>
          <w:highlight w:val="none"/>
        </w:rPr>
      </w:pPr>
      <w:bookmarkStart w:id="1171" w:name="_Toc163337632"/>
      <w:bookmarkStart w:id="1172" w:name="_Toc27331"/>
      <w:bookmarkStart w:id="1173" w:name="_Toc239216043"/>
      <w:bookmarkStart w:id="1174" w:name="_Toc337720102"/>
      <w:bookmarkStart w:id="1175" w:name="_Toc226209015"/>
      <w:bookmarkStart w:id="1176" w:name="_Toc3049"/>
      <w:bookmarkStart w:id="1177" w:name="_Toc239311758"/>
      <w:bookmarkStart w:id="1178" w:name="_Toc319444833"/>
      <w:bookmarkStart w:id="1179" w:name="_Toc2202"/>
      <w:bookmarkStart w:id="1180" w:name="_Toc11680"/>
      <w:bookmarkStart w:id="1181" w:name="_Toc449308430"/>
      <w:bookmarkStart w:id="1182" w:name="_Toc29776"/>
      <w:bookmarkStart w:id="1183" w:name="_Toc464131232"/>
      <w:bookmarkStart w:id="1184" w:name="_Toc51288280"/>
      <w:bookmarkStart w:id="1185" w:name="_Toc395261110"/>
      <w:bookmarkStart w:id="1186" w:name="_Toc352240534"/>
      <w:bookmarkStart w:id="1187" w:name="_Toc25437"/>
      <w:bookmarkStart w:id="1188" w:name="_Toc504465868"/>
      <w:bookmarkStart w:id="1189" w:name="_Toc20373"/>
      <w:bookmarkStart w:id="1190" w:name="_Toc50453133"/>
      <w:bookmarkStart w:id="1191" w:name="_Toc33695127"/>
      <w:bookmarkStart w:id="1192" w:name="_Toc352623432"/>
      <w:bookmarkStart w:id="1193" w:name="_Toc318924507"/>
      <w:bookmarkStart w:id="1194" w:name="_Toc369536781"/>
      <w:bookmarkStart w:id="1195" w:name="_Toc358370589"/>
      <w:bookmarkStart w:id="1196" w:name="_Toc27276"/>
      <w:bookmarkStart w:id="1197" w:name="_Toc15384"/>
      <w:bookmarkStart w:id="1198" w:name="_Toc8005"/>
      <w:r>
        <w:rPr>
          <w:rFonts w:hint="eastAsia"/>
          <w:b/>
          <w:highlight w:val="none"/>
        </w:rPr>
        <w:t>附表4：</w:t>
      </w:r>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r>
        <w:rPr>
          <w:rFonts w:hint="eastAsia"/>
          <w:highlight w:val="none"/>
        </w:rPr>
        <w:t>投入主要施工机械设备表</w:t>
      </w:r>
    </w:p>
    <w:tbl>
      <w:tblPr>
        <w:tblStyle w:val="16"/>
        <w:tblW w:w="8326" w:type="dxa"/>
        <w:jc w:val="center"/>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 w:type="dxa"/>
          <w:bottom w:w="0" w:type="dxa"/>
          <w:right w:w="10" w:type="dxa"/>
        </w:tblCellMar>
      </w:tblPr>
      <w:tblGrid>
        <w:gridCol w:w="472"/>
        <w:gridCol w:w="1788"/>
        <w:gridCol w:w="1549"/>
        <w:gridCol w:w="806"/>
        <w:gridCol w:w="807"/>
        <w:gridCol w:w="968"/>
        <w:gridCol w:w="731"/>
        <w:gridCol w:w="1205"/>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 w:type="dxa"/>
            <w:bottom w:w="0" w:type="dxa"/>
            <w:right w:w="10" w:type="dxa"/>
          </w:tblCellMar>
        </w:tblPrEx>
        <w:trPr>
          <w:trHeight w:val="555" w:hRule="atLeast"/>
          <w:jc w:val="center"/>
        </w:trPr>
        <w:tc>
          <w:tcPr>
            <w:tcW w:w="2260" w:type="dxa"/>
            <w:gridSpan w:val="2"/>
            <w:vMerge w:val="restart"/>
            <w:tcBorders>
              <w:top w:val="single" w:color="auto" w:sz="2" w:space="0"/>
              <w:left w:val="single" w:color="auto" w:sz="2" w:space="0"/>
              <w:bottom w:val="single" w:color="auto" w:sz="6" w:space="0"/>
              <w:right w:val="single" w:color="auto" w:sz="6" w:space="0"/>
            </w:tcBorders>
            <w:vAlign w:val="center"/>
          </w:tcPr>
          <w:p>
            <w:pPr>
              <w:jc w:val="center"/>
              <w:rPr>
                <w:highlight w:val="none"/>
              </w:rPr>
            </w:pPr>
            <w:r>
              <w:rPr>
                <w:rFonts w:hint="eastAsia"/>
                <w:highlight w:val="none"/>
              </w:rPr>
              <w:t>名称及型号</w:t>
            </w:r>
          </w:p>
        </w:tc>
        <w:tc>
          <w:tcPr>
            <w:tcW w:w="6066" w:type="dxa"/>
            <w:gridSpan w:val="6"/>
            <w:tcBorders>
              <w:top w:val="single" w:color="auto" w:sz="2" w:space="0"/>
              <w:left w:val="single" w:color="auto" w:sz="6" w:space="0"/>
              <w:bottom w:val="single" w:color="auto" w:sz="6" w:space="0"/>
              <w:right w:val="single" w:color="auto" w:sz="2" w:space="0"/>
            </w:tcBorders>
            <w:vAlign w:val="center"/>
          </w:tcPr>
          <w:p>
            <w:pPr>
              <w:jc w:val="center"/>
              <w:rPr>
                <w:highlight w:val="none"/>
              </w:rPr>
            </w:pPr>
            <w:r>
              <w:rPr>
                <w:rFonts w:hint="eastAsia"/>
                <w:highlight w:val="none"/>
              </w:rPr>
              <w:t>申请单位能达到的程度简述（由申请单位填写）</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 w:type="dxa"/>
            <w:bottom w:w="0" w:type="dxa"/>
            <w:right w:w="10" w:type="dxa"/>
          </w:tblCellMar>
        </w:tblPrEx>
        <w:trPr>
          <w:trHeight w:val="584" w:hRule="atLeast"/>
          <w:jc w:val="center"/>
        </w:trPr>
        <w:tc>
          <w:tcPr>
            <w:tcW w:w="2260" w:type="dxa"/>
            <w:gridSpan w:val="2"/>
            <w:vMerge w:val="continue"/>
            <w:tcBorders>
              <w:top w:val="single" w:color="auto" w:sz="2" w:space="0"/>
              <w:left w:val="single" w:color="auto" w:sz="2" w:space="0"/>
              <w:bottom w:val="single" w:color="auto" w:sz="6" w:space="0"/>
              <w:right w:val="single" w:color="auto" w:sz="6" w:space="0"/>
            </w:tcBorders>
            <w:vAlign w:val="center"/>
          </w:tcPr>
          <w:p>
            <w:pPr>
              <w:widowControl/>
              <w:jc w:val="left"/>
              <w:rPr>
                <w:rFonts w:ascii="宋体" w:hAnsi="宋体"/>
                <w:szCs w:val="21"/>
                <w:highlight w:val="none"/>
              </w:rPr>
            </w:pPr>
          </w:p>
        </w:tc>
        <w:tc>
          <w:tcPr>
            <w:tcW w:w="1549" w:type="dxa"/>
            <w:tcBorders>
              <w:top w:val="single" w:color="auto" w:sz="6" w:space="0"/>
              <w:left w:val="single" w:color="auto" w:sz="6" w:space="0"/>
              <w:bottom w:val="single" w:color="auto" w:sz="6" w:space="0"/>
              <w:right w:val="single" w:color="auto" w:sz="6" w:space="0"/>
            </w:tcBorders>
            <w:vAlign w:val="center"/>
          </w:tcPr>
          <w:p>
            <w:pPr>
              <w:jc w:val="center"/>
              <w:rPr>
                <w:highlight w:val="none"/>
              </w:rPr>
            </w:pPr>
            <w:r>
              <w:rPr>
                <w:rFonts w:hint="eastAsia"/>
                <w:highlight w:val="none"/>
              </w:rPr>
              <w:t>机械最少投入数量</w:t>
            </w:r>
          </w:p>
        </w:tc>
        <w:tc>
          <w:tcPr>
            <w:tcW w:w="4517" w:type="dxa"/>
            <w:gridSpan w:val="5"/>
            <w:tcBorders>
              <w:top w:val="single" w:color="auto" w:sz="6" w:space="0"/>
              <w:left w:val="single" w:color="auto" w:sz="6" w:space="0"/>
              <w:bottom w:val="single" w:color="auto" w:sz="6" w:space="0"/>
              <w:right w:val="single" w:color="auto" w:sz="2" w:space="0"/>
            </w:tcBorders>
            <w:vAlign w:val="center"/>
          </w:tcPr>
          <w:p>
            <w:pPr>
              <w:jc w:val="center"/>
              <w:rPr>
                <w:highlight w:val="none"/>
              </w:rPr>
            </w:pPr>
            <w:r>
              <w:rPr>
                <w:rFonts w:hint="eastAsia"/>
                <w:highlight w:val="none"/>
              </w:rPr>
              <w:t>投入本项目施工机械的情况（台套）</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 w:type="dxa"/>
            <w:bottom w:w="0" w:type="dxa"/>
            <w:right w:w="10" w:type="dxa"/>
          </w:tblCellMar>
        </w:tblPrEx>
        <w:trPr>
          <w:trHeight w:val="519" w:hRule="atLeast"/>
          <w:jc w:val="center"/>
        </w:trPr>
        <w:tc>
          <w:tcPr>
            <w:tcW w:w="2260" w:type="dxa"/>
            <w:gridSpan w:val="2"/>
            <w:tcBorders>
              <w:top w:val="single" w:color="auto" w:sz="6" w:space="0"/>
              <w:left w:val="single" w:color="auto" w:sz="2" w:space="0"/>
              <w:bottom w:val="single" w:color="auto" w:sz="6" w:space="0"/>
              <w:right w:val="single" w:color="auto" w:sz="6" w:space="0"/>
            </w:tcBorders>
            <w:vAlign w:val="center"/>
          </w:tcPr>
          <w:p>
            <w:pPr>
              <w:jc w:val="center"/>
              <w:rPr>
                <w:highlight w:val="none"/>
              </w:rPr>
            </w:pPr>
            <w:r>
              <w:rPr>
                <w:rFonts w:hint="eastAsia"/>
                <w:highlight w:val="none"/>
              </w:rPr>
              <w:t>名     称</w:t>
            </w:r>
          </w:p>
        </w:tc>
        <w:tc>
          <w:tcPr>
            <w:tcW w:w="1549" w:type="dxa"/>
            <w:tcBorders>
              <w:top w:val="single" w:color="auto" w:sz="6" w:space="0"/>
              <w:left w:val="single" w:color="auto" w:sz="6" w:space="0"/>
              <w:bottom w:val="single" w:color="auto" w:sz="6" w:space="0"/>
              <w:right w:val="single" w:color="auto" w:sz="6" w:space="0"/>
            </w:tcBorders>
            <w:vAlign w:val="center"/>
          </w:tcPr>
          <w:p>
            <w:pPr>
              <w:jc w:val="center"/>
              <w:rPr>
                <w:highlight w:val="none"/>
              </w:rPr>
            </w:pPr>
            <w:r>
              <w:rPr>
                <w:rFonts w:hint="eastAsia"/>
                <w:highlight w:val="none"/>
              </w:rPr>
              <w:t>数量（台套）</w:t>
            </w:r>
          </w:p>
        </w:tc>
        <w:tc>
          <w:tcPr>
            <w:tcW w:w="806" w:type="dxa"/>
            <w:tcBorders>
              <w:top w:val="single" w:color="auto" w:sz="6" w:space="0"/>
              <w:left w:val="single" w:color="auto" w:sz="6" w:space="0"/>
              <w:bottom w:val="single" w:color="auto" w:sz="6" w:space="0"/>
              <w:right w:val="single" w:color="auto" w:sz="6" w:space="0"/>
            </w:tcBorders>
            <w:vAlign w:val="center"/>
          </w:tcPr>
          <w:p>
            <w:pPr>
              <w:jc w:val="center"/>
              <w:rPr>
                <w:rFonts w:hint="eastAsia" w:eastAsia="宋体"/>
                <w:highlight w:val="none"/>
                <w:lang w:eastAsia="zh-CN"/>
              </w:rPr>
            </w:pPr>
            <w:r>
              <w:rPr>
                <w:rFonts w:hint="eastAsia"/>
                <w:highlight w:val="none"/>
                <w:lang w:val="en-US" w:eastAsia="zh-CN"/>
              </w:rPr>
              <w:t>型号</w:t>
            </w:r>
          </w:p>
        </w:tc>
        <w:tc>
          <w:tcPr>
            <w:tcW w:w="807" w:type="dxa"/>
            <w:tcBorders>
              <w:top w:val="single" w:color="auto" w:sz="6" w:space="0"/>
              <w:left w:val="single" w:color="auto" w:sz="6" w:space="0"/>
              <w:bottom w:val="single" w:color="auto" w:sz="6" w:space="0"/>
              <w:right w:val="single" w:color="auto" w:sz="6" w:space="0"/>
            </w:tcBorders>
            <w:vAlign w:val="center"/>
          </w:tcPr>
          <w:p>
            <w:pPr>
              <w:jc w:val="center"/>
              <w:rPr>
                <w:highlight w:val="none"/>
              </w:rPr>
            </w:pPr>
            <w:r>
              <w:rPr>
                <w:rFonts w:hint="eastAsia"/>
                <w:highlight w:val="none"/>
              </w:rPr>
              <w:t>新购</w:t>
            </w:r>
          </w:p>
        </w:tc>
        <w:tc>
          <w:tcPr>
            <w:tcW w:w="968" w:type="dxa"/>
            <w:tcBorders>
              <w:top w:val="single" w:color="auto" w:sz="6" w:space="0"/>
              <w:left w:val="single" w:color="auto" w:sz="6" w:space="0"/>
              <w:bottom w:val="single" w:color="auto" w:sz="6" w:space="0"/>
              <w:right w:val="single" w:color="auto" w:sz="6" w:space="0"/>
            </w:tcBorders>
            <w:vAlign w:val="center"/>
          </w:tcPr>
          <w:p>
            <w:pPr>
              <w:jc w:val="center"/>
              <w:rPr>
                <w:highlight w:val="none"/>
              </w:rPr>
            </w:pPr>
            <w:r>
              <w:rPr>
                <w:rFonts w:hint="eastAsia"/>
                <w:highlight w:val="none"/>
              </w:rPr>
              <w:t>自有</w:t>
            </w:r>
          </w:p>
        </w:tc>
        <w:tc>
          <w:tcPr>
            <w:tcW w:w="731" w:type="dxa"/>
            <w:tcBorders>
              <w:top w:val="single" w:color="auto" w:sz="6" w:space="0"/>
              <w:left w:val="single" w:color="auto" w:sz="6" w:space="0"/>
              <w:bottom w:val="single" w:color="auto" w:sz="6" w:space="0"/>
              <w:right w:val="single" w:color="auto" w:sz="6" w:space="0"/>
            </w:tcBorders>
            <w:vAlign w:val="center"/>
          </w:tcPr>
          <w:p>
            <w:pPr>
              <w:jc w:val="center"/>
              <w:rPr>
                <w:highlight w:val="none"/>
              </w:rPr>
            </w:pPr>
            <w:r>
              <w:rPr>
                <w:rFonts w:hint="eastAsia"/>
                <w:highlight w:val="none"/>
              </w:rPr>
              <w:t>租赁</w:t>
            </w:r>
          </w:p>
        </w:tc>
        <w:tc>
          <w:tcPr>
            <w:tcW w:w="1205" w:type="dxa"/>
            <w:tcBorders>
              <w:top w:val="single" w:color="auto" w:sz="6" w:space="0"/>
              <w:left w:val="single" w:color="auto" w:sz="6" w:space="0"/>
              <w:bottom w:val="single" w:color="auto" w:sz="6" w:space="0"/>
              <w:right w:val="single" w:color="auto" w:sz="2" w:space="0"/>
            </w:tcBorders>
            <w:vAlign w:val="center"/>
          </w:tcPr>
          <w:p>
            <w:pPr>
              <w:jc w:val="center"/>
              <w:rPr>
                <w:rFonts w:hint="eastAsia" w:eastAsia="宋体"/>
                <w:highlight w:val="none"/>
                <w:lang w:eastAsia="zh-CN"/>
              </w:rPr>
            </w:pPr>
            <w:r>
              <w:rPr>
                <w:rFonts w:hint="eastAsia"/>
                <w:highlight w:val="none"/>
                <w:lang w:val="en-US" w:eastAsia="zh-CN"/>
              </w:rPr>
              <w:t>小计</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 w:type="dxa"/>
            <w:bottom w:w="0" w:type="dxa"/>
            <w:right w:w="10" w:type="dxa"/>
          </w:tblCellMar>
        </w:tblPrEx>
        <w:trPr>
          <w:trHeight w:val="652" w:hRule="atLeast"/>
          <w:jc w:val="center"/>
        </w:trPr>
        <w:tc>
          <w:tcPr>
            <w:tcW w:w="472" w:type="dxa"/>
            <w:vMerge w:val="restart"/>
            <w:tcBorders>
              <w:top w:val="single" w:color="auto" w:sz="6" w:space="0"/>
              <w:left w:val="single" w:color="auto" w:sz="2" w:space="0"/>
              <w:bottom w:val="single" w:color="auto" w:sz="6" w:space="0"/>
              <w:right w:val="single" w:color="auto" w:sz="6" w:space="0"/>
            </w:tcBorders>
            <w:vAlign w:val="center"/>
          </w:tcPr>
          <w:p>
            <w:pPr>
              <w:rPr>
                <w:highlight w:val="none"/>
              </w:rPr>
            </w:pPr>
            <w:r>
              <w:rPr>
                <w:rFonts w:hint="eastAsia"/>
                <w:highlight w:val="none"/>
              </w:rPr>
              <w:t>施工机械设备</w:t>
            </w:r>
          </w:p>
        </w:tc>
        <w:tc>
          <w:tcPr>
            <w:tcW w:w="1788" w:type="dxa"/>
            <w:tcBorders>
              <w:top w:val="single" w:color="auto" w:sz="6" w:space="0"/>
              <w:left w:val="single" w:color="auto" w:sz="6" w:space="0"/>
              <w:bottom w:val="single" w:color="auto" w:sz="6" w:space="0"/>
              <w:right w:val="single" w:color="auto" w:sz="6" w:space="0"/>
            </w:tcBorders>
            <w:vAlign w:val="center"/>
          </w:tcPr>
          <w:p>
            <w:pPr>
              <w:rPr>
                <w:sz w:val="24"/>
                <w:highlight w:val="none"/>
              </w:rPr>
            </w:pPr>
          </w:p>
        </w:tc>
        <w:tc>
          <w:tcPr>
            <w:tcW w:w="1549" w:type="dxa"/>
            <w:tcBorders>
              <w:top w:val="single" w:color="auto" w:sz="6" w:space="0"/>
              <w:left w:val="single" w:color="auto" w:sz="6" w:space="0"/>
              <w:bottom w:val="single" w:color="auto" w:sz="6" w:space="0"/>
              <w:right w:val="single" w:color="auto" w:sz="6" w:space="0"/>
            </w:tcBorders>
            <w:vAlign w:val="center"/>
          </w:tcPr>
          <w:p>
            <w:pPr>
              <w:rPr>
                <w:sz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807"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968"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731"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1205" w:type="dxa"/>
            <w:tcBorders>
              <w:top w:val="single" w:color="auto" w:sz="6" w:space="0"/>
              <w:left w:val="single" w:color="auto" w:sz="6" w:space="0"/>
              <w:bottom w:val="single" w:color="auto" w:sz="6" w:space="0"/>
              <w:right w:val="single" w:color="auto" w:sz="2" w:space="0"/>
            </w:tcBorders>
            <w:vAlign w:val="center"/>
          </w:tcPr>
          <w:p>
            <w:pPr>
              <w:rPr>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 w:type="dxa"/>
            <w:bottom w:w="0" w:type="dxa"/>
            <w:right w:w="10" w:type="dxa"/>
          </w:tblCellMar>
        </w:tblPrEx>
        <w:trPr>
          <w:trHeight w:val="652" w:hRule="atLeast"/>
          <w:jc w:val="center"/>
        </w:trPr>
        <w:tc>
          <w:tcPr>
            <w:tcW w:w="472" w:type="dxa"/>
            <w:vMerge w:val="continue"/>
            <w:tcBorders>
              <w:top w:val="single" w:color="auto" w:sz="6" w:space="0"/>
              <w:left w:val="single" w:color="auto" w:sz="2" w:space="0"/>
              <w:bottom w:val="single" w:color="auto" w:sz="6" w:space="0"/>
              <w:right w:val="single" w:color="auto" w:sz="6" w:space="0"/>
            </w:tcBorders>
            <w:vAlign w:val="center"/>
          </w:tcPr>
          <w:p>
            <w:pPr>
              <w:widowControl/>
              <w:jc w:val="left"/>
              <w:rPr>
                <w:rFonts w:ascii="宋体" w:hAnsi="宋体"/>
                <w:szCs w:val="21"/>
                <w:highlight w:val="none"/>
              </w:rPr>
            </w:pPr>
          </w:p>
        </w:tc>
        <w:tc>
          <w:tcPr>
            <w:tcW w:w="1788" w:type="dxa"/>
            <w:tcBorders>
              <w:top w:val="single" w:color="auto" w:sz="6" w:space="0"/>
              <w:left w:val="single" w:color="auto" w:sz="6" w:space="0"/>
              <w:bottom w:val="single" w:color="auto" w:sz="6" w:space="0"/>
              <w:right w:val="single" w:color="auto" w:sz="6" w:space="0"/>
            </w:tcBorders>
            <w:vAlign w:val="center"/>
          </w:tcPr>
          <w:p>
            <w:pPr>
              <w:rPr>
                <w:sz w:val="24"/>
                <w:highlight w:val="none"/>
              </w:rPr>
            </w:pPr>
          </w:p>
        </w:tc>
        <w:tc>
          <w:tcPr>
            <w:tcW w:w="1549" w:type="dxa"/>
            <w:tcBorders>
              <w:top w:val="single" w:color="auto" w:sz="6" w:space="0"/>
              <w:left w:val="single" w:color="auto" w:sz="6" w:space="0"/>
              <w:bottom w:val="single" w:color="auto" w:sz="6" w:space="0"/>
              <w:right w:val="single" w:color="auto" w:sz="6" w:space="0"/>
            </w:tcBorders>
            <w:vAlign w:val="center"/>
          </w:tcPr>
          <w:p>
            <w:pPr>
              <w:rPr>
                <w:sz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807"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968"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731"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1205" w:type="dxa"/>
            <w:tcBorders>
              <w:top w:val="single" w:color="auto" w:sz="6" w:space="0"/>
              <w:left w:val="single" w:color="auto" w:sz="6" w:space="0"/>
              <w:bottom w:val="single" w:color="auto" w:sz="6" w:space="0"/>
              <w:right w:val="single" w:color="auto" w:sz="2" w:space="0"/>
            </w:tcBorders>
            <w:vAlign w:val="center"/>
          </w:tcPr>
          <w:p>
            <w:pPr>
              <w:rPr>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 w:type="dxa"/>
            <w:bottom w:w="0" w:type="dxa"/>
            <w:right w:w="10" w:type="dxa"/>
          </w:tblCellMar>
        </w:tblPrEx>
        <w:trPr>
          <w:trHeight w:val="637" w:hRule="atLeast"/>
          <w:jc w:val="center"/>
        </w:trPr>
        <w:tc>
          <w:tcPr>
            <w:tcW w:w="472" w:type="dxa"/>
            <w:vMerge w:val="continue"/>
            <w:tcBorders>
              <w:top w:val="single" w:color="auto" w:sz="6" w:space="0"/>
              <w:left w:val="single" w:color="auto" w:sz="2" w:space="0"/>
              <w:bottom w:val="single" w:color="auto" w:sz="6" w:space="0"/>
              <w:right w:val="single" w:color="auto" w:sz="6" w:space="0"/>
            </w:tcBorders>
            <w:vAlign w:val="center"/>
          </w:tcPr>
          <w:p>
            <w:pPr>
              <w:widowControl/>
              <w:jc w:val="left"/>
              <w:rPr>
                <w:rFonts w:ascii="宋体" w:hAnsi="宋体"/>
                <w:szCs w:val="21"/>
                <w:highlight w:val="none"/>
              </w:rPr>
            </w:pPr>
          </w:p>
        </w:tc>
        <w:tc>
          <w:tcPr>
            <w:tcW w:w="1788" w:type="dxa"/>
            <w:tcBorders>
              <w:top w:val="single" w:color="auto" w:sz="6" w:space="0"/>
              <w:left w:val="single" w:color="auto" w:sz="6" w:space="0"/>
              <w:bottom w:val="single" w:color="auto" w:sz="6" w:space="0"/>
              <w:right w:val="single" w:color="auto" w:sz="6" w:space="0"/>
            </w:tcBorders>
            <w:vAlign w:val="center"/>
          </w:tcPr>
          <w:p>
            <w:pPr>
              <w:rPr>
                <w:sz w:val="24"/>
                <w:highlight w:val="none"/>
              </w:rPr>
            </w:pPr>
          </w:p>
        </w:tc>
        <w:tc>
          <w:tcPr>
            <w:tcW w:w="1549" w:type="dxa"/>
            <w:tcBorders>
              <w:top w:val="single" w:color="auto" w:sz="6" w:space="0"/>
              <w:left w:val="single" w:color="auto" w:sz="6" w:space="0"/>
              <w:bottom w:val="single" w:color="auto" w:sz="6" w:space="0"/>
              <w:right w:val="single" w:color="auto" w:sz="6" w:space="0"/>
            </w:tcBorders>
            <w:vAlign w:val="center"/>
          </w:tcPr>
          <w:p>
            <w:pPr>
              <w:rPr>
                <w:sz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807"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968"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731"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1205" w:type="dxa"/>
            <w:tcBorders>
              <w:top w:val="single" w:color="auto" w:sz="6" w:space="0"/>
              <w:left w:val="single" w:color="auto" w:sz="6" w:space="0"/>
              <w:bottom w:val="single" w:color="auto" w:sz="6" w:space="0"/>
              <w:right w:val="single" w:color="auto" w:sz="2" w:space="0"/>
            </w:tcBorders>
            <w:vAlign w:val="center"/>
          </w:tcPr>
          <w:p>
            <w:pPr>
              <w:rPr>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 w:type="dxa"/>
            <w:bottom w:w="0" w:type="dxa"/>
            <w:right w:w="10" w:type="dxa"/>
          </w:tblCellMar>
        </w:tblPrEx>
        <w:trPr>
          <w:trHeight w:val="631" w:hRule="atLeast"/>
          <w:jc w:val="center"/>
        </w:trPr>
        <w:tc>
          <w:tcPr>
            <w:tcW w:w="472" w:type="dxa"/>
            <w:vMerge w:val="continue"/>
            <w:tcBorders>
              <w:top w:val="single" w:color="auto" w:sz="6" w:space="0"/>
              <w:left w:val="single" w:color="auto" w:sz="2" w:space="0"/>
              <w:bottom w:val="single" w:color="auto" w:sz="6" w:space="0"/>
              <w:right w:val="single" w:color="auto" w:sz="6" w:space="0"/>
            </w:tcBorders>
            <w:vAlign w:val="center"/>
          </w:tcPr>
          <w:p>
            <w:pPr>
              <w:widowControl/>
              <w:jc w:val="left"/>
              <w:rPr>
                <w:rFonts w:ascii="宋体" w:hAnsi="宋体"/>
                <w:szCs w:val="21"/>
                <w:highlight w:val="none"/>
              </w:rPr>
            </w:pPr>
          </w:p>
        </w:tc>
        <w:tc>
          <w:tcPr>
            <w:tcW w:w="1788" w:type="dxa"/>
            <w:tcBorders>
              <w:top w:val="single" w:color="auto" w:sz="6" w:space="0"/>
              <w:left w:val="single" w:color="auto" w:sz="6" w:space="0"/>
              <w:bottom w:val="single" w:color="auto" w:sz="6" w:space="0"/>
              <w:right w:val="single" w:color="auto" w:sz="6" w:space="0"/>
            </w:tcBorders>
            <w:vAlign w:val="center"/>
          </w:tcPr>
          <w:p>
            <w:pPr>
              <w:rPr>
                <w:sz w:val="24"/>
                <w:highlight w:val="none"/>
              </w:rPr>
            </w:pPr>
          </w:p>
        </w:tc>
        <w:tc>
          <w:tcPr>
            <w:tcW w:w="1549" w:type="dxa"/>
            <w:tcBorders>
              <w:top w:val="single" w:color="auto" w:sz="6" w:space="0"/>
              <w:left w:val="single" w:color="auto" w:sz="6" w:space="0"/>
              <w:bottom w:val="single" w:color="auto" w:sz="6" w:space="0"/>
              <w:right w:val="single" w:color="auto" w:sz="6" w:space="0"/>
            </w:tcBorders>
            <w:vAlign w:val="center"/>
          </w:tcPr>
          <w:p>
            <w:pPr>
              <w:rPr>
                <w:sz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807"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968"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731"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1205" w:type="dxa"/>
            <w:tcBorders>
              <w:top w:val="single" w:color="auto" w:sz="6" w:space="0"/>
              <w:left w:val="single" w:color="auto" w:sz="6" w:space="0"/>
              <w:bottom w:val="single" w:color="auto" w:sz="6" w:space="0"/>
              <w:right w:val="single" w:color="auto" w:sz="2" w:space="0"/>
            </w:tcBorders>
            <w:vAlign w:val="center"/>
          </w:tcPr>
          <w:p>
            <w:pPr>
              <w:rPr>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 w:type="dxa"/>
            <w:bottom w:w="0" w:type="dxa"/>
            <w:right w:w="10" w:type="dxa"/>
          </w:tblCellMar>
        </w:tblPrEx>
        <w:trPr>
          <w:trHeight w:val="653" w:hRule="atLeast"/>
          <w:jc w:val="center"/>
        </w:trPr>
        <w:tc>
          <w:tcPr>
            <w:tcW w:w="472" w:type="dxa"/>
            <w:vMerge w:val="continue"/>
            <w:tcBorders>
              <w:top w:val="single" w:color="auto" w:sz="6" w:space="0"/>
              <w:left w:val="single" w:color="auto" w:sz="2" w:space="0"/>
              <w:bottom w:val="single" w:color="auto" w:sz="6" w:space="0"/>
              <w:right w:val="single" w:color="auto" w:sz="6" w:space="0"/>
            </w:tcBorders>
            <w:vAlign w:val="center"/>
          </w:tcPr>
          <w:p>
            <w:pPr>
              <w:widowControl/>
              <w:jc w:val="left"/>
              <w:rPr>
                <w:rFonts w:ascii="宋体" w:hAnsi="宋体"/>
                <w:szCs w:val="21"/>
                <w:highlight w:val="none"/>
              </w:rPr>
            </w:pPr>
          </w:p>
        </w:tc>
        <w:tc>
          <w:tcPr>
            <w:tcW w:w="1788" w:type="dxa"/>
            <w:tcBorders>
              <w:top w:val="single" w:color="auto" w:sz="6" w:space="0"/>
              <w:left w:val="single" w:color="auto" w:sz="6" w:space="0"/>
              <w:bottom w:val="single" w:color="auto" w:sz="6" w:space="0"/>
              <w:right w:val="single" w:color="auto" w:sz="6" w:space="0"/>
            </w:tcBorders>
            <w:vAlign w:val="center"/>
          </w:tcPr>
          <w:p>
            <w:pPr>
              <w:rPr>
                <w:sz w:val="24"/>
                <w:highlight w:val="none"/>
              </w:rPr>
            </w:pPr>
          </w:p>
        </w:tc>
        <w:tc>
          <w:tcPr>
            <w:tcW w:w="1549" w:type="dxa"/>
            <w:tcBorders>
              <w:top w:val="single" w:color="auto" w:sz="6" w:space="0"/>
              <w:left w:val="single" w:color="auto" w:sz="6" w:space="0"/>
              <w:bottom w:val="single" w:color="auto" w:sz="6" w:space="0"/>
              <w:right w:val="single" w:color="auto" w:sz="6" w:space="0"/>
            </w:tcBorders>
            <w:vAlign w:val="center"/>
          </w:tcPr>
          <w:p>
            <w:pPr>
              <w:rPr>
                <w:sz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807"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968"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731"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1205" w:type="dxa"/>
            <w:tcBorders>
              <w:top w:val="single" w:color="auto" w:sz="6" w:space="0"/>
              <w:left w:val="single" w:color="auto" w:sz="6" w:space="0"/>
              <w:bottom w:val="single" w:color="auto" w:sz="6" w:space="0"/>
              <w:right w:val="single" w:color="auto" w:sz="2" w:space="0"/>
            </w:tcBorders>
            <w:vAlign w:val="center"/>
          </w:tcPr>
          <w:p>
            <w:pPr>
              <w:rPr>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 w:type="dxa"/>
            <w:bottom w:w="0" w:type="dxa"/>
            <w:right w:w="10" w:type="dxa"/>
          </w:tblCellMar>
        </w:tblPrEx>
        <w:trPr>
          <w:trHeight w:val="646" w:hRule="atLeast"/>
          <w:jc w:val="center"/>
        </w:trPr>
        <w:tc>
          <w:tcPr>
            <w:tcW w:w="472" w:type="dxa"/>
            <w:vMerge w:val="continue"/>
            <w:tcBorders>
              <w:top w:val="single" w:color="auto" w:sz="6" w:space="0"/>
              <w:left w:val="single" w:color="auto" w:sz="2" w:space="0"/>
              <w:bottom w:val="single" w:color="auto" w:sz="6" w:space="0"/>
              <w:right w:val="single" w:color="auto" w:sz="6" w:space="0"/>
            </w:tcBorders>
            <w:vAlign w:val="center"/>
          </w:tcPr>
          <w:p>
            <w:pPr>
              <w:widowControl/>
              <w:jc w:val="left"/>
              <w:rPr>
                <w:rFonts w:ascii="宋体" w:hAnsi="宋体"/>
                <w:szCs w:val="21"/>
                <w:highlight w:val="none"/>
              </w:rPr>
            </w:pPr>
          </w:p>
        </w:tc>
        <w:tc>
          <w:tcPr>
            <w:tcW w:w="1788" w:type="dxa"/>
            <w:tcBorders>
              <w:top w:val="single" w:color="auto" w:sz="6" w:space="0"/>
              <w:left w:val="single" w:color="auto" w:sz="6" w:space="0"/>
              <w:bottom w:val="single" w:color="auto" w:sz="6" w:space="0"/>
              <w:right w:val="single" w:color="auto" w:sz="6" w:space="0"/>
            </w:tcBorders>
            <w:vAlign w:val="center"/>
          </w:tcPr>
          <w:p>
            <w:pPr>
              <w:rPr>
                <w:sz w:val="24"/>
                <w:highlight w:val="none"/>
              </w:rPr>
            </w:pPr>
          </w:p>
        </w:tc>
        <w:tc>
          <w:tcPr>
            <w:tcW w:w="1549" w:type="dxa"/>
            <w:tcBorders>
              <w:top w:val="single" w:color="auto" w:sz="6" w:space="0"/>
              <w:left w:val="single" w:color="auto" w:sz="6" w:space="0"/>
              <w:bottom w:val="single" w:color="auto" w:sz="6" w:space="0"/>
              <w:right w:val="single" w:color="auto" w:sz="6" w:space="0"/>
            </w:tcBorders>
            <w:vAlign w:val="center"/>
          </w:tcPr>
          <w:p>
            <w:pPr>
              <w:rPr>
                <w:sz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807"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968"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731"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1205" w:type="dxa"/>
            <w:tcBorders>
              <w:top w:val="single" w:color="auto" w:sz="6" w:space="0"/>
              <w:left w:val="single" w:color="auto" w:sz="6" w:space="0"/>
              <w:bottom w:val="single" w:color="auto" w:sz="6" w:space="0"/>
              <w:right w:val="single" w:color="auto" w:sz="2" w:space="0"/>
            </w:tcBorders>
            <w:vAlign w:val="center"/>
          </w:tcPr>
          <w:p>
            <w:pPr>
              <w:rPr>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 w:type="dxa"/>
            <w:bottom w:w="0" w:type="dxa"/>
            <w:right w:w="10" w:type="dxa"/>
          </w:tblCellMar>
        </w:tblPrEx>
        <w:trPr>
          <w:trHeight w:val="646" w:hRule="atLeast"/>
          <w:jc w:val="center"/>
        </w:trPr>
        <w:tc>
          <w:tcPr>
            <w:tcW w:w="472" w:type="dxa"/>
            <w:vMerge w:val="continue"/>
            <w:tcBorders>
              <w:top w:val="single" w:color="auto" w:sz="6" w:space="0"/>
              <w:left w:val="single" w:color="auto" w:sz="2" w:space="0"/>
              <w:bottom w:val="single" w:color="auto" w:sz="6" w:space="0"/>
              <w:right w:val="single" w:color="auto" w:sz="6" w:space="0"/>
            </w:tcBorders>
            <w:vAlign w:val="center"/>
          </w:tcPr>
          <w:p>
            <w:pPr>
              <w:widowControl/>
              <w:jc w:val="left"/>
              <w:rPr>
                <w:rFonts w:ascii="宋体" w:hAnsi="宋体"/>
                <w:szCs w:val="21"/>
                <w:highlight w:val="none"/>
              </w:rPr>
            </w:pPr>
          </w:p>
        </w:tc>
        <w:tc>
          <w:tcPr>
            <w:tcW w:w="1788" w:type="dxa"/>
            <w:tcBorders>
              <w:top w:val="single" w:color="auto" w:sz="6" w:space="0"/>
              <w:left w:val="single" w:color="auto" w:sz="6" w:space="0"/>
              <w:bottom w:val="single" w:color="auto" w:sz="6" w:space="0"/>
              <w:right w:val="single" w:color="auto" w:sz="6" w:space="0"/>
            </w:tcBorders>
            <w:vAlign w:val="center"/>
          </w:tcPr>
          <w:p>
            <w:pPr>
              <w:rPr>
                <w:sz w:val="24"/>
                <w:highlight w:val="none"/>
              </w:rPr>
            </w:pPr>
          </w:p>
        </w:tc>
        <w:tc>
          <w:tcPr>
            <w:tcW w:w="1549" w:type="dxa"/>
            <w:tcBorders>
              <w:top w:val="single" w:color="auto" w:sz="6" w:space="0"/>
              <w:left w:val="single" w:color="auto" w:sz="6" w:space="0"/>
              <w:bottom w:val="single" w:color="auto" w:sz="6" w:space="0"/>
              <w:right w:val="single" w:color="auto" w:sz="6" w:space="0"/>
            </w:tcBorders>
            <w:vAlign w:val="center"/>
          </w:tcPr>
          <w:p>
            <w:pPr>
              <w:rPr>
                <w:sz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807"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968"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731"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1205" w:type="dxa"/>
            <w:tcBorders>
              <w:top w:val="single" w:color="auto" w:sz="6" w:space="0"/>
              <w:left w:val="single" w:color="auto" w:sz="6" w:space="0"/>
              <w:bottom w:val="single" w:color="auto" w:sz="6" w:space="0"/>
              <w:right w:val="single" w:color="auto" w:sz="2" w:space="0"/>
            </w:tcBorders>
            <w:vAlign w:val="center"/>
          </w:tcPr>
          <w:p>
            <w:pPr>
              <w:rPr>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 w:type="dxa"/>
            <w:bottom w:w="0" w:type="dxa"/>
            <w:right w:w="10" w:type="dxa"/>
          </w:tblCellMar>
        </w:tblPrEx>
        <w:trPr>
          <w:trHeight w:val="646" w:hRule="atLeast"/>
          <w:jc w:val="center"/>
        </w:trPr>
        <w:tc>
          <w:tcPr>
            <w:tcW w:w="472" w:type="dxa"/>
            <w:vMerge w:val="continue"/>
            <w:tcBorders>
              <w:top w:val="single" w:color="auto" w:sz="6" w:space="0"/>
              <w:left w:val="single" w:color="auto" w:sz="2" w:space="0"/>
              <w:bottom w:val="single" w:color="auto" w:sz="6" w:space="0"/>
              <w:right w:val="single" w:color="auto" w:sz="6" w:space="0"/>
            </w:tcBorders>
            <w:vAlign w:val="center"/>
          </w:tcPr>
          <w:p>
            <w:pPr>
              <w:widowControl/>
              <w:jc w:val="left"/>
              <w:rPr>
                <w:rFonts w:ascii="宋体" w:hAnsi="宋体"/>
                <w:szCs w:val="21"/>
                <w:highlight w:val="none"/>
              </w:rPr>
            </w:pPr>
          </w:p>
        </w:tc>
        <w:tc>
          <w:tcPr>
            <w:tcW w:w="1788" w:type="dxa"/>
            <w:tcBorders>
              <w:top w:val="single" w:color="auto" w:sz="6" w:space="0"/>
              <w:left w:val="single" w:color="auto" w:sz="6" w:space="0"/>
              <w:bottom w:val="single" w:color="auto" w:sz="6" w:space="0"/>
              <w:right w:val="single" w:color="auto" w:sz="6" w:space="0"/>
            </w:tcBorders>
            <w:vAlign w:val="center"/>
          </w:tcPr>
          <w:p>
            <w:pPr>
              <w:rPr>
                <w:sz w:val="24"/>
                <w:highlight w:val="none"/>
              </w:rPr>
            </w:pPr>
          </w:p>
        </w:tc>
        <w:tc>
          <w:tcPr>
            <w:tcW w:w="1549" w:type="dxa"/>
            <w:tcBorders>
              <w:top w:val="single" w:color="auto" w:sz="6" w:space="0"/>
              <w:left w:val="single" w:color="auto" w:sz="6" w:space="0"/>
              <w:bottom w:val="single" w:color="auto" w:sz="6" w:space="0"/>
              <w:right w:val="single" w:color="auto" w:sz="6" w:space="0"/>
            </w:tcBorders>
            <w:vAlign w:val="center"/>
          </w:tcPr>
          <w:p>
            <w:pPr>
              <w:rPr>
                <w:sz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807"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968"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731"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1205" w:type="dxa"/>
            <w:tcBorders>
              <w:top w:val="single" w:color="auto" w:sz="6" w:space="0"/>
              <w:left w:val="single" w:color="auto" w:sz="6" w:space="0"/>
              <w:bottom w:val="single" w:color="auto" w:sz="6" w:space="0"/>
              <w:right w:val="single" w:color="auto" w:sz="2" w:space="0"/>
            </w:tcBorders>
            <w:vAlign w:val="center"/>
          </w:tcPr>
          <w:p>
            <w:pPr>
              <w:rPr>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 w:type="dxa"/>
            <w:bottom w:w="0" w:type="dxa"/>
            <w:right w:w="10" w:type="dxa"/>
          </w:tblCellMar>
        </w:tblPrEx>
        <w:trPr>
          <w:trHeight w:val="626" w:hRule="atLeast"/>
          <w:jc w:val="center"/>
        </w:trPr>
        <w:tc>
          <w:tcPr>
            <w:tcW w:w="472" w:type="dxa"/>
            <w:vMerge w:val="restart"/>
            <w:tcBorders>
              <w:top w:val="single" w:color="auto" w:sz="6" w:space="0"/>
              <w:left w:val="single" w:color="auto" w:sz="2" w:space="0"/>
              <w:bottom w:val="single" w:color="auto" w:sz="2" w:space="0"/>
              <w:right w:val="single" w:color="auto" w:sz="6" w:space="0"/>
            </w:tcBorders>
            <w:vAlign w:val="center"/>
          </w:tcPr>
          <w:p>
            <w:pPr>
              <w:rPr>
                <w:highlight w:val="none"/>
              </w:rPr>
            </w:pPr>
            <w:r>
              <w:rPr>
                <w:rFonts w:hint="eastAsia"/>
                <w:highlight w:val="none"/>
              </w:rPr>
              <w:t>其他设备</w:t>
            </w:r>
          </w:p>
        </w:tc>
        <w:tc>
          <w:tcPr>
            <w:tcW w:w="1788" w:type="dxa"/>
            <w:tcBorders>
              <w:top w:val="single" w:color="auto" w:sz="6" w:space="0"/>
              <w:left w:val="single" w:color="auto" w:sz="6" w:space="0"/>
              <w:bottom w:val="single" w:color="auto" w:sz="6" w:space="0"/>
              <w:right w:val="single" w:color="auto" w:sz="6" w:space="0"/>
            </w:tcBorders>
            <w:vAlign w:val="center"/>
          </w:tcPr>
          <w:p>
            <w:pPr>
              <w:rPr>
                <w:sz w:val="24"/>
                <w:highlight w:val="none"/>
              </w:rPr>
            </w:pPr>
          </w:p>
        </w:tc>
        <w:tc>
          <w:tcPr>
            <w:tcW w:w="1549" w:type="dxa"/>
            <w:tcBorders>
              <w:top w:val="single" w:color="auto" w:sz="6" w:space="0"/>
              <w:left w:val="single" w:color="auto" w:sz="6" w:space="0"/>
              <w:bottom w:val="single" w:color="auto" w:sz="6" w:space="0"/>
              <w:right w:val="single" w:color="auto" w:sz="6" w:space="0"/>
            </w:tcBorders>
            <w:vAlign w:val="center"/>
          </w:tcPr>
          <w:p>
            <w:pPr>
              <w:rPr>
                <w:sz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807"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968"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731"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1205" w:type="dxa"/>
            <w:tcBorders>
              <w:top w:val="single" w:color="auto" w:sz="6" w:space="0"/>
              <w:left w:val="single" w:color="auto" w:sz="6" w:space="0"/>
              <w:bottom w:val="single" w:color="auto" w:sz="6" w:space="0"/>
              <w:right w:val="single" w:color="auto" w:sz="2" w:space="0"/>
            </w:tcBorders>
            <w:vAlign w:val="center"/>
          </w:tcPr>
          <w:p>
            <w:pPr>
              <w:rPr>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 w:type="dxa"/>
            <w:bottom w:w="0" w:type="dxa"/>
            <w:right w:w="10" w:type="dxa"/>
          </w:tblCellMar>
        </w:tblPrEx>
        <w:trPr>
          <w:trHeight w:val="626" w:hRule="atLeast"/>
          <w:jc w:val="center"/>
        </w:trPr>
        <w:tc>
          <w:tcPr>
            <w:tcW w:w="472" w:type="dxa"/>
            <w:vMerge w:val="continue"/>
            <w:tcBorders>
              <w:top w:val="single" w:color="auto" w:sz="6" w:space="0"/>
              <w:left w:val="single" w:color="auto" w:sz="2" w:space="0"/>
              <w:bottom w:val="single" w:color="auto" w:sz="2" w:space="0"/>
              <w:right w:val="single" w:color="auto" w:sz="6" w:space="0"/>
            </w:tcBorders>
            <w:vAlign w:val="center"/>
          </w:tcPr>
          <w:p>
            <w:pPr>
              <w:widowControl/>
              <w:jc w:val="left"/>
              <w:rPr>
                <w:rFonts w:ascii="宋体" w:hAnsi="宋体"/>
                <w:szCs w:val="21"/>
                <w:highlight w:val="none"/>
              </w:rPr>
            </w:pPr>
          </w:p>
        </w:tc>
        <w:tc>
          <w:tcPr>
            <w:tcW w:w="1788" w:type="dxa"/>
            <w:tcBorders>
              <w:top w:val="single" w:color="auto" w:sz="6" w:space="0"/>
              <w:left w:val="single" w:color="auto" w:sz="6" w:space="0"/>
              <w:bottom w:val="single" w:color="auto" w:sz="6" w:space="0"/>
              <w:right w:val="single" w:color="auto" w:sz="6" w:space="0"/>
            </w:tcBorders>
            <w:vAlign w:val="center"/>
          </w:tcPr>
          <w:p>
            <w:pPr>
              <w:rPr>
                <w:sz w:val="24"/>
                <w:highlight w:val="none"/>
              </w:rPr>
            </w:pPr>
          </w:p>
        </w:tc>
        <w:tc>
          <w:tcPr>
            <w:tcW w:w="1549" w:type="dxa"/>
            <w:tcBorders>
              <w:top w:val="single" w:color="auto" w:sz="6" w:space="0"/>
              <w:left w:val="single" w:color="auto" w:sz="6" w:space="0"/>
              <w:bottom w:val="single" w:color="auto" w:sz="6" w:space="0"/>
              <w:right w:val="single" w:color="auto" w:sz="6" w:space="0"/>
            </w:tcBorders>
            <w:vAlign w:val="center"/>
          </w:tcPr>
          <w:p>
            <w:pPr>
              <w:rPr>
                <w:sz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807"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968"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731"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1205" w:type="dxa"/>
            <w:tcBorders>
              <w:top w:val="single" w:color="auto" w:sz="6" w:space="0"/>
              <w:left w:val="single" w:color="auto" w:sz="6" w:space="0"/>
              <w:bottom w:val="single" w:color="auto" w:sz="6" w:space="0"/>
              <w:right w:val="single" w:color="auto" w:sz="2" w:space="0"/>
            </w:tcBorders>
            <w:vAlign w:val="center"/>
          </w:tcPr>
          <w:p>
            <w:pPr>
              <w:rPr>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 w:type="dxa"/>
            <w:bottom w:w="0" w:type="dxa"/>
            <w:right w:w="10" w:type="dxa"/>
          </w:tblCellMar>
        </w:tblPrEx>
        <w:trPr>
          <w:trHeight w:val="626" w:hRule="atLeast"/>
          <w:jc w:val="center"/>
        </w:trPr>
        <w:tc>
          <w:tcPr>
            <w:tcW w:w="472" w:type="dxa"/>
            <w:vMerge w:val="continue"/>
            <w:tcBorders>
              <w:top w:val="single" w:color="auto" w:sz="6" w:space="0"/>
              <w:left w:val="single" w:color="auto" w:sz="2" w:space="0"/>
              <w:bottom w:val="single" w:color="auto" w:sz="2" w:space="0"/>
              <w:right w:val="single" w:color="auto" w:sz="6" w:space="0"/>
            </w:tcBorders>
            <w:vAlign w:val="center"/>
          </w:tcPr>
          <w:p>
            <w:pPr>
              <w:widowControl/>
              <w:jc w:val="left"/>
              <w:rPr>
                <w:rFonts w:ascii="宋体" w:hAnsi="宋体"/>
                <w:szCs w:val="21"/>
                <w:highlight w:val="none"/>
              </w:rPr>
            </w:pPr>
          </w:p>
        </w:tc>
        <w:tc>
          <w:tcPr>
            <w:tcW w:w="1788" w:type="dxa"/>
            <w:tcBorders>
              <w:top w:val="single" w:color="auto" w:sz="6" w:space="0"/>
              <w:left w:val="single" w:color="auto" w:sz="6" w:space="0"/>
              <w:bottom w:val="single" w:color="auto" w:sz="6" w:space="0"/>
              <w:right w:val="single" w:color="auto" w:sz="6" w:space="0"/>
            </w:tcBorders>
            <w:vAlign w:val="center"/>
          </w:tcPr>
          <w:p>
            <w:pPr>
              <w:rPr>
                <w:sz w:val="24"/>
                <w:highlight w:val="none"/>
              </w:rPr>
            </w:pPr>
          </w:p>
        </w:tc>
        <w:tc>
          <w:tcPr>
            <w:tcW w:w="1549" w:type="dxa"/>
            <w:tcBorders>
              <w:top w:val="single" w:color="auto" w:sz="6" w:space="0"/>
              <w:left w:val="single" w:color="auto" w:sz="6" w:space="0"/>
              <w:bottom w:val="single" w:color="auto" w:sz="6" w:space="0"/>
              <w:right w:val="single" w:color="auto" w:sz="6" w:space="0"/>
            </w:tcBorders>
            <w:vAlign w:val="center"/>
          </w:tcPr>
          <w:p>
            <w:pPr>
              <w:rPr>
                <w:sz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807"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968"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731" w:type="dxa"/>
            <w:tcBorders>
              <w:top w:val="single" w:color="auto" w:sz="6" w:space="0"/>
              <w:left w:val="single" w:color="auto" w:sz="6" w:space="0"/>
              <w:bottom w:val="single" w:color="auto" w:sz="6" w:space="0"/>
              <w:right w:val="single" w:color="auto" w:sz="6" w:space="0"/>
            </w:tcBorders>
            <w:vAlign w:val="center"/>
          </w:tcPr>
          <w:p>
            <w:pPr>
              <w:rPr>
                <w:highlight w:val="none"/>
              </w:rPr>
            </w:pPr>
          </w:p>
        </w:tc>
        <w:tc>
          <w:tcPr>
            <w:tcW w:w="1205" w:type="dxa"/>
            <w:tcBorders>
              <w:top w:val="single" w:color="auto" w:sz="6" w:space="0"/>
              <w:left w:val="single" w:color="auto" w:sz="6" w:space="0"/>
              <w:bottom w:val="single" w:color="auto" w:sz="6" w:space="0"/>
              <w:right w:val="single" w:color="auto" w:sz="2" w:space="0"/>
            </w:tcBorders>
            <w:vAlign w:val="center"/>
          </w:tcPr>
          <w:p>
            <w:pPr>
              <w:rPr>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 w:type="dxa"/>
            <w:bottom w:w="0" w:type="dxa"/>
            <w:right w:w="10" w:type="dxa"/>
          </w:tblCellMar>
        </w:tblPrEx>
        <w:trPr>
          <w:trHeight w:val="636" w:hRule="atLeast"/>
          <w:jc w:val="center"/>
        </w:trPr>
        <w:tc>
          <w:tcPr>
            <w:tcW w:w="472" w:type="dxa"/>
            <w:vMerge w:val="continue"/>
            <w:tcBorders>
              <w:top w:val="single" w:color="auto" w:sz="6" w:space="0"/>
              <w:left w:val="single" w:color="auto" w:sz="2" w:space="0"/>
              <w:bottom w:val="single" w:color="auto" w:sz="2" w:space="0"/>
              <w:right w:val="single" w:color="auto" w:sz="6" w:space="0"/>
            </w:tcBorders>
            <w:vAlign w:val="center"/>
          </w:tcPr>
          <w:p>
            <w:pPr>
              <w:widowControl/>
              <w:jc w:val="left"/>
              <w:rPr>
                <w:rFonts w:ascii="宋体" w:hAnsi="宋体"/>
                <w:szCs w:val="21"/>
                <w:highlight w:val="none"/>
              </w:rPr>
            </w:pPr>
          </w:p>
        </w:tc>
        <w:tc>
          <w:tcPr>
            <w:tcW w:w="1788" w:type="dxa"/>
            <w:tcBorders>
              <w:top w:val="single" w:color="auto" w:sz="6" w:space="0"/>
              <w:left w:val="single" w:color="auto" w:sz="6" w:space="0"/>
              <w:bottom w:val="single" w:color="auto" w:sz="2" w:space="0"/>
              <w:right w:val="single" w:color="auto" w:sz="6" w:space="0"/>
            </w:tcBorders>
            <w:vAlign w:val="center"/>
          </w:tcPr>
          <w:p>
            <w:pPr>
              <w:rPr>
                <w:highlight w:val="none"/>
              </w:rPr>
            </w:pPr>
            <w:r>
              <w:rPr>
                <w:rFonts w:hint="eastAsia"/>
                <w:highlight w:val="none"/>
              </w:rPr>
              <w:t>…</w:t>
            </w:r>
          </w:p>
        </w:tc>
        <w:tc>
          <w:tcPr>
            <w:tcW w:w="1549" w:type="dxa"/>
            <w:tcBorders>
              <w:top w:val="single" w:color="auto" w:sz="6" w:space="0"/>
              <w:left w:val="single" w:color="auto" w:sz="6" w:space="0"/>
              <w:bottom w:val="single" w:color="auto" w:sz="2" w:space="0"/>
              <w:right w:val="single" w:color="auto" w:sz="6" w:space="0"/>
            </w:tcBorders>
            <w:vAlign w:val="center"/>
          </w:tcPr>
          <w:p>
            <w:pPr>
              <w:rPr>
                <w:highlight w:val="none"/>
              </w:rPr>
            </w:pPr>
          </w:p>
        </w:tc>
        <w:tc>
          <w:tcPr>
            <w:tcW w:w="806" w:type="dxa"/>
            <w:tcBorders>
              <w:top w:val="single" w:color="auto" w:sz="6" w:space="0"/>
              <w:left w:val="single" w:color="auto" w:sz="6" w:space="0"/>
              <w:bottom w:val="single" w:color="auto" w:sz="2" w:space="0"/>
              <w:right w:val="single" w:color="auto" w:sz="6" w:space="0"/>
            </w:tcBorders>
            <w:vAlign w:val="center"/>
          </w:tcPr>
          <w:p>
            <w:pPr>
              <w:rPr>
                <w:highlight w:val="none"/>
              </w:rPr>
            </w:pPr>
          </w:p>
        </w:tc>
        <w:tc>
          <w:tcPr>
            <w:tcW w:w="807" w:type="dxa"/>
            <w:tcBorders>
              <w:top w:val="single" w:color="auto" w:sz="6" w:space="0"/>
              <w:left w:val="single" w:color="auto" w:sz="6" w:space="0"/>
              <w:bottom w:val="single" w:color="auto" w:sz="2" w:space="0"/>
              <w:right w:val="single" w:color="auto" w:sz="6" w:space="0"/>
            </w:tcBorders>
            <w:vAlign w:val="center"/>
          </w:tcPr>
          <w:p>
            <w:pPr>
              <w:rPr>
                <w:highlight w:val="none"/>
              </w:rPr>
            </w:pPr>
          </w:p>
        </w:tc>
        <w:tc>
          <w:tcPr>
            <w:tcW w:w="968" w:type="dxa"/>
            <w:tcBorders>
              <w:top w:val="single" w:color="auto" w:sz="6" w:space="0"/>
              <w:left w:val="single" w:color="auto" w:sz="6" w:space="0"/>
              <w:bottom w:val="single" w:color="auto" w:sz="2" w:space="0"/>
              <w:right w:val="single" w:color="auto" w:sz="6" w:space="0"/>
            </w:tcBorders>
            <w:vAlign w:val="center"/>
          </w:tcPr>
          <w:p>
            <w:pPr>
              <w:rPr>
                <w:highlight w:val="none"/>
              </w:rPr>
            </w:pPr>
          </w:p>
        </w:tc>
        <w:tc>
          <w:tcPr>
            <w:tcW w:w="731" w:type="dxa"/>
            <w:tcBorders>
              <w:top w:val="single" w:color="auto" w:sz="6" w:space="0"/>
              <w:left w:val="single" w:color="auto" w:sz="6" w:space="0"/>
              <w:bottom w:val="single" w:color="auto" w:sz="2" w:space="0"/>
              <w:right w:val="single" w:color="auto" w:sz="6" w:space="0"/>
            </w:tcBorders>
            <w:vAlign w:val="center"/>
          </w:tcPr>
          <w:p>
            <w:pPr>
              <w:rPr>
                <w:highlight w:val="none"/>
              </w:rPr>
            </w:pPr>
          </w:p>
        </w:tc>
        <w:tc>
          <w:tcPr>
            <w:tcW w:w="1205" w:type="dxa"/>
            <w:tcBorders>
              <w:top w:val="single" w:color="auto" w:sz="6" w:space="0"/>
              <w:left w:val="single" w:color="auto" w:sz="6" w:space="0"/>
              <w:bottom w:val="single" w:color="auto" w:sz="2" w:space="0"/>
              <w:right w:val="single" w:color="auto" w:sz="2" w:space="0"/>
            </w:tcBorders>
            <w:vAlign w:val="center"/>
          </w:tcPr>
          <w:p>
            <w:pPr>
              <w:rPr>
                <w:highlight w:val="none"/>
              </w:rPr>
            </w:pPr>
          </w:p>
        </w:tc>
      </w:tr>
    </w:tbl>
    <w:p>
      <w:pPr>
        <w:rPr>
          <w:highlight w:val="none"/>
        </w:rPr>
      </w:pPr>
      <w:r>
        <w:rPr>
          <w:rFonts w:hint="eastAsia"/>
          <w:highlight w:val="none"/>
        </w:rPr>
        <w:t>注：</w:t>
      </w:r>
      <w:r>
        <w:rPr>
          <w:highlight w:val="none"/>
        </w:rPr>
        <w:t>1</w:t>
      </w:r>
      <w:r>
        <w:rPr>
          <w:rFonts w:hint="eastAsia"/>
          <w:highlight w:val="none"/>
        </w:rPr>
        <w:t>、设备名称及要求数量由投标人视本工程具体情况结合招标人对本工程的具体要求自行配备；</w:t>
      </w:r>
    </w:p>
    <w:p>
      <w:pPr>
        <w:ind w:firstLine="436"/>
        <w:rPr>
          <w:highlight w:val="none"/>
        </w:rPr>
      </w:pPr>
      <w:r>
        <w:rPr>
          <w:szCs w:val="21"/>
          <w:highlight w:val="none"/>
        </w:rPr>
        <w:t>2</w:t>
      </w:r>
      <w:r>
        <w:rPr>
          <w:rFonts w:hint="eastAsia"/>
          <w:highlight w:val="none"/>
        </w:rPr>
        <w:t>、投入的设备如为自有，须附购货发票、报关单（如为进口）；如为租用，须附租赁合同。如无附发票</w:t>
      </w:r>
      <w:r>
        <w:rPr>
          <w:rFonts w:hint="eastAsia"/>
          <w:highlight w:val="none"/>
          <w:lang w:eastAsia="zh-CN"/>
        </w:rPr>
        <w:t>、</w:t>
      </w:r>
      <w:r>
        <w:rPr>
          <w:rFonts w:hint="eastAsia"/>
          <w:highlight w:val="none"/>
          <w:lang w:val="en-US" w:eastAsia="zh-CN"/>
        </w:rPr>
        <w:t>合同</w:t>
      </w:r>
      <w:r>
        <w:rPr>
          <w:rFonts w:hint="eastAsia"/>
          <w:highlight w:val="none"/>
        </w:rPr>
        <w:t>或相关证明资料，则该设备不作评审。</w:t>
      </w:r>
    </w:p>
    <w:p>
      <w:pPr>
        <w:ind w:firstLine="496"/>
        <w:rPr>
          <w:highlight w:val="none"/>
        </w:rPr>
      </w:pPr>
    </w:p>
    <w:p>
      <w:pPr>
        <w:ind w:firstLine="3045" w:firstLineChars="1450"/>
        <w:rPr>
          <w:highlight w:val="none"/>
        </w:rPr>
      </w:pPr>
      <w:r>
        <w:rPr>
          <w:rFonts w:hint="eastAsia"/>
          <w:highlight w:val="none"/>
        </w:rPr>
        <w:t>投标人：　　（盖章）</w:t>
      </w:r>
    </w:p>
    <w:p>
      <w:pPr>
        <w:ind w:firstLine="3045" w:firstLineChars="1450"/>
        <w:rPr>
          <w:highlight w:val="none"/>
        </w:rPr>
      </w:pPr>
      <w:r>
        <w:rPr>
          <w:rFonts w:hint="eastAsia"/>
          <w:highlight w:val="none"/>
        </w:rPr>
        <w:t>法定代表人或授权代理人（签字或盖章）：</w:t>
      </w:r>
    </w:p>
    <w:p>
      <w:pPr>
        <w:ind w:firstLine="3045" w:firstLineChars="1450"/>
        <w:rPr>
          <w:highlight w:val="none"/>
        </w:rPr>
      </w:pPr>
      <w:r>
        <w:rPr>
          <w:rFonts w:hint="eastAsia"/>
          <w:highlight w:val="none"/>
        </w:rPr>
        <w:t>日</w:t>
      </w:r>
      <w:r>
        <w:rPr>
          <w:highlight w:val="none"/>
        </w:rPr>
        <w:t xml:space="preserve">   </w:t>
      </w:r>
      <w:r>
        <w:rPr>
          <w:rFonts w:hint="eastAsia"/>
          <w:highlight w:val="none"/>
        </w:rPr>
        <w:t>期：</w:t>
      </w:r>
      <w:r>
        <w:rPr>
          <w:highlight w:val="none"/>
        </w:rPr>
        <w:t xml:space="preserve">    </w:t>
      </w:r>
      <w:r>
        <w:rPr>
          <w:rFonts w:hint="eastAsia"/>
          <w:highlight w:val="none"/>
        </w:rPr>
        <w:t>年</w:t>
      </w:r>
      <w:r>
        <w:rPr>
          <w:highlight w:val="none"/>
        </w:rPr>
        <w:t xml:space="preserve">    </w:t>
      </w:r>
      <w:r>
        <w:rPr>
          <w:rFonts w:hint="eastAsia"/>
          <w:highlight w:val="none"/>
        </w:rPr>
        <w:t>月</w:t>
      </w:r>
      <w:r>
        <w:rPr>
          <w:highlight w:val="none"/>
        </w:rPr>
        <w:t xml:space="preserve">    </w:t>
      </w:r>
      <w:r>
        <w:rPr>
          <w:rFonts w:hint="eastAsia"/>
          <w:highlight w:val="none"/>
        </w:rPr>
        <w:t>日</w:t>
      </w:r>
      <w:r>
        <w:rPr>
          <w:highlight w:val="none"/>
        </w:rPr>
        <w:t xml:space="preserve"> </w:t>
      </w:r>
    </w:p>
    <w:p>
      <w:pPr>
        <w:ind w:firstLine="496"/>
        <w:rPr>
          <w:highlight w:val="none"/>
        </w:rPr>
      </w:pPr>
    </w:p>
    <w:p>
      <w:pPr>
        <w:spacing w:before="120"/>
        <w:rPr>
          <w:rFonts w:hint="eastAsia"/>
          <w:b/>
          <w:highlight w:val="none"/>
        </w:rPr>
      </w:pPr>
      <w:bookmarkStart w:id="1199" w:name="_Toc337720103"/>
      <w:bookmarkStart w:id="1200" w:name="_Toc32172"/>
      <w:bookmarkStart w:id="1201" w:name="_Toc163337633"/>
      <w:bookmarkStart w:id="1202" w:name="_Toc504465869"/>
      <w:bookmarkStart w:id="1203" w:name="_Toc395261111"/>
      <w:bookmarkStart w:id="1204" w:name="_Toc6975"/>
      <w:bookmarkStart w:id="1205" w:name="_Toc1873"/>
      <w:bookmarkStart w:id="1206" w:name="_Toc352623433"/>
      <w:bookmarkStart w:id="1207" w:name="_Toc27697"/>
      <w:bookmarkStart w:id="1208" w:name="_Toc226209016"/>
      <w:bookmarkStart w:id="1209" w:name="_Toc318924508"/>
      <w:bookmarkStart w:id="1210" w:name="_Toc22208"/>
      <w:bookmarkStart w:id="1211" w:name="_Toc358370590"/>
      <w:bookmarkStart w:id="1212" w:name="_Toc9537"/>
      <w:bookmarkStart w:id="1213" w:name="_Toc239311759"/>
      <w:bookmarkStart w:id="1214" w:name="_Toc449308431"/>
      <w:bookmarkStart w:id="1215" w:name="_Toc239216044"/>
      <w:bookmarkStart w:id="1216" w:name="_Toc319444834"/>
      <w:bookmarkStart w:id="1217" w:name="_Toc21743"/>
      <w:bookmarkStart w:id="1218" w:name="_Toc10151"/>
      <w:bookmarkStart w:id="1219" w:name="_Toc12883"/>
      <w:bookmarkStart w:id="1220" w:name="_Toc16977"/>
      <w:bookmarkStart w:id="1221" w:name="_Toc369536782"/>
      <w:bookmarkStart w:id="1222" w:name="_Toc464131233"/>
      <w:bookmarkStart w:id="1223" w:name="_Toc51288281"/>
      <w:bookmarkStart w:id="1224" w:name="_Toc352240535"/>
      <w:bookmarkStart w:id="1225" w:name="_Toc33695128"/>
      <w:bookmarkStart w:id="1226" w:name="_Toc50453134"/>
    </w:p>
    <w:p>
      <w:pPr>
        <w:spacing w:before="120"/>
        <w:rPr>
          <w:rFonts w:hint="eastAsia"/>
          <w:b/>
          <w:highlight w:val="none"/>
        </w:rPr>
      </w:pPr>
    </w:p>
    <w:p>
      <w:pPr>
        <w:pStyle w:val="17"/>
        <w:rPr>
          <w:rFonts w:hint="eastAsia"/>
          <w:highlight w:val="none"/>
        </w:rPr>
      </w:pPr>
    </w:p>
    <w:p>
      <w:pPr>
        <w:spacing w:before="120"/>
        <w:rPr>
          <w:rFonts w:hint="eastAsia"/>
          <w:b/>
          <w:highlight w:val="none"/>
        </w:rPr>
      </w:pPr>
    </w:p>
    <w:p>
      <w:pPr>
        <w:spacing w:before="120"/>
        <w:rPr>
          <w:highlight w:val="none"/>
        </w:rPr>
      </w:pPr>
      <w:r>
        <w:rPr>
          <w:rFonts w:hint="eastAsia"/>
          <w:b/>
          <w:highlight w:val="none"/>
        </w:rPr>
        <w:t>附表5：</w:t>
      </w:r>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r>
        <w:rPr>
          <w:rFonts w:hint="eastAsia"/>
          <w:highlight w:val="none"/>
        </w:rPr>
        <w:t>资金使用计划表</w:t>
      </w:r>
    </w:p>
    <w:tbl>
      <w:tblPr>
        <w:tblStyle w:val="16"/>
        <w:tblW w:w="8215" w:type="dxa"/>
        <w:jc w:val="center"/>
        <w:tblInd w:w="0" w:type="dxa"/>
        <w:tblLayout w:type="fixed"/>
        <w:tblCellMar>
          <w:top w:w="0" w:type="dxa"/>
          <w:left w:w="10" w:type="dxa"/>
          <w:bottom w:w="0" w:type="dxa"/>
          <w:right w:w="10" w:type="dxa"/>
        </w:tblCellMar>
      </w:tblPr>
      <w:tblGrid>
        <w:gridCol w:w="2285"/>
        <w:gridCol w:w="2277"/>
        <w:gridCol w:w="2277"/>
        <w:gridCol w:w="1376"/>
      </w:tblGrid>
      <w:tr>
        <w:tblPrEx>
          <w:tblLayout w:type="fixed"/>
          <w:tblCellMar>
            <w:top w:w="0" w:type="dxa"/>
            <w:left w:w="10" w:type="dxa"/>
            <w:bottom w:w="0" w:type="dxa"/>
            <w:right w:w="10" w:type="dxa"/>
          </w:tblCellMar>
        </w:tblPrEx>
        <w:trPr>
          <w:jc w:val="center"/>
        </w:trPr>
        <w:tc>
          <w:tcPr>
            <w:tcW w:w="2285" w:type="dxa"/>
            <w:vMerge w:val="restart"/>
            <w:tcBorders>
              <w:top w:val="single" w:color="auto" w:sz="4" w:space="0"/>
              <w:left w:val="single" w:color="auto" w:sz="4" w:space="0"/>
              <w:bottom w:val="single" w:color="auto" w:sz="6" w:space="0"/>
              <w:right w:val="single" w:color="auto" w:sz="6" w:space="0"/>
            </w:tcBorders>
            <w:vAlign w:val="center"/>
          </w:tcPr>
          <w:p>
            <w:pPr>
              <w:ind w:left="0"/>
              <w:jc w:val="center"/>
              <w:rPr>
                <w:rFonts w:eastAsia="Times New Roman"/>
                <w:kern w:val="2"/>
                <w:highlight w:val="none"/>
              </w:rPr>
            </w:pPr>
            <w:r>
              <w:rPr>
                <w:rFonts w:hint="eastAsia" w:ascii="宋体" w:hAnsi="宋体" w:cs="宋体"/>
                <w:kern w:val="2"/>
                <w:highlight w:val="none"/>
              </w:rPr>
              <w:t>从开工月算起的时间（月）</w:t>
            </w:r>
          </w:p>
        </w:tc>
        <w:tc>
          <w:tcPr>
            <w:tcW w:w="4554" w:type="dxa"/>
            <w:gridSpan w:val="2"/>
            <w:tcBorders>
              <w:top w:val="single" w:color="auto" w:sz="4" w:space="0"/>
              <w:left w:val="single" w:color="auto" w:sz="6" w:space="0"/>
              <w:bottom w:val="single" w:color="auto" w:sz="6" w:space="0"/>
              <w:right w:val="single" w:color="auto" w:sz="6" w:space="0"/>
            </w:tcBorders>
            <w:vAlign w:val="center"/>
          </w:tcPr>
          <w:p>
            <w:pPr>
              <w:ind w:left="479"/>
              <w:jc w:val="center"/>
              <w:rPr>
                <w:rFonts w:eastAsia="Times New Roman"/>
                <w:kern w:val="2"/>
                <w:highlight w:val="none"/>
              </w:rPr>
            </w:pPr>
            <w:r>
              <w:rPr>
                <w:rFonts w:hint="eastAsia" w:ascii="宋体" w:hAnsi="宋体" w:cs="宋体"/>
                <w:kern w:val="2"/>
                <w:highlight w:val="none"/>
              </w:rPr>
              <w:t>资金使用计划</w:t>
            </w:r>
          </w:p>
        </w:tc>
        <w:tc>
          <w:tcPr>
            <w:tcW w:w="1376" w:type="dxa"/>
            <w:vMerge w:val="restart"/>
            <w:tcBorders>
              <w:top w:val="single" w:color="auto" w:sz="4" w:space="0"/>
              <w:left w:val="single" w:color="auto" w:sz="6" w:space="0"/>
              <w:bottom w:val="single" w:color="auto" w:sz="6" w:space="0"/>
              <w:right w:val="single" w:color="auto" w:sz="4" w:space="0"/>
            </w:tcBorders>
            <w:vAlign w:val="center"/>
          </w:tcPr>
          <w:p>
            <w:pPr>
              <w:ind w:left="479"/>
              <w:jc w:val="center"/>
              <w:rPr>
                <w:rFonts w:eastAsia="Times New Roman"/>
                <w:kern w:val="2"/>
                <w:highlight w:val="none"/>
              </w:rPr>
            </w:pPr>
            <w:r>
              <w:rPr>
                <w:rFonts w:hint="eastAsia" w:ascii="宋体" w:hAnsi="宋体" w:cs="宋体"/>
                <w:kern w:val="2"/>
                <w:highlight w:val="none"/>
              </w:rPr>
              <w:t>备注</w:t>
            </w:r>
          </w:p>
        </w:tc>
      </w:tr>
      <w:tr>
        <w:tblPrEx>
          <w:tblLayout w:type="fixed"/>
          <w:tblCellMar>
            <w:top w:w="0" w:type="dxa"/>
            <w:left w:w="10" w:type="dxa"/>
            <w:bottom w:w="0" w:type="dxa"/>
            <w:right w:w="10" w:type="dxa"/>
          </w:tblCellMar>
        </w:tblPrEx>
        <w:trPr>
          <w:jc w:val="center"/>
        </w:trPr>
        <w:tc>
          <w:tcPr>
            <w:tcW w:w="2285" w:type="dxa"/>
            <w:vMerge w:val="continue"/>
            <w:tcBorders>
              <w:top w:val="single" w:color="auto" w:sz="4" w:space="0"/>
              <w:left w:val="single" w:color="auto" w:sz="4" w:space="0"/>
              <w:bottom w:val="single" w:color="auto" w:sz="6" w:space="0"/>
              <w:right w:val="single" w:color="auto" w:sz="6" w:space="0"/>
            </w:tcBorders>
            <w:vAlign w:val="center"/>
          </w:tcPr>
          <w:p>
            <w:pPr>
              <w:widowControl/>
              <w:jc w:val="left"/>
              <w:rPr>
                <w:rFonts w:eastAsia="Times New Roman"/>
                <w:spacing w:val="4"/>
                <w:sz w:val="24"/>
                <w:highlight w:val="none"/>
              </w:rPr>
            </w:pPr>
          </w:p>
        </w:tc>
        <w:tc>
          <w:tcPr>
            <w:tcW w:w="2277" w:type="dxa"/>
            <w:tcBorders>
              <w:top w:val="single" w:color="auto" w:sz="6" w:space="0"/>
              <w:left w:val="single" w:color="auto" w:sz="6" w:space="0"/>
              <w:bottom w:val="single" w:color="auto" w:sz="6" w:space="0"/>
              <w:right w:val="single" w:color="auto" w:sz="6" w:space="0"/>
            </w:tcBorders>
            <w:vAlign w:val="center"/>
          </w:tcPr>
          <w:p>
            <w:pPr>
              <w:ind w:left="479"/>
              <w:jc w:val="center"/>
              <w:rPr>
                <w:rFonts w:eastAsia="Times New Roman"/>
                <w:kern w:val="2"/>
                <w:highlight w:val="none"/>
              </w:rPr>
            </w:pPr>
            <w:r>
              <w:rPr>
                <w:rFonts w:hint="eastAsia" w:ascii="宋体" w:hAnsi="宋体" w:cs="宋体"/>
                <w:kern w:val="2"/>
                <w:highlight w:val="none"/>
              </w:rPr>
              <w:t>分期（</w:t>
            </w:r>
            <w:r>
              <w:rPr>
                <w:rFonts w:eastAsia="Times New Roman"/>
                <w:kern w:val="2"/>
                <w:highlight w:val="none"/>
              </w:rPr>
              <w:t>%</w:t>
            </w:r>
            <w:r>
              <w:rPr>
                <w:rFonts w:hint="eastAsia" w:ascii="宋体" w:hAnsi="宋体" w:cs="宋体"/>
                <w:kern w:val="2"/>
                <w:highlight w:val="none"/>
              </w:rPr>
              <w:t>）</w:t>
            </w:r>
          </w:p>
        </w:tc>
        <w:tc>
          <w:tcPr>
            <w:tcW w:w="2277" w:type="dxa"/>
            <w:tcBorders>
              <w:top w:val="single" w:color="auto" w:sz="6" w:space="0"/>
              <w:left w:val="single" w:color="auto" w:sz="6" w:space="0"/>
              <w:bottom w:val="single" w:color="auto" w:sz="6" w:space="0"/>
              <w:right w:val="single" w:color="auto" w:sz="6" w:space="0"/>
            </w:tcBorders>
            <w:vAlign w:val="center"/>
          </w:tcPr>
          <w:p>
            <w:pPr>
              <w:ind w:left="479"/>
              <w:jc w:val="center"/>
              <w:rPr>
                <w:rFonts w:eastAsia="Times New Roman"/>
                <w:kern w:val="2"/>
                <w:highlight w:val="none"/>
              </w:rPr>
            </w:pPr>
            <w:r>
              <w:rPr>
                <w:rFonts w:hint="eastAsia" w:ascii="宋体" w:hAnsi="宋体" w:cs="宋体"/>
                <w:kern w:val="2"/>
                <w:highlight w:val="none"/>
              </w:rPr>
              <w:t>累计（</w:t>
            </w:r>
            <w:r>
              <w:rPr>
                <w:rFonts w:eastAsia="Times New Roman"/>
                <w:kern w:val="2"/>
                <w:highlight w:val="none"/>
              </w:rPr>
              <w:t>%</w:t>
            </w:r>
            <w:r>
              <w:rPr>
                <w:rFonts w:hint="eastAsia" w:ascii="宋体" w:hAnsi="宋体" w:cs="宋体"/>
                <w:kern w:val="2"/>
                <w:highlight w:val="none"/>
              </w:rPr>
              <w:t>）</w:t>
            </w:r>
          </w:p>
        </w:tc>
        <w:tc>
          <w:tcPr>
            <w:tcW w:w="1376" w:type="dxa"/>
            <w:vMerge w:val="continue"/>
            <w:tcBorders>
              <w:top w:val="single" w:color="auto" w:sz="4" w:space="0"/>
              <w:left w:val="single" w:color="auto" w:sz="6" w:space="0"/>
              <w:bottom w:val="single" w:color="auto" w:sz="6" w:space="0"/>
              <w:right w:val="single" w:color="auto" w:sz="4" w:space="0"/>
            </w:tcBorders>
            <w:vAlign w:val="center"/>
          </w:tcPr>
          <w:p>
            <w:pPr>
              <w:widowControl/>
              <w:jc w:val="left"/>
              <w:rPr>
                <w:rFonts w:eastAsia="Times New Roman"/>
                <w:spacing w:val="4"/>
                <w:sz w:val="24"/>
                <w:highlight w:val="none"/>
              </w:rPr>
            </w:pPr>
          </w:p>
        </w:tc>
      </w:tr>
      <w:tr>
        <w:tblPrEx>
          <w:tblLayout w:type="fixed"/>
          <w:tblCellMar>
            <w:top w:w="0" w:type="dxa"/>
            <w:left w:w="10" w:type="dxa"/>
            <w:bottom w:w="0" w:type="dxa"/>
            <w:right w:w="10" w:type="dxa"/>
          </w:tblCellMar>
        </w:tblPrEx>
        <w:trPr>
          <w:jc w:val="center"/>
        </w:trPr>
        <w:tc>
          <w:tcPr>
            <w:tcW w:w="2285" w:type="dxa"/>
            <w:tcBorders>
              <w:top w:val="single" w:color="auto" w:sz="6" w:space="0"/>
              <w:left w:val="single" w:color="auto" w:sz="4" w:space="0"/>
              <w:bottom w:val="single" w:color="auto" w:sz="6" w:space="0"/>
              <w:right w:val="single" w:color="auto" w:sz="6" w:space="0"/>
            </w:tcBorders>
          </w:tcPr>
          <w:p>
            <w:pPr>
              <w:ind w:left="479"/>
              <w:jc w:val="center"/>
              <w:rPr>
                <w:rFonts w:eastAsia="Times New Roman"/>
                <w:kern w:val="2"/>
                <w:highlight w:val="none"/>
              </w:rPr>
            </w:pPr>
            <w:r>
              <w:rPr>
                <w:rFonts w:hint="eastAsia" w:ascii="宋体" w:hAnsi="宋体" w:cs="宋体"/>
                <w:kern w:val="2"/>
                <w:highlight w:val="none"/>
              </w:rPr>
              <w:t>预付款</w:t>
            </w:r>
          </w:p>
        </w:tc>
        <w:tc>
          <w:tcPr>
            <w:tcW w:w="2277" w:type="dxa"/>
            <w:tcBorders>
              <w:top w:val="single" w:color="auto" w:sz="6" w:space="0"/>
              <w:left w:val="single" w:color="auto" w:sz="6" w:space="0"/>
              <w:bottom w:val="single" w:color="auto" w:sz="6" w:space="0"/>
              <w:right w:val="single" w:color="auto" w:sz="6" w:space="0"/>
            </w:tcBorders>
          </w:tcPr>
          <w:p>
            <w:pPr>
              <w:ind w:left="479"/>
              <w:jc w:val="center"/>
              <w:rPr>
                <w:rFonts w:eastAsia="Times New Roman"/>
                <w:kern w:val="2"/>
                <w:highlight w:val="none"/>
              </w:rPr>
            </w:pPr>
          </w:p>
        </w:tc>
        <w:tc>
          <w:tcPr>
            <w:tcW w:w="2277" w:type="dxa"/>
            <w:tcBorders>
              <w:top w:val="single" w:color="auto" w:sz="6" w:space="0"/>
              <w:left w:val="single" w:color="auto" w:sz="6" w:space="0"/>
              <w:bottom w:val="single" w:color="auto" w:sz="6" w:space="0"/>
              <w:right w:val="single" w:color="auto" w:sz="6" w:space="0"/>
            </w:tcBorders>
          </w:tcPr>
          <w:p>
            <w:pPr>
              <w:ind w:left="479"/>
              <w:jc w:val="center"/>
              <w:rPr>
                <w:rFonts w:eastAsia="Times New Roman"/>
                <w:kern w:val="2"/>
                <w:highlight w:val="none"/>
              </w:rPr>
            </w:pPr>
          </w:p>
        </w:tc>
        <w:tc>
          <w:tcPr>
            <w:tcW w:w="1376" w:type="dxa"/>
            <w:tcBorders>
              <w:top w:val="single" w:color="auto" w:sz="6" w:space="0"/>
              <w:left w:val="single" w:color="auto" w:sz="6" w:space="0"/>
              <w:bottom w:val="single" w:color="auto" w:sz="6" w:space="0"/>
              <w:right w:val="single" w:color="auto" w:sz="4" w:space="0"/>
            </w:tcBorders>
          </w:tcPr>
          <w:p>
            <w:pPr>
              <w:ind w:left="479"/>
              <w:jc w:val="center"/>
              <w:rPr>
                <w:rFonts w:eastAsia="Times New Roman"/>
                <w:kern w:val="2"/>
                <w:highlight w:val="none"/>
              </w:rPr>
            </w:pPr>
          </w:p>
        </w:tc>
      </w:tr>
      <w:tr>
        <w:tblPrEx>
          <w:tblLayout w:type="fixed"/>
          <w:tblCellMar>
            <w:top w:w="0" w:type="dxa"/>
            <w:left w:w="10" w:type="dxa"/>
            <w:bottom w:w="0" w:type="dxa"/>
            <w:right w:w="10" w:type="dxa"/>
          </w:tblCellMar>
        </w:tblPrEx>
        <w:trPr>
          <w:jc w:val="center"/>
        </w:trPr>
        <w:tc>
          <w:tcPr>
            <w:tcW w:w="2285" w:type="dxa"/>
            <w:tcBorders>
              <w:top w:val="single" w:color="auto" w:sz="6" w:space="0"/>
              <w:left w:val="single" w:color="auto" w:sz="4" w:space="0"/>
              <w:bottom w:val="single" w:color="auto" w:sz="6" w:space="0"/>
              <w:right w:val="single" w:color="auto" w:sz="6" w:space="0"/>
            </w:tcBorders>
          </w:tcPr>
          <w:p>
            <w:pPr>
              <w:ind w:left="479"/>
              <w:jc w:val="center"/>
              <w:rPr>
                <w:rFonts w:eastAsia="Times New Roman"/>
                <w:kern w:val="2"/>
                <w:highlight w:val="none"/>
              </w:rPr>
            </w:pPr>
            <w:r>
              <w:rPr>
                <w:rFonts w:hint="eastAsia" w:ascii="宋体" w:hAnsi="宋体" w:cs="宋体"/>
                <w:kern w:val="2"/>
                <w:highlight w:val="none"/>
              </w:rPr>
              <w:t>第</w:t>
            </w:r>
            <w:r>
              <w:rPr>
                <w:rFonts w:eastAsia="Times New Roman"/>
                <w:kern w:val="2"/>
                <w:highlight w:val="none"/>
              </w:rPr>
              <w:t>1</w:t>
            </w:r>
            <w:r>
              <w:rPr>
                <w:rFonts w:hint="eastAsia" w:ascii="宋体" w:hAnsi="宋体" w:cs="宋体"/>
                <w:kern w:val="2"/>
                <w:highlight w:val="none"/>
              </w:rPr>
              <w:t>月</w:t>
            </w:r>
          </w:p>
        </w:tc>
        <w:tc>
          <w:tcPr>
            <w:tcW w:w="2277" w:type="dxa"/>
            <w:tcBorders>
              <w:top w:val="single" w:color="auto" w:sz="6" w:space="0"/>
              <w:left w:val="single" w:color="auto" w:sz="6" w:space="0"/>
              <w:bottom w:val="single" w:color="auto" w:sz="6" w:space="0"/>
              <w:right w:val="single" w:color="auto" w:sz="6" w:space="0"/>
            </w:tcBorders>
          </w:tcPr>
          <w:p>
            <w:pPr>
              <w:ind w:left="479"/>
              <w:jc w:val="center"/>
              <w:rPr>
                <w:rFonts w:eastAsia="Times New Roman"/>
                <w:kern w:val="2"/>
                <w:highlight w:val="none"/>
              </w:rPr>
            </w:pPr>
          </w:p>
        </w:tc>
        <w:tc>
          <w:tcPr>
            <w:tcW w:w="2277" w:type="dxa"/>
            <w:tcBorders>
              <w:top w:val="single" w:color="auto" w:sz="6" w:space="0"/>
              <w:left w:val="single" w:color="auto" w:sz="6" w:space="0"/>
              <w:bottom w:val="single" w:color="auto" w:sz="6" w:space="0"/>
              <w:right w:val="single" w:color="auto" w:sz="6" w:space="0"/>
            </w:tcBorders>
          </w:tcPr>
          <w:p>
            <w:pPr>
              <w:ind w:left="479"/>
              <w:jc w:val="center"/>
              <w:rPr>
                <w:rFonts w:eastAsia="Times New Roman"/>
                <w:kern w:val="2"/>
                <w:highlight w:val="none"/>
              </w:rPr>
            </w:pPr>
          </w:p>
        </w:tc>
        <w:tc>
          <w:tcPr>
            <w:tcW w:w="1376" w:type="dxa"/>
            <w:tcBorders>
              <w:top w:val="single" w:color="auto" w:sz="6" w:space="0"/>
              <w:left w:val="single" w:color="auto" w:sz="6" w:space="0"/>
              <w:bottom w:val="single" w:color="auto" w:sz="6" w:space="0"/>
              <w:right w:val="single" w:color="auto" w:sz="4" w:space="0"/>
            </w:tcBorders>
          </w:tcPr>
          <w:p>
            <w:pPr>
              <w:ind w:left="479"/>
              <w:jc w:val="center"/>
              <w:rPr>
                <w:rFonts w:eastAsia="Times New Roman"/>
                <w:kern w:val="2"/>
                <w:highlight w:val="none"/>
              </w:rPr>
            </w:pPr>
          </w:p>
        </w:tc>
      </w:tr>
      <w:tr>
        <w:tblPrEx>
          <w:tblLayout w:type="fixed"/>
          <w:tblCellMar>
            <w:top w:w="0" w:type="dxa"/>
            <w:left w:w="10" w:type="dxa"/>
            <w:bottom w:w="0" w:type="dxa"/>
            <w:right w:w="10" w:type="dxa"/>
          </w:tblCellMar>
        </w:tblPrEx>
        <w:trPr>
          <w:jc w:val="center"/>
        </w:trPr>
        <w:tc>
          <w:tcPr>
            <w:tcW w:w="2285" w:type="dxa"/>
            <w:tcBorders>
              <w:top w:val="single" w:color="auto" w:sz="6" w:space="0"/>
              <w:left w:val="single" w:color="auto" w:sz="4" w:space="0"/>
              <w:bottom w:val="single" w:color="auto" w:sz="6" w:space="0"/>
              <w:right w:val="single" w:color="auto" w:sz="6" w:space="0"/>
            </w:tcBorders>
          </w:tcPr>
          <w:p>
            <w:pPr>
              <w:ind w:left="479"/>
              <w:jc w:val="center"/>
              <w:rPr>
                <w:rFonts w:eastAsia="Times New Roman"/>
                <w:kern w:val="2"/>
                <w:highlight w:val="none"/>
              </w:rPr>
            </w:pPr>
            <w:r>
              <w:rPr>
                <w:rFonts w:hint="eastAsia" w:ascii="宋体" w:hAnsi="宋体" w:cs="宋体"/>
                <w:kern w:val="2"/>
                <w:highlight w:val="none"/>
              </w:rPr>
              <w:t>第</w:t>
            </w:r>
            <w:r>
              <w:rPr>
                <w:rFonts w:eastAsia="Times New Roman"/>
                <w:kern w:val="2"/>
                <w:highlight w:val="none"/>
              </w:rPr>
              <w:t>2</w:t>
            </w:r>
            <w:r>
              <w:rPr>
                <w:rFonts w:hint="eastAsia" w:ascii="宋体" w:hAnsi="宋体" w:cs="宋体"/>
                <w:kern w:val="2"/>
                <w:highlight w:val="none"/>
              </w:rPr>
              <w:t>月</w:t>
            </w:r>
          </w:p>
        </w:tc>
        <w:tc>
          <w:tcPr>
            <w:tcW w:w="2277" w:type="dxa"/>
            <w:tcBorders>
              <w:top w:val="single" w:color="auto" w:sz="6" w:space="0"/>
              <w:left w:val="single" w:color="auto" w:sz="6" w:space="0"/>
              <w:bottom w:val="single" w:color="auto" w:sz="6" w:space="0"/>
              <w:right w:val="single" w:color="auto" w:sz="6" w:space="0"/>
            </w:tcBorders>
          </w:tcPr>
          <w:p>
            <w:pPr>
              <w:ind w:left="479"/>
              <w:jc w:val="center"/>
              <w:rPr>
                <w:rFonts w:eastAsia="Times New Roman"/>
                <w:kern w:val="2"/>
                <w:highlight w:val="none"/>
              </w:rPr>
            </w:pPr>
          </w:p>
        </w:tc>
        <w:tc>
          <w:tcPr>
            <w:tcW w:w="2277" w:type="dxa"/>
            <w:tcBorders>
              <w:top w:val="single" w:color="auto" w:sz="6" w:space="0"/>
              <w:left w:val="single" w:color="auto" w:sz="6" w:space="0"/>
              <w:bottom w:val="single" w:color="auto" w:sz="6" w:space="0"/>
              <w:right w:val="single" w:color="auto" w:sz="6" w:space="0"/>
            </w:tcBorders>
          </w:tcPr>
          <w:p>
            <w:pPr>
              <w:ind w:left="479"/>
              <w:jc w:val="center"/>
              <w:rPr>
                <w:rFonts w:eastAsia="Times New Roman"/>
                <w:kern w:val="2"/>
                <w:highlight w:val="none"/>
              </w:rPr>
            </w:pPr>
          </w:p>
        </w:tc>
        <w:tc>
          <w:tcPr>
            <w:tcW w:w="1376" w:type="dxa"/>
            <w:tcBorders>
              <w:top w:val="single" w:color="auto" w:sz="6" w:space="0"/>
              <w:left w:val="single" w:color="auto" w:sz="6" w:space="0"/>
              <w:bottom w:val="single" w:color="auto" w:sz="6" w:space="0"/>
              <w:right w:val="single" w:color="auto" w:sz="4" w:space="0"/>
            </w:tcBorders>
          </w:tcPr>
          <w:p>
            <w:pPr>
              <w:ind w:left="479"/>
              <w:jc w:val="center"/>
              <w:rPr>
                <w:rFonts w:eastAsia="Times New Roman"/>
                <w:kern w:val="2"/>
                <w:highlight w:val="none"/>
              </w:rPr>
            </w:pPr>
          </w:p>
        </w:tc>
      </w:tr>
      <w:tr>
        <w:tblPrEx>
          <w:tblLayout w:type="fixed"/>
          <w:tblCellMar>
            <w:top w:w="0" w:type="dxa"/>
            <w:left w:w="10" w:type="dxa"/>
            <w:bottom w:w="0" w:type="dxa"/>
            <w:right w:w="10" w:type="dxa"/>
          </w:tblCellMar>
        </w:tblPrEx>
        <w:trPr>
          <w:jc w:val="center"/>
        </w:trPr>
        <w:tc>
          <w:tcPr>
            <w:tcW w:w="2285" w:type="dxa"/>
            <w:tcBorders>
              <w:top w:val="single" w:color="auto" w:sz="6" w:space="0"/>
              <w:left w:val="single" w:color="auto" w:sz="4" w:space="0"/>
              <w:bottom w:val="single" w:color="auto" w:sz="6" w:space="0"/>
              <w:right w:val="single" w:color="auto" w:sz="6" w:space="0"/>
            </w:tcBorders>
          </w:tcPr>
          <w:p>
            <w:pPr>
              <w:ind w:left="479"/>
              <w:jc w:val="center"/>
              <w:rPr>
                <w:rFonts w:eastAsia="Times New Roman"/>
                <w:kern w:val="2"/>
                <w:highlight w:val="none"/>
              </w:rPr>
            </w:pPr>
            <w:r>
              <w:rPr>
                <w:rFonts w:hint="eastAsia" w:ascii="宋体" w:hAnsi="宋体" w:cs="宋体"/>
                <w:kern w:val="2"/>
                <w:highlight w:val="none"/>
              </w:rPr>
              <w:t>第</w:t>
            </w:r>
            <w:r>
              <w:rPr>
                <w:rFonts w:eastAsia="Times New Roman"/>
                <w:kern w:val="2"/>
                <w:highlight w:val="none"/>
              </w:rPr>
              <w:t>3</w:t>
            </w:r>
            <w:r>
              <w:rPr>
                <w:rFonts w:hint="eastAsia" w:ascii="宋体" w:hAnsi="宋体" w:cs="宋体"/>
                <w:kern w:val="2"/>
                <w:highlight w:val="none"/>
              </w:rPr>
              <w:t>月</w:t>
            </w:r>
          </w:p>
        </w:tc>
        <w:tc>
          <w:tcPr>
            <w:tcW w:w="2277" w:type="dxa"/>
            <w:tcBorders>
              <w:top w:val="single" w:color="auto" w:sz="6" w:space="0"/>
              <w:left w:val="single" w:color="auto" w:sz="6" w:space="0"/>
              <w:bottom w:val="single" w:color="auto" w:sz="6" w:space="0"/>
              <w:right w:val="single" w:color="auto" w:sz="6" w:space="0"/>
            </w:tcBorders>
          </w:tcPr>
          <w:p>
            <w:pPr>
              <w:ind w:left="479"/>
              <w:jc w:val="center"/>
              <w:rPr>
                <w:rFonts w:eastAsia="Times New Roman"/>
                <w:kern w:val="2"/>
                <w:highlight w:val="none"/>
              </w:rPr>
            </w:pPr>
          </w:p>
        </w:tc>
        <w:tc>
          <w:tcPr>
            <w:tcW w:w="2277" w:type="dxa"/>
            <w:tcBorders>
              <w:top w:val="single" w:color="auto" w:sz="6" w:space="0"/>
              <w:left w:val="single" w:color="auto" w:sz="6" w:space="0"/>
              <w:bottom w:val="single" w:color="auto" w:sz="6" w:space="0"/>
              <w:right w:val="single" w:color="auto" w:sz="6" w:space="0"/>
            </w:tcBorders>
          </w:tcPr>
          <w:p>
            <w:pPr>
              <w:ind w:left="479"/>
              <w:jc w:val="center"/>
              <w:rPr>
                <w:rFonts w:eastAsia="Times New Roman"/>
                <w:kern w:val="2"/>
                <w:highlight w:val="none"/>
              </w:rPr>
            </w:pPr>
          </w:p>
        </w:tc>
        <w:tc>
          <w:tcPr>
            <w:tcW w:w="1376" w:type="dxa"/>
            <w:tcBorders>
              <w:top w:val="single" w:color="auto" w:sz="6" w:space="0"/>
              <w:left w:val="single" w:color="auto" w:sz="6" w:space="0"/>
              <w:bottom w:val="single" w:color="auto" w:sz="6" w:space="0"/>
              <w:right w:val="single" w:color="auto" w:sz="4" w:space="0"/>
            </w:tcBorders>
          </w:tcPr>
          <w:p>
            <w:pPr>
              <w:ind w:left="479"/>
              <w:jc w:val="center"/>
              <w:rPr>
                <w:rFonts w:eastAsia="Times New Roman"/>
                <w:kern w:val="2"/>
                <w:highlight w:val="none"/>
              </w:rPr>
            </w:pPr>
          </w:p>
        </w:tc>
      </w:tr>
      <w:tr>
        <w:tblPrEx>
          <w:tblLayout w:type="fixed"/>
          <w:tblCellMar>
            <w:top w:w="0" w:type="dxa"/>
            <w:left w:w="10" w:type="dxa"/>
            <w:bottom w:w="0" w:type="dxa"/>
            <w:right w:w="10" w:type="dxa"/>
          </w:tblCellMar>
        </w:tblPrEx>
        <w:trPr>
          <w:jc w:val="center"/>
        </w:trPr>
        <w:tc>
          <w:tcPr>
            <w:tcW w:w="2285" w:type="dxa"/>
            <w:tcBorders>
              <w:top w:val="single" w:color="auto" w:sz="6" w:space="0"/>
              <w:left w:val="single" w:color="auto" w:sz="4" w:space="0"/>
              <w:bottom w:val="single" w:color="auto" w:sz="6" w:space="0"/>
              <w:right w:val="single" w:color="auto" w:sz="6" w:space="0"/>
            </w:tcBorders>
          </w:tcPr>
          <w:p>
            <w:pPr>
              <w:ind w:left="479"/>
              <w:jc w:val="center"/>
              <w:rPr>
                <w:rFonts w:eastAsia="Times New Roman"/>
                <w:kern w:val="2"/>
                <w:highlight w:val="none"/>
              </w:rPr>
            </w:pPr>
            <w:r>
              <w:rPr>
                <w:rFonts w:hint="eastAsia" w:ascii="宋体" w:hAnsi="宋体" w:cs="宋体"/>
                <w:kern w:val="2"/>
                <w:highlight w:val="none"/>
              </w:rPr>
              <w:t>第</w:t>
            </w:r>
            <w:r>
              <w:rPr>
                <w:rFonts w:eastAsia="Times New Roman"/>
                <w:kern w:val="2"/>
                <w:highlight w:val="none"/>
              </w:rPr>
              <w:t>4</w:t>
            </w:r>
            <w:r>
              <w:rPr>
                <w:rFonts w:hint="eastAsia" w:ascii="宋体" w:hAnsi="宋体" w:cs="宋体"/>
                <w:kern w:val="2"/>
                <w:highlight w:val="none"/>
              </w:rPr>
              <w:t>月</w:t>
            </w:r>
          </w:p>
        </w:tc>
        <w:tc>
          <w:tcPr>
            <w:tcW w:w="2277" w:type="dxa"/>
            <w:tcBorders>
              <w:top w:val="single" w:color="auto" w:sz="6" w:space="0"/>
              <w:left w:val="single" w:color="auto" w:sz="6" w:space="0"/>
              <w:bottom w:val="single" w:color="auto" w:sz="6" w:space="0"/>
              <w:right w:val="single" w:color="auto" w:sz="6" w:space="0"/>
            </w:tcBorders>
          </w:tcPr>
          <w:p>
            <w:pPr>
              <w:ind w:left="479"/>
              <w:jc w:val="center"/>
              <w:rPr>
                <w:rFonts w:eastAsia="Times New Roman"/>
                <w:kern w:val="2"/>
                <w:highlight w:val="none"/>
              </w:rPr>
            </w:pPr>
          </w:p>
        </w:tc>
        <w:tc>
          <w:tcPr>
            <w:tcW w:w="2277" w:type="dxa"/>
            <w:tcBorders>
              <w:top w:val="single" w:color="auto" w:sz="6" w:space="0"/>
              <w:left w:val="single" w:color="auto" w:sz="6" w:space="0"/>
              <w:bottom w:val="single" w:color="auto" w:sz="6" w:space="0"/>
              <w:right w:val="single" w:color="auto" w:sz="6" w:space="0"/>
            </w:tcBorders>
          </w:tcPr>
          <w:p>
            <w:pPr>
              <w:ind w:left="479"/>
              <w:jc w:val="center"/>
              <w:rPr>
                <w:rFonts w:eastAsia="Times New Roman"/>
                <w:kern w:val="2"/>
                <w:highlight w:val="none"/>
              </w:rPr>
            </w:pPr>
          </w:p>
        </w:tc>
        <w:tc>
          <w:tcPr>
            <w:tcW w:w="1376" w:type="dxa"/>
            <w:tcBorders>
              <w:top w:val="single" w:color="auto" w:sz="6" w:space="0"/>
              <w:left w:val="single" w:color="auto" w:sz="6" w:space="0"/>
              <w:bottom w:val="single" w:color="auto" w:sz="6" w:space="0"/>
              <w:right w:val="single" w:color="auto" w:sz="4" w:space="0"/>
            </w:tcBorders>
          </w:tcPr>
          <w:p>
            <w:pPr>
              <w:ind w:left="479"/>
              <w:jc w:val="center"/>
              <w:rPr>
                <w:rFonts w:eastAsia="Times New Roman"/>
                <w:kern w:val="2"/>
                <w:highlight w:val="none"/>
              </w:rPr>
            </w:pPr>
          </w:p>
        </w:tc>
      </w:tr>
      <w:tr>
        <w:tblPrEx>
          <w:tblLayout w:type="fixed"/>
          <w:tblCellMar>
            <w:top w:w="0" w:type="dxa"/>
            <w:left w:w="10" w:type="dxa"/>
            <w:bottom w:w="0" w:type="dxa"/>
            <w:right w:w="10" w:type="dxa"/>
          </w:tblCellMar>
        </w:tblPrEx>
        <w:trPr>
          <w:jc w:val="center"/>
        </w:trPr>
        <w:tc>
          <w:tcPr>
            <w:tcW w:w="2285" w:type="dxa"/>
            <w:tcBorders>
              <w:top w:val="single" w:color="auto" w:sz="6" w:space="0"/>
              <w:left w:val="single" w:color="auto" w:sz="4" w:space="0"/>
              <w:bottom w:val="single" w:color="auto" w:sz="6" w:space="0"/>
              <w:right w:val="single" w:color="auto" w:sz="6" w:space="0"/>
            </w:tcBorders>
          </w:tcPr>
          <w:p>
            <w:pPr>
              <w:ind w:left="479"/>
              <w:jc w:val="center"/>
              <w:rPr>
                <w:rFonts w:eastAsia="Times New Roman"/>
                <w:kern w:val="2"/>
                <w:highlight w:val="none"/>
              </w:rPr>
            </w:pPr>
            <w:r>
              <w:rPr>
                <w:rFonts w:eastAsia="Times New Roman"/>
                <w:kern w:val="2"/>
                <w:highlight w:val="none"/>
              </w:rPr>
              <w:t>……</w:t>
            </w:r>
          </w:p>
        </w:tc>
        <w:tc>
          <w:tcPr>
            <w:tcW w:w="2277" w:type="dxa"/>
            <w:tcBorders>
              <w:top w:val="single" w:color="auto" w:sz="6" w:space="0"/>
              <w:left w:val="single" w:color="auto" w:sz="6" w:space="0"/>
              <w:bottom w:val="single" w:color="auto" w:sz="6" w:space="0"/>
              <w:right w:val="single" w:color="auto" w:sz="6" w:space="0"/>
            </w:tcBorders>
          </w:tcPr>
          <w:p>
            <w:pPr>
              <w:ind w:left="479"/>
              <w:jc w:val="center"/>
              <w:rPr>
                <w:rFonts w:eastAsia="Times New Roman"/>
                <w:kern w:val="2"/>
                <w:highlight w:val="none"/>
              </w:rPr>
            </w:pPr>
          </w:p>
        </w:tc>
        <w:tc>
          <w:tcPr>
            <w:tcW w:w="2277" w:type="dxa"/>
            <w:tcBorders>
              <w:top w:val="single" w:color="auto" w:sz="6" w:space="0"/>
              <w:left w:val="single" w:color="auto" w:sz="6" w:space="0"/>
              <w:bottom w:val="single" w:color="auto" w:sz="6" w:space="0"/>
              <w:right w:val="single" w:color="auto" w:sz="6" w:space="0"/>
            </w:tcBorders>
          </w:tcPr>
          <w:p>
            <w:pPr>
              <w:ind w:left="479"/>
              <w:jc w:val="center"/>
              <w:rPr>
                <w:rFonts w:eastAsia="Times New Roman"/>
                <w:kern w:val="2"/>
                <w:highlight w:val="none"/>
              </w:rPr>
            </w:pPr>
          </w:p>
        </w:tc>
        <w:tc>
          <w:tcPr>
            <w:tcW w:w="1376" w:type="dxa"/>
            <w:tcBorders>
              <w:top w:val="single" w:color="auto" w:sz="6" w:space="0"/>
              <w:left w:val="single" w:color="auto" w:sz="6" w:space="0"/>
              <w:bottom w:val="single" w:color="auto" w:sz="6" w:space="0"/>
              <w:right w:val="single" w:color="auto" w:sz="4" w:space="0"/>
            </w:tcBorders>
          </w:tcPr>
          <w:p>
            <w:pPr>
              <w:ind w:left="479"/>
              <w:jc w:val="center"/>
              <w:rPr>
                <w:rFonts w:eastAsia="Times New Roman"/>
                <w:kern w:val="2"/>
                <w:highlight w:val="none"/>
              </w:rPr>
            </w:pPr>
          </w:p>
        </w:tc>
      </w:tr>
      <w:tr>
        <w:tblPrEx>
          <w:tblLayout w:type="fixed"/>
          <w:tblCellMar>
            <w:top w:w="0" w:type="dxa"/>
            <w:left w:w="10" w:type="dxa"/>
            <w:bottom w:w="0" w:type="dxa"/>
            <w:right w:w="10" w:type="dxa"/>
          </w:tblCellMar>
        </w:tblPrEx>
        <w:trPr>
          <w:jc w:val="center"/>
        </w:trPr>
        <w:tc>
          <w:tcPr>
            <w:tcW w:w="2285" w:type="dxa"/>
            <w:tcBorders>
              <w:top w:val="single" w:color="auto" w:sz="6" w:space="0"/>
              <w:left w:val="single" w:color="auto" w:sz="4" w:space="0"/>
              <w:bottom w:val="single" w:color="auto" w:sz="6" w:space="0"/>
              <w:right w:val="single" w:color="auto" w:sz="6" w:space="0"/>
            </w:tcBorders>
          </w:tcPr>
          <w:p>
            <w:pPr>
              <w:ind w:left="479"/>
              <w:jc w:val="center"/>
              <w:rPr>
                <w:rFonts w:eastAsia="Times New Roman"/>
                <w:kern w:val="2"/>
                <w:highlight w:val="none"/>
              </w:rPr>
            </w:pPr>
          </w:p>
        </w:tc>
        <w:tc>
          <w:tcPr>
            <w:tcW w:w="2277" w:type="dxa"/>
            <w:tcBorders>
              <w:top w:val="single" w:color="auto" w:sz="6" w:space="0"/>
              <w:left w:val="single" w:color="auto" w:sz="6" w:space="0"/>
              <w:bottom w:val="single" w:color="auto" w:sz="6" w:space="0"/>
              <w:right w:val="single" w:color="auto" w:sz="6" w:space="0"/>
            </w:tcBorders>
          </w:tcPr>
          <w:p>
            <w:pPr>
              <w:ind w:left="479"/>
              <w:jc w:val="center"/>
              <w:rPr>
                <w:rFonts w:eastAsia="Times New Roman"/>
                <w:kern w:val="2"/>
                <w:highlight w:val="none"/>
              </w:rPr>
            </w:pPr>
          </w:p>
        </w:tc>
        <w:tc>
          <w:tcPr>
            <w:tcW w:w="2277" w:type="dxa"/>
            <w:tcBorders>
              <w:top w:val="single" w:color="auto" w:sz="6" w:space="0"/>
              <w:left w:val="single" w:color="auto" w:sz="6" w:space="0"/>
              <w:bottom w:val="single" w:color="auto" w:sz="6" w:space="0"/>
              <w:right w:val="single" w:color="auto" w:sz="6" w:space="0"/>
            </w:tcBorders>
          </w:tcPr>
          <w:p>
            <w:pPr>
              <w:ind w:left="479"/>
              <w:jc w:val="center"/>
              <w:rPr>
                <w:rFonts w:eastAsia="Times New Roman"/>
                <w:kern w:val="2"/>
                <w:highlight w:val="none"/>
              </w:rPr>
            </w:pPr>
          </w:p>
        </w:tc>
        <w:tc>
          <w:tcPr>
            <w:tcW w:w="1376" w:type="dxa"/>
            <w:tcBorders>
              <w:top w:val="single" w:color="auto" w:sz="6" w:space="0"/>
              <w:left w:val="single" w:color="auto" w:sz="6" w:space="0"/>
              <w:bottom w:val="single" w:color="auto" w:sz="6" w:space="0"/>
              <w:right w:val="single" w:color="auto" w:sz="4" w:space="0"/>
            </w:tcBorders>
          </w:tcPr>
          <w:p>
            <w:pPr>
              <w:ind w:left="479"/>
              <w:jc w:val="center"/>
              <w:rPr>
                <w:rFonts w:eastAsia="Times New Roman"/>
                <w:kern w:val="2"/>
                <w:highlight w:val="none"/>
              </w:rPr>
            </w:pPr>
          </w:p>
        </w:tc>
      </w:tr>
      <w:tr>
        <w:tblPrEx>
          <w:tblLayout w:type="fixed"/>
          <w:tblCellMar>
            <w:top w:w="0" w:type="dxa"/>
            <w:left w:w="10" w:type="dxa"/>
            <w:bottom w:w="0" w:type="dxa"/>
            <w:right w:w="10" w:type="dxa"/>
          </w:tblCellMar>
        </w:tblPrEx>
        <w:trPr>
          <w:jc w:val="center"/>
        </w:trPr>
        <w:tc>
          <w:tcPr>
            <w:tcW w:w="2285" w:type="dxa"/>
            <w:tcBorders>
              <w:top w:val="single" w:color="auto" w:sz="6" w:space="0"/>
              <w:left w:val="single" w:color="auto" w:sz="4" w:space="0"/>
              <w:bottom w:val="single" w:color="auto" w:sz="6" w:space="0"/>
              <w:right w:val="single" w:color="auto" w:sz="6" w:space="0"/>
            </w:tcBorders>
          </w:tcPr>
          <w:p>
            <w:pPr>
              <w:ind w:left="479"/>
              <w:jc w:val="center"/>
              <w:rPr>
                <w:rFonts w:eastAsia="Times New Roman"/>
                <w:kern w:val="2"/>
                <w:highlight w:val="none"/>
              </w:rPr>
            </w:pPr>
          </w:p>
        </w:tc>
        <w:tc>
          <w:tcPr>
            <w:tcW w:w="2277" w:type="dxa"/>
            <w:tcBorders>
              <w:top w:val="single" w:color="auto" w:sz="6" w:space="0"/>
              <w:left w:val="single" w:color="auto" w:sz="6" w:space="0"/>
              <w:bottom w:val="single" w:color="auto" w:sz="6" w:space="0"/>
              <w:right w:val="single" w:color="auto" w:sz="6" w:space="0"/>
            </w:tcBorders>
          </w:tcPr>
          <w:p>
            <w:pPr>
              <w:ind w:left="479"/>
              <w:jc w:val="center"/>
              <w:rPr>
                <w:rFonts w:eastAsia="Times New Roman"/>
                <w:kern w:val="2"/>
                <w:highlight w:val="none"/>
              </w:rPr>
            </w:pPr>
          </w:p>
        </w:tc>
        <w:tc>
          <w:tcPr>
            <w:tcW w:w="2277" w:type="dxa"/>
            <w:tcBorders>
              <w:top w:val="single" w:color="auto" w:sz="6" w:space="0"/>
              <w:left w:val="single" w:color="auto" w:sz="6" w:space="0"/>
              <w:bottom w:val="single" w:color="auto" w:sz="6" w:space="0"/>
              <w:right w:val="single" w:color="auto" w:sz="6" w:space="0"/>
            </w:tcBorders>
          </w:tcPr>
          <w:p>
            <w:pPr>
              <w:ind w:left="479"/>
              <w:jc w:val="center"/>
              <w:rPr>
                <w:rFonts w:eastAsia="Times New Roman"/>
                <w:kern w:val="2"/>
                <w:highlight w:val="none"/>
              </w:rPr>
            </w:pPr>
          </w:p>
        </w:tc>
        <w:tc>
          <w:tcPr>
            <w:tcW w:w="1376" w:type="dxa"/>
            <w:tcBorders>
              <w:top w:val="single" w:color="auto" w:sz="6" w:space="0"/>
              <w:left w:val="single" w:color="auto" w:sz="6" w:space="0"/>
              <w:bottom w:val="single" w:color="auto" w:sz="6" w:space="0"/>
              <w:right w:val="single" w:color="auto" w:sz="4" w:space="0"/>
            </w:tcBorders>
          </w:tcPr>
          <w:p>
            <w:pPr>
              <w:ind w:left="479"/>
              <w:jc w:val="center"/>
              <w:rPr>
                <w:rFonts w:eastAsia="Times New Roman"/>
                <w:kern w:val="2"/>
                <w:highlight w:val="none"/>
              </w:rPr>
            </w:pPr>
          </w:p>
        </w:tc>
      </w:tr>
      <w:tr>
        <w:tblPrEx>
          <w:tblLayout w:type="fixed"/>
          <w:tblCellMar>
            <w:top w:w="0" w:type="dxa"/>
            <w:left w:w="10" w:type="dxa"/>
            <w:bottom w:w="0" w:type="dxa"/>
            <w:right w:w="10" w:type="dxa"/>
          </w:tblCellMar>
        </w:tblPrEx>
        <w:trPr>
          <w:jc w:val="center"/>
        </w:trPr>
        <w:tc>
          <w:tcPr>
            <w:tcW w:w="2285" w:type="dxa"/>
            <w:tcBorders>
              <w:top w:val="single" w:color="auto" w:sz="6" w:space="0"/>
              <w:left w:val="single" w:color="auto" w:sz="4" w:space="0"/>
              <w:bottom w:val="single" w:color="auto" w:sz="6" w:space="0"/>
              <w:right w:val="single" w:color="auto" w:sz="6" w:space="0"/>
            </w:tcBorders>
          </w:tcPr>
          <w:p>
            <w:pPr>
              <w:ind w:left="479"/>
              <w:jc w:val="center"/>
              <w:rPr>
                <w:rFonts w:eastAsia="Times New Roman"/>
                <w:kern w:val="2"/>
                <w:highlight w:val="none"/>
              </w:rPr>
            </w:pPr>
          </w:p>
        </w:tc>
        <w:tc>
          <w:tcPr>
            <w:tcW w:w="2277" w:type="dxa"/>
            <w:tcBorders>
              <w:top w:val="single" w:color="auto" w:sz="6" w:space="0"/>
              <w:left w:val="single" w:color="auto" w:sz="6" w:space="0"/>
              <w:bottom w:val="single" w:color="auto" w:sz="6" w:space="0"/>
              <w:right w:val="single" w:color="auto" w:sz="6" w:space="0"/>
            </w:tcBorders>
          </w:tcPr>
          <w:p>
            <w:pPr>
              <w:ind w:left="479"/>
              <w:jc w:val="center"/>
              <w:rPr>
                <w:rFonts w:eastAsia="Times New Roman"/>
                <w:kern w:val="2"/>
                <w:highlight w:val="none"/>
              </w:rPr>
            </w:pPr>
          </w:p>
        </w:tc>
        <w:tc>
          <w:tcPr>
            <w:tcW w:w="2277" w:type="dxa"/>
            <w:tcBorders>
              <w:top w:val="single" w:color="auto" w:sz="6" w:space="0"/>
              <w:left w:val="single" w:color="auto" w:sz="6" w:space="0"/>
              <w:bottom w:val="single" w:color="auto" w:sz="6" w:space="0"/>
              <w:right w:val="single" w:color="auto" w:sz="6" w:space="0"/>
            </w:tcBorders>
          </w:tcPr>
          <w:p>
            <w:pPr>
              <w:ind w:left="479"/>
              <w:jc w:val="center"/>
              <w:rPr>
                <w:rFonts w:eastAsia="Times New Roman"/>
                <w:kern w:val="2"/>
                <w:highlight w:val="none"/>
              </w:rPr>
            </w:pPr>
          </w:p>
        </w:tc>
        <w:tc>
          <w:tcPr>
            <w:tcW w:w="1376" w:type="dxa"/>
            <w:tcBorders>
              <w:top w:val="single" w:color="auto" w:sz="6" w:space="0"/>
              <w:left w:val="single" w:color="auto" w:sz="6" w:space="0"/>
              <w:bottom w:val="single" w:color="auto" w:sz="6" w:space="0"/>
              <w:right w:val="single" w:color="auto" w:sz="4" w:space="0"/>
            </w:tcBorders>
          </w:tcPr>
          <w:p>
            <w:pPr>
              <w:ind w:left="479"/>
              <w:jc w:val="center"/>
              <w:rPr>
                <w:rFonts w:eastAsia="Times New Roman"/>
                <w:kern w:val="2"/>
                <w:highlight w:val="none"/>
              </w:rPr>
            </w:pPr>
          </w:p>
        </w:tc>
      </w:tr>
      <w:tr>
        <w:tblPrEx>
          <w:tblLayout w:type="fixed"/>
          <w:tblCellMar>
            <w:top w:w="0" w:type="dxa"/>
            <w:left w:w="10" w:type="dxa"/>
            <w:bottom w:w="0" w:type="dxa"/>
            <w:right w:w="10" w:type="dxa"/>
          </w:tblCellMar>
        </w:tblPrEx>
        <w:trPr>
          <w:jc w:val="center"/>
        </w:trPr>
        <w:tc>
          <w:tcPr>
            <w:tcW w:w="2285" w:type="dxa"/>
            <w:tcBorders>
              <w:top w:val="single" w:color="auto" w:sz="6" w:space="0"/>
              <w:left w:val="single" w:color="auto" w:sz="4" w:space="0"/>
              <w:bottom w:val="single" w:color="auto" w:sz="6" w:space="0"/>
              <w:right w:val="single" w:color="auto" w:sz="6" w:space="0"/>
            </w:tcBorders>
          </w:tcPr>
          <w:p>
            <w:pPr>
              <w:ind w:left="479"/>
              <w:jc w:val="center"/>
              <w:rPr>
                <w:rFonts w:eastAsia="Times New Roman"/>
                <w:kern w:val="2"/>
                <w:highlight w:val="none"/>
              </w:rPr>
            </w:pPr>
          </w:p>
        </w:tc>
        <w:tc>
          <w:tcPr>
            <w:tcW w:w="2277" w:type="dxa"/>
            <w:tcBorders>
              <w:top w:val="single" w:color="auto" w:sz="6" w:space="0"/>
              <w:left w:val="single" w:color="auto" w:sz="6" w:space="0"/>
              <w:bottom w:val="single" w:color="auto" w:sz="6" w:space="0"/>
              <w:right w:val="single" w:color="auto" w:sz="6" w:space="0"/>
            </w:tcBorders>
          </w:tcPr>
          <w:p>
            <w:pPr>
              <w:ind w:left="479"/>
              <w:jc w:val="center"/>
              <w:rPr>
                <w:rFonts w:eastAsia="Times New Roman"/>
                <w:kern w:val="2"/>
                <w:highlight w:val="none"/>
              </w:rPr>
            </w:pPr>
          </w:p>
        </w:tc>
        <w:tc>
          <w:tcPr>
            <w:tcW w:w="2277" w:type="dxa"/>
            <w:tcBorders>
              <w:top w:val="single" w:color="auto" w:sz="6" w:space="0"/>
              <w:left w:val="single" w:color="auto" w:sz="6" w:space="0"/>
              <w:bottom w:val="single" w:color="auto" w:sz="6" w:space="0"/>
              <w:right w:val="single" w:color="auto" w:sz="6" w:space="0"/>
            </w:tcBorders>
          </w:tcPr>
          <w:p>
            <w:pPr>
              <w:ind w:left="479"/>
              <w:jc w:val="center"/>
              <w:rPr>
                <w:rFonts w:eastAsia="Times New Roman"/>
                <w:kern w:val="2"/>
                <w:highlight w:val="none"/>
              </w:rPr>
            </w:pPr>
          </w:p>
        </w:tc>
        <w:tc>
          <w:tcPr>
            <w:tcW w:w="1376" w:type="dxa"/>
            <w:tcBorders>
              <w:top w:val="single" w:color="auto" w:sz="6" w:space="0"/>
              <w:left w:val="single" w:color="auto" w:sz="6" w:space="0"/>
              <w:bottom w:val="single" w:color="auto" w:sz="6" w:space="0"/>
              <w:right w:val="single" w:color="auto" w:sz="4" w:space="0"/>
            </w:tcBorders>
          </w:tcPr>
          <w:p>
            <w:pPr>
              <w:ind w:left="479"/>
              <w:jc w:val="center"/>
              <w:rPr>
                <w:rFonts w:eastAsia="Times New Roman"/>
                <w:kern w:val="2"/>
                <w:highlight w:val="none"/>
              </w:rPr>
            </w:pPr>
          </w:p>
        </w:tc>
      </w:tr>
      <w:tr>
        <w:tblPrEx>
          <w:tblLayout w:type="fixed"/>
          <w:tblCellMar>
            <w:top w:w="0" w:type="dxa"/>
            <w:left w:w="10" w:type="dxa"/>
            <w:bottom w:w="0" w:type="dxa"/>
            <w:right w:w="10" w:type="dxa"/>
          </w:tblCellMar>
        </w:tblPrEx>
        <w:trPr>
          <w:jc w:val="center"/>
        </w:trPr>
        <w:tc>
          <w:tcPr>
            <w:tcW w:w="2285" w:type="dxa"/>
            <w:tcBorders>
              <w:top w:val="single" w:color="auto" w:sz="6" w:space="0"/>
              <w:left w:val="single" w:color="auto" w:sz="4" w:space="0"/>
              <w:bottom w:val="single" w:color="auto" w:sz="6" w:space="0"/>
              <w:right w:val="single" w:color="auto" w:sz="6" w:space="0"/>
            </w:tcBorders>
          </w:tcPr>
          <w:p>
            <w:pPr>
              <w:ind w:left="479"/>
              <w:jc w:val="center"/>
              <w:rPr>
                <w:rFonts w:eastAsia="Times New Roman"/>
                <w:kern w:val="2"/>
                <w:highlight w:val="none"/>
              </w:rPr>
            </w:pPr>
          </w:p>
        </w:tc>
        <w:tc>
          <w:tcPr>
            <w:tcW w:w="2277" w:type="dxa"/>
            <w:tcBorders>
              <w:top w:val="single" w:color="auto" w:sz="6" w:space="0"/>
              <w:left w:val="single" w:color="auto" w:sz="6" w:space="0"/>
              <w:bottom w:val="single" w:color="auto" w:sz="6" w:space="0"/>
              <w:right w:val="single" w:color="auto" w:sz="6" w:space="0"/>
            </w:tcBorders>
          </w:tcPr>
          <w:p>
            <w:pPr>
              <w:ind w:left="479"/>
              <w:jc w:val="center"/>
              <w:rPr>
                <w:rFonts w:eastAsia="Times New Roman"/>
                <w:kern w:val="2"/>
                <w:highlight w:val="none"/>
              </w:rPr>
            </w:pPr>
          </w:p>
        </w:tc>
        <w:tc>
          <w:tcPr>
            <w:tcW w:w="2277" w:type="dxa"/>
            <w:tcBorders>
              <w:top w:val="single" w:color="auto" w:sz="6" w:space="0"/>
              <w:left w:val="single" w:color="auto" w:sz="6" w:space="0"/>
              <w:bottom w:val="single" w:color="auto" w:sz="6" w:space="0"/>
              <w:right w:val="single" w:color="auto" w:sz="6" w:space="0"/>
            </w:tcBorders>
          </w:tcPr>
          <w:p>
            <w:pPr>
              <w:ind w:left="479"/>
              <w:jc w:val="center"/>
              <w:rPr>
                <w:rFonts w:eastAsia="Times New Roman"/>
                <w:kern w:val="2"/>
                <w:highlight w:val="none"/>
              </w:rPr>
            </w:pPr>
          </w:p>
        </w:tc>
        <w:tc>
          <w:tcPr>
            <w:tcW w:w="1376" w:type="dxa"/>
            <w:tcBorders>
              <w:top w:val="single" w:color="auto" w:sz="6" w:space="0"/>
              <w:left w:val="single" w:color="auto" w:sz="6" w:space="0"/>
              <w:bottom w:val="single" w:color="auto" w:sz="6" w:space="0"/>
              <w:right w:val="single" w:color="auto" w:sz="4" w:space="0"/>
            </w:tcBorders>
          </w:tcPr>
          <w:p>
            <w:pPr>
              <w:ind w:left="479"/>
              <w:jc w:val="center"/>
              <w:rPr>
                <w:rFonts w:eastAsia="Times New Roman"/>
                <w:kern w:val="2"/>
                <w:highlight w:val="none"/>
              </w:rPr>
            </w:pPr>
          </w:p>
        </w:tc>
      </w:tr>
      <w:tr>
        <w:tblPrEx>
          <w:tblLayout w:type="fixed"/>
          <w:tblCellMar>
            <w:top w:w="0" w:type="dxa"/>
            <w:left w:w="10" w:type="dxa"/>
            <w:bottom w:w="0" w:type="dxa"/>
            <w:right w:w="10" w:type="dxa"/>
          </w:tblCellMar>
        </w:tblPrEx>
        <w:trPr>
          <w:jc w:val="center"/>
        </w:trPr>
        <w:tc>
          <w:tcPr>
            <w:tcW w:w="2285" w:type="dxa"/>
            <w:tcBorders>
              <w:top w:val="single" w:color="auto" w:sz="6" w:space="0"/>
              <w:left w:val="single" w:color="auto" w:sz="4" w:space="0"/>
              <w:bottom w:val="single" w:color="auto" w:sz="6" w:space="0"/>
              <w:right w:val="single" w:color="auto" w:sz="6" w:space="0"/>
            </w:tcBorders>
          </w:tcPr>
          <w:p>
            <w:pPr>
              <w:ind w:left="479"/>
              <w:jc w:val="center"/>
              <w:rPr>
                <w:rFonts w:eastAsia="Times New Roman"/>
                <w:kern w:val="2"/>
                <w:highlight w:val="none"/>
              </w:rPr>
            </w:pPr>
          </w:p>
        </w:tc>
        <w:tc>
          <w:tcPr>
            <w:tcW w:w="2277" w:type="dxa"/>
            <w:tcBorders>
              <w:top w:val="single" w:color="auto" w:sz="6" w:space="0"/>
              <w:left w:val="single" w:color="auto" w:sz="6" w:space="0"/>
              <w:bottom w:val="single" w:color="auto" w:sz="6" w:space="0"/>
              <w:right w:val="single" w:color="auto" w:sz="6" w:space="0"/>
            </w:tcBorders>
          </w:tcPr>
          <w:p>
            <w:pPr>
              <w:ind w:left="479"/>
              <w:jc w:val="center"/>
              <w:rPr>
                <w:rFonts w:eastAsia="Times New Roman"/>
                <w:kern w:val="2"/>
                <w:highlight w:val="none"/>
              </w:rPr>
            </w:pPr>
          </w:p>
        </w:tc>
        <w:tc>
          <w:tcPr>
            <w:tcW w:w="2277" w:type="dxa"/>
            <w:tcBorders>
              <w:top w:val="single" w:color="auto" w:sz="6" w:space="0"/>
              <w:left w:val="single" w:color="auto" w:sz="6" w:space="0"/>
              <w:bottom w:val="single" w:color="auto" w:sz="6" w:space="0"/>
              <w:right w:val="single" w:color="auto" w:sz="6" w:space="0"/>
            </w:tcBorders>
          </w:tcPr>
          <w:p>
            <w:pPr>
              <w:ind w:left="479"/>
              <w:jc w:val="center"/>
              <w:rPr>
                <w:rFonts w:eastAsia="Times New Roman"/>
                <w:kern w:val="2"/>
                <w:highlight w:val="none"/>
              </w:rPr>
            </w:pPr>
          </w:p>
        </w:tc>
        <w:tc>
          <w:tcPr>
            <w:tcW w:w="1376" w:type="dxa"/>
            <w:tcBorders>
              <w:top w:val="single" w:color="auto" w:sz="6" w:space="0"/>
              <w:left w:val="single" w:color="auto" w:sz="6" w:space="0"/>
              <w:bottom w:val="single" w:color="auto" w:sz="6" w:space="0"/>
              <w:right w:val="single" w:color="auto" w:sz="4" w:space="0"/>
            </w:tcBorders>
          </w:tcPr>
          <w:p>
            <w:pPr>
              <w:ind w:left="479"/>
              <w:jc w:val="center"/>
              <w:rPr>
                <w:rFonts w:eastAsia="Times New Roman"/>
                <w:kern w:val="2"/>
                <w:highlight w:val="none"/>
              </w:rPr>
            </w:pPr>
          </w:p>
        </w:tc>
      </w:tr>
      <w:tr>
        <w:tblPrEx>
          <w:tblLayout w:type="fixed"/>
          <w:tblCellMar>
            <w:top w:w="0" w:type="dxa"/>
            <w:left w:w="10" w:type="dxa"/>
            <w:bottom w:w="0" w:type="dxa"/>
            <w:right w:w="10" w:type="dxa"/>
          </w:tblCellMar>
        </w:tblPrEx>
        <w:trPr>
          <w:jc w:val="center"/>
        </w:trPr>
        <w:tc>
          <w:tcPr>
            <w:tcW w:w="2285" w:type="dxa"/>
            <w:tcBorders>
              <w:top w:val="single" w:color="auto" w:sz="6" w:space="0"/>
              <w:left w:val="single" w:color="auto" w:sz="4" w:space="0"/>
              <w:bottom w:val="single" w:color="auto" w:sz="6" w:space="0"/>
              <w:right w:val="single" w:color="auto" w:sz="6" w:space="0"/>
            </w:tcBorders>
          </w:tcPr>
          <w:p>
            <w:pPr>
              <w:ind w:left="479"/>
              <w:jc w:val="center"/>
              <w:rPr>
                <w:rFonts w:eastAsia="Times New Roman"/>
                <w:kern w:val="2"/>
                <w:highlight w:val="none"/>
              </w:rPr>
            </w:pPr>
          </w:p>
        </w:tc>
        <w:tc>
          <w:tcPr>
            <w:tcW w:w="2277" w:type="dxa"/>
            <w:tcBorders>
              <w:top w:val="single" w:color="auto" w:sz="6" w:space="0"/>
              <w:left w:val="single" w:color="auto" w:sz="6" w:space="0"/>
              <w:bottom w:val="single" w:color="auto" w:sz="6" w:space="0"/>
              <w:right w:val="single" w:color="auto" w:sz="6" w:space="0"/>
            </w:tcBorders>
          </w:tcPr>
          <w:p>
            <w:pPr>
              <w:ind w:left="479"/>
              <w:jc w:val="center"/>
              <w:rPr>
                <w:rFonts w:eastAsia="Times New Roman"/>
                <w:kern w:val="2"/>
                <w:highlight w:val="none"/>
              </w:rPr>
            </w:pPr>
          </w:p>
        </w:tc>
        <w:tc>
          <w:tcPr>
            <w:tcW w:w="2277" w:type="dxa"/>
            <w:tcBorders>
              <w:top w:val="single" w:color="auto" w:sz="6" w:space="0"/>
              <w:left w:val="single" w:color="auto" w:sz="6" w:space="0"/>
              <w:bottom w:val="single" w:color="auto" w:sz="6" w:space="0"/>
              <w:right w:val="single" w:color="auto" w:sz="6" w:space="0"/>
            </w:tcBorders>
          </w:tcPr>
          <w:p>
            <w:pPr>
              <w:ind w:left="479"/>
              <w:jc w:val="center"/>
              <w:rPr>
                <w:rFonts w:eastAsia="Times New Roman"/>
                <w:kern w:val="2"/>
                <w:highlight w:val="none"/>
              </w:rPr>
            </w:pPr>
          </w:p>
        </w:tc>
        <w:tc>
          <w:tcPr>
            <w:tcW w:w="1376" w:type="dxa"/>
            <w:tcBorders>
              <w:top w:val="single" w:color="auto" w:sz="6" w:space="0"/>
              <w:left w:val="single" w:color="auto" w:sz="6" w:space="0"/>
              <w:bottom w:val="single" w:color="auto" w:sz="6" w:space="0"/>
              <w:right w:val="single" w:color="auto" w:sz="4" w:space="0"/>
            </w:tcBorders>
          </w:tcPr>
          <w:p>
            <w:pPr>
              <w:ind w:left="479"/>
              <w:jc w:val="center"/>
              <w:rPr>
                <w:rFonts w:eastAsia="Times New Roman"/>
                <w:kern w:val="2"/>
                <w:highlight w:val="none"/>
              </w:rPr>
            </w:pPr>
          </w:p>
        </w:tc>
      </w:tr>
      <w:tr>
        <w:tblPrEx>
          <w:tblLayout w:type="fixed"/>
          <w:tblCellMar>
            <w:top w:w="0" w:type="dxa"/>
            <w:left w:w="10" w:type="dxa"/>
            <w:bottom w:w="0" w:type="dxa"/>
            <w:right w:w="10" w:type="dxa"/>
          </w:tblCellMar>
        </w:tblPrEx>
        <w:trPr>
          <w:jc w:val="center"/>
        </w:trPr>
        <w:tc>
          <w:tcPr>
            <w:tcW w:w="2285" w:type="dxa"/>
            <w:tcBorders>
              <w:top w:val="single" w:color="auto" w:sz="6" w:space="0"/>
              <w:left w:val="single" w:color="auto" w:sz="4" w:space="0"/>
              <w:bottom w:val="single" w:color="auto" w:sz="6" w:space="0"/>
              <w:right w:val="single" w:color="auto" w:sz="6" w:space="0"/>
            </w:tcBorders>
          </w:tcPr>
          <w:p>
            <w:pPr>
              <w:ind w:left="479"/>
              <w:jc w:val="center"/>
              <w:rPr>
                <w:rFonts w:eastAsia="Times New Roman"/>
                <w:kern w:val="2"/>
                <w:highlight w:val="none"/>
              </w:rPr>
            </w:pPr>
          </w:p>
        </w:tc>
        <w:tc>
          <w:tcPr>
            <w:tcW w:w="2277" w:type="dxa"/>
            <w:tcBorders>
              <w:top w:val="single" w:color="auto" w:sz="6" w:space="0"/>
              <w:left w:val="single" w:color="auto" w:sz="6" w:space="0"/>
              <w:bottom w:val="single" w:color="auto" w:sz="6" w:space="0"/>
              <w:right w:val="single" w:color="auto" w:sz="6" w:space="0"/>
            </w:tcBorders>
          </w:tcPr>
          <w:p>
            <w:pPr>
              <w:ind w:left="479"/>
              <w:jc w:val="center"/>
              <w:rPr>
                <w:rFonts w:eastAsia="Times New Roman"/>
                <w:kern w:val="2"/>
                <w:highlight w:val="none"/>
              </w:rPr>
            </w:pPr>
          </w:p>
        </w:tc>
        <w:tc>
          <w:tcPr>
            <w:tcW w:w="2277" w:type="dxa"/>
            <w:tcBorders>
              <w:top w:val="single" w:color="auto" w:sz="6" w:space="0"/>
              <w:left w:val="single" w:color="auto" w:sz="6" w:space="0"/>
              <w:bottom w:val="single" w:color="auto" w:sz="6" w:space="0"/>
              <w:right w:val="single" w:color="auto" w:sz="6" w:space="0"/>
            </w:tcBorders>
          </w:tcPr>
          <w:p>
            <w:pPr>
              <w:ind w:left="479"/>
              <w:jc w:val="center"/>
              <w:rPr>
                <w:rFonts w:eastAsia="Times New Roman"/>
                <w:kern w:val="2"/>
                <w:highlight w:val="none"/>
              </w:rPr>
            </w:pPr>
          </w:p>
        </w:tc>
        <w:tc>
          <w:tcPr>
            <w:tcW w:w="1376" w:type="dxa"/>
            <w:tcBorders>
              <w:top w:val="single" w:color="auto" w:sz="6" w:space="0"/>
              <w:left w:val="single" w:color="auto" w:sz="6" w:space="0"/>
              <w:bottom w:val="single" w:color="auto" w:sz="6" w:space="0"/>
              <w:right w:val="single" w:color="auto" w:sz="4" w:space="0"/>
            </w:tcBorders>
          </w:tcPr>
          <w:p>
            <w:pPr>
              <w:ind w:left="479"/>
              <w:jc w:val="center"/>
              <w:rPr>
                <w:rFonts w:eastAsia="Times New Roman"/>
                <w:kern w:val="2"/>
                <w:highlight w:val="none"/>
              </w:rPr>
            </w:pPr>
          </w:p>
        </w:tc>
      </w:tr>
      <w:tr>
        <w:tblPrEx>
          <w:tblLayout w:type="fixed"/>
          <w:tblCellMar>
            <w:top w:w="0" w:type="dxa"/>
            <w:left w:w="10" w:type="dxa"/>
            <w:bottom w:w="0" w:type="dxa"/>
            <w:right w:w="10" w:type="dxa"/>
          </w:tblCellMar>
        </w:tblPrEx>
        <w:trPr>
          <w:jc w:val="center"/>
        </w:trPr>
        <w:tc>
          <w:tcPr>
            <w:tcW w:w="2285" w:type="dxa"/>
            <w:tcBorders>
              <w:top w:val="single" w:color="auto" w:sz="6" w:space="0"/>
              <w:left w:val="single" w:color="auto" w:sz="4" w:space="0"/>
              <w:bottom w:val="single" w:color="auto" w:sz="6" w:space="0"/>
              <w:right w:val="single" w:color="auto" w:sz="6" w:space="0"/>
            </w:tcBorders>
          </w:tcPr>
          <w:p>
            <w:pPr>
              <w:ind w:left="479"/>
              <w:jc w:val="center"/>
              <w:rPr>
                <w:rFonts w:eastAsia="Times New Roman"/>
                <w:kern w:val="2"/>
                <w:highlight w:val="none"/>
              </w:rPr>
            </w:pPr>
            <w:r>
              <w:rPr>
                <w:rFonts w:hint="eastAsia" w:ascii="宋体" w:hAnsi="宋体" w:cs="宋体"/>
                <w:kern w:val="2"/>
                <w:highlight w:val="none"/>
              </w:rPr>
              <w:t>保修期</w:t>
            </w:r>
          </w:p>
        </w:tc>
        <w:tc>
          <w:tcPr>
            <w:tcW w:w="2277" w:type="dxa"/>
            <w:tcBorders>
              <w:top w:val="single" w:color="auto" w:sz="6" w:space="0"/>
              <w:left w:val="single" w:color="auto" w:sz="6" w:space="0"/>
              <w:bottom w:val="single" w:color="auto" w:sz="6" w:space="0"/>
              <w:right w:val="single" w:color="auto" w:sz="6" w:space="0"/>
            </w:tcBorders>
          </w:tcPr>
          <w:p>
            <w:pPr>
              <w:ind w:left="479"/>
              <w:jc w:val="center"/>
              <w:rPr>
                <w:rFonts w:eastAsia="Times New Roman"/>
                <w:kern w:val="2"/>
                <w:highlight w:val="none"/>
              </w:rPr>
            </w:pPr>
          </w:p>
        </w:tc>
        <w:tc>
          <w:tcPr>
            <w:tcW w:w="2277" w:type="dxa"/>
            <w:tcBorders>
              <w:top w:val="single" w:color="auto" w:sz="6" w:space="0"/>
              <w:left w:val="single" w:color="auto" w:sz="6" w:space="0"/>
              <w:bottom w:val="single" w:color="auto" w:sz="6" w:space="0"/>
              <w:right w:val="single" w:color="auto" w:sz="6" w:space="0"/>
            </w:tcBorders>
          </w:tcPr>
          <w:p>
            <w:pPr>
              <w:ind w:left="479"/>
              <w:jc w:val="center"/>
              <w:rPr>
                <w:rFonts w:eastAsia="Times New Roman"/>
                <w:kern w:val="2"/>
                <w:highlight w:val="none"/>
              </w:rPr>
            </w:pPr>
          </w:p>
        </w:tc>
        <w:tc>
          <w:tcPr>
            <w:tcW w:w="1376" w:type="dxa"/>
            <w:tcBorders>
              <w:top w:val="single" w:color="auto" w:sz="6" w:space="0"/>
              <w:left w:val="single" w:color="auto" w:sz="6" w:space="0"/>
              <w:bottom w:val="single" w:color="auto" w:sz="6" w:space="0"/>
              <w:right w:val="single" w:color="auto" w:sz="4" w:space="0"/>
            </w:tcBorders>
          </w:tcPr>
          <w:p>
            <w:pPr>
              <w:ind w:left="479"/>
              <w:jc w:val="center"/>
              <w:rPr>
                <w:rFonts w:eastAsia="Times New Roman"/>
                <w:kern w:val="2"/>
                <w:highlight w:val="none"/>
              </w:rPr>
            </w:pPr>
          </w:p>
        </w:tc>
      </w:tr>
      <w:tr>
        <w:tblPrEx>
          <w:tblLayout w:type="fixed"/>
          <w:tblCellMar>
            <w:top w:w="0" w:type="dxa"/>
            <w:left w:w="10" w:type="dxa"/>
            <w:bottom w:w="0" w:type="dxa"/>
            <w:right w:w="10" w:type="dxa"/>
          </w:tblCellMar>
        </w:tblPrEx>
        <w:trPr>
          <w:jc w:val="center"/>
        </w:trPr>
        <w:tc>
          <w:tcPr>
            <w:tcW w:w="2285" w:type="dxa"/>
            <w:tcBorders>
              <w:top w:val="single" w:color="auto" w:sz="6" w:space="0"/>
              <w:left w:val="single" w:color="auto" w:sz="4" w:space="0"/>
              <w:bottom w:val="single" w:color="auto" w:sz="6" w:space="0"/>
              <w:right w:val="single" w:color="auto" w:sz="6" w:space="0"/>
            </w:tcBorders>
          </w:tcPr>
          <w:p>
            <w:pPr>
              <w:ind w:left="479"/>
              <w:jc w:val="center"/>
              <w:rPr>
                <w:rFonts w:eastAsia="Times New Roman"/>
                <w:kern w:val="2"/>
                <w:highlight w:val="none"/>
              </w:rPr>
            </w:pPr>
            <w:r>
              <w:rPr>
                <w:rFonts w:hint="eastAsia" w:ascii="宋体" w:hAnsi="宋体" w:cs="宋体"/>
                <w:kern w:val="2"/>
                <w:highlight w:val="none"/>
              </w:rPr>
              <w:t>合计</w:t>
            </w:r>
          </w:p>
        </w:tc>
        <w:tc>
          <w:tcPr>
            <w:tcW w:w="2277" w:type="dxa"/>
            <w:tcBorders>
              <w:top w:val="single" w:color="auto" w:sz="6" w:space="0"/>
              <w:left w:val="single" w:color="auto" w:sz="6" w:space="0"/>
              <w:bottom w:val="single" w:color="auto" w:sz="6" w:space="0"/>
              <w:right w:val="single" w:color="auto" w:sz="6" w:space="0"/>
            </w:tcBorders>
          </w:tcPr>
          <w:p>
            <w:pPr>
              <w:ind w:left="479"/>
              <w:jc w:val="center"/>
              <w:rPr>
                <w:rFonts w:eastAsia="Times New Roman"/>
                <w:kern w:val="2"/>
                <w:highlight w:val="none"/>
              </w:rPr>
            </w:pPr>
          </w:p>
        </w:tc>
        <w:tc>
          <w:tcPr>
            <w:tcW w:w="2277" w:type="dxa"/>
            <w:tcBorders>
              <w:top w:val="single" w:color="auto" w:sz="6" w:space="0"/>
              <w:left w:val="single" w:color="auto" w:sz="6" w:space="0"/>
              <w:bottom w:val="single" w:color="auto" w:sz="6" w:space="0"/>
              <w:right w:val="single" w:color="auto" w:sz="6" w:space="0"/>
            </w:tcBorders>
          </w:tcPr>
          <w:p>
            <w:pPr>
              <w:ind w:left="479"/>
              <w:jc w:val="center"/>
              <w:rPr>
                <w:rFonts w:eastAsia="Times New Roman"/>
                <w:kern w:val="2"/>
                <w:highlight w:val="none"/>
              </w:rPr>
            </w:pPr>
          </w:p>
        </w:tc>
        <w:tc>
          <w:tcPr>
            <w:tcW w:w="1376" w:type="dxa"/>
            <w:tcBorders>
              <w:top w:val="single" w:color="auto" w:sz="6" w:space="0"/>
              <w:left w:val="single" w:color="auto" w:sz="6" w:space="0"/>
              <w:bottom w:val="single" w:color="auto" w:sz="6" w:space="0"/>
              <w:right w:val="single" w:color="auto" w:sz="4" w:space="0"/>
            </w:tcBorders>
          </w:tcPr>
          <w:p>
            <w:pPr>
              <w:ind w:left="479"/>
              <w:jc w:val="center"/>
              <w:rPr>
                <w:rFonts w:eastAsia="Times New Roman"/>
                <w:kern w:val="2"/>
                <w:highlight w:val="none"/>
              </w:rPr>
            </w:pPr>
          </w:p>
        </w:tc>
      </w:tr>
      <w:tr>
        <w:tblPrEx>
          <w:tblLayout w:type="fixed"/>
          <w:tblCellMar>
            <w:top w:w="0" w:type="dxa"/>
            <w:left w:w="10" w:type="dxa"/>
            <w:bottom w:w="0" w:type="dxa"/>
            <w:right w:w="10" w:type="dxa"/>
          </w:tblCellMar>
        </w:tblPrEx>
        <w:trPr>
          <w:jc w:val="center"/>
        </w:trPr>
        <w:tc>
          <w:tcPr>
            <w:tcW w:w="2285" w:type="dxa"/>
            <w:tcBorders>
              <w:top w:val="single" w:color="auto" w:sz="6" w:space="0"/>
              <w:left w:val="single" w:color="auto" w:sz="4" w:space="0"/>
              <w:bottom w:val="single" w:color="auto" w:sz="4" w:space="0"/>
              <w:right w:val="single" w:color="auto" w:sz="6" w:space="0"/>
            </w:tcBorders>
          </w:tcPr>
          <w:p>
            <w:pPr>
              <w:ind w:left="479"/>
              <w:jc w:val="center"/>
              <w:rPr>
                <w:rFonts w:eastAsia="Times New Roman"/>
                <w:kern w:val="2"/>
                <w:highlight w:val="none"/>
              </w:rPr>
            </w:pPr>
            <w:r>
              <w:rPr>
                <w:rFonts w:hint="eastAsia" w:ascii="宋体" w:hAnsi="宋体" w:cs="宋体"/>
                <w:kern w:val="2"/>
                <w:highlight w:val="none"/>
              </w:rPr>
              <w:t>说明</w:t>
            </w:r>
          </w:p>
        </w:tc>
        <w:tc>
          <w:tcPr>
            <w:tcW w:w="5930" w:type="dxa"/>
            <w:gridSpan w:val="3"/>
            <w:tcBorders>
              <w:top w:val="single" w:color="auto" w:sz="6" w:space="0"/>
              <w:left w:val="single" w:color="auto" w:sz="6" w:space="0"/>
              <w:bottom w:val="single" w:color="auto" w:sz="4" w:space="0"/>
              <w:right w:val="single" w:color="auto" w:sz="4" w:space="0"/>
            </w:tcBorders>
          </w:tcPr>
          <w:p>
            <w:pPr>
              <w:ind w:left="479"/>
              <w:jc w:val="center"/>
              <w:rPr>
                <w:rFonts w:eastAsia="Times New Roman"/>
                <w:kern w:val="2"/>
                <w:highlight w:val="none"/>
              </w:rPr>
            </w:pPr>
          </w:p>
        </w:tc>
      </w:tr>
    </w:tbl>
    <w:p>
      <w:pPr>
        <w:rPr>
          <w:rFonts w:ascii="黑体" w:eastAsia="黑体"/>
          <w:highlight w:val="none"/>
        </w:rPr>
      </w:pPr>
      <w:r>
        <w:rPr>
          <w:rFonts w:hint="eastAsia" w:ascii="黑体" w:eastAsia="黑体"/>
          <w:highlight w:val="none"/>
        </w:rPr>
        <w:t>注：本表不得出现具体金额，仅以百分比表示。</w:t>
      </w:r>
    </w:p>
    <w:p>
      <w:pPr>
        <w:ind w:firstLine="3045" w:firstLineChars="1450"/>
        <w:rPr>
          <w:highlight w:val="none"/>
        </w:rPr>
      </w:pPr>
    </w:p>
    <w:p>
      <w:pPr>
        <w:ind w:firstLine="3045" w:firstLineChars="1450"/>
        <w:rPr>
          <w:highlight w:val="none"/>
        </w:rPr>
      </w:pPr>
    </w:p>
    <w:p>
      <w:pPr>
        <w:ind w:firstLine="3045" w:firstLineChars="1450"/>
        <w:rPr>
          <w:highlight w:val="none"/>
        </w:rPr>
      </w:pPr>
      <w:r>
        <w:rPr>
          <w:rFonts w:hint="eastAsia"/>
          <w:highlight w:val="none"/>
        </w:rPr>
        <w:t>投标人：　　（盖章）</w:t>
      </w:r>
    </w:p>
    <w:p>
      <w:pPr>
        <w:ind w:firstLine="3045" w:firstLineChars="1450"/>
        <w:rPr>
          <w:highlight w:val="none"/>
        </w:rPr>
      </w:pPr>
      <w:r>
        <w:rPr>
          <w:rFonts w:hint="eastAsia"/>
          <w:highlight w:val="none"/>
        </w:rPr>
        <w:t>法定代表人或授权代理人（签字或盖章）：</w:t>
      </w:r>
    </w:p>
    <w:p>
      <w:pPr>
        <w:ind w:firstLine="3045" w:firstLineChars="1450"/>
        <w:rPr>
          <w:highlight w:val="none"/>
        </w:rPr>
      </w:pPr>
      <w:r>
        <w:rPr>
          <w:rFonts w:hint="eastAsia"/>
          <w:highlight w:val="none"/>
        </w:rPr>
        <w:t>日</w:t>
      </w:r>
      <w:r>
        <w:rPr>
          <w:highlight w:val="none"/>
        </w:rPr>
        <w:t xml:space="preserve">   </w:t>
      </w:r>
      <w:r>
        <w:rPr>
          <w:rFonts w:hint="eastAsia"/>
          <w:highlight w:val="none"/>
        </w:rPr>
        <w:t>期：</w:t>
      </w:r>
      <w:r>
        <w:rPr>
          <w:highlight w:val="none"/>
        </w:rPr>
        <w:t xml:space="preserve">    </w:t>
      </w:r>
      <w:r>
        <w:rPr>
          <w:rFonts w:hint="eastAsia"/>
          <w:highlight w:val="none"/>
        </w:rPr>
        <w:t>年</w:t>
      </w:r>
      <w:r>
        <w:rPr>
          <w:highlight w:val="none"/>
        </w:rPr>
        <w:t xml:space="preserve">    </w:t>
      </w:r>
      <w:r>
        <w:rPr>
          <w:rFonts w:hint="eastAsia"/>
          <w:highlight w:val="none"/>
        </w:rPr>
        <w:t>月</w:t>
      </w:r>
      <w:r>
        <w:rPr>
          <w:highlight w:val="none"/>
        </w:rPr>
        <w:t xml:space="preserve">    </w:t>
      </w:r>
      <w:r>
        <w:rPr>
          <w:rFonts w:hint="eastAsia"/>
          <w:highlight w:val="none"/>
        </w:rPr>
        <w:t>日</w:t>
      </w:r>
    </w:p>
    <w:p>
      <w:pPr>
        <w:widowControl/>
        <w:spacing w:line="360" w:lineRule="auto"/>
        <w:jc w:val="left"/>
        <w:rPr>
          <w:rFonts w:ascii="宋体" w:hAnsi="宋体"/>
          <w:spacing w:val="4"/>
          <w:sz w:val="24"/>
          <w:highlight w:val="none"/>
        </w:rPr>
        <w:sectPr>
          <w:pgSz w:w="11906" w:h="16838"/>
          <w:pgMar w:top="1440" w:right="1797" w:bottom="1440" w:left="1797" w:header="851" w:footer="992" w:gutter="0"/>
          <w:pgNumType w:fmt="decimal"/>
          <w:cols w:space="720" w:num="1"/>
        </w:sectPr>
      </w:pPr>
    </w:p>
    <w:p>
      <w:pPr>
        <w:spacing w:line="360" w:lineRule="auto"/>
        <w:jc w:val="left"/>
        <w:rPr>
          <w:rFonts w:hint="eastAsia" w:ascii="宋体" w:hAnsi="宋体" w:cs="宋体"/>
          <w:b/>
          <w:spacing w:val="4"/>
          <w:sz w:val="28"/>
          <w:szCs w:val="28"/>
          <w:highlight w:val="none"/>
        </w:rPr>
      </w:pPr>
      <w:bookmarkStart w:id="1227" w:name="_Toc33695132"/>
      <w:bookmarkStart w:id="1228" w:name="_Toc8985"/>
      <w:bookmarkStart w:id="1229" w:name="_Toc51288283"/>
      <w:bookmarkStart w:id="1230" w:name="_Toc31127"/>
      <w:bookmarkStart w:id="1231" w:name="_Toc7588"/>
      <w:bookmarkStart w:id="1232" w:name="_Toc2384"/>
      <w:bookmarkStart w:id="1233" w:name="_Toc2121"/>
      <w:bookmarkStart w:id="1234" w:name="_Toc1823"/>
      <w:bookmarkStart w:id="1235" w:name="_Toc10704"/>
      <w:bookmarkStart w:id="1236" w:name="_Toc50453138"/>
      <w:bookmarkStart w:id="1237" w:name="_Toc32544"/>
      <w:bookmarkStart w:id="1238" w:name="_Toc31786"/>
      <w:bookmarkStart w:id="1239" w:name="_Toc31076"/>
      <w:r>
        <w:rPr>
          <w:rFonts w:hint="eastAsia" w:ascii="宋体" w:hAnsi="宋体" w:cs="宋体"/>
          <w:b/>
          <w:spacing w:val="4"/>
          <w:sz w:val="28"/>
          <w:szCs w:val="28"/>
          <w:highlight w:val="none"/>
        </w:rPr>
        <w:t>格式九：</w:t>
      </w:r>
      <w:bookmarkEnd w:id="1227"/>
      <w:bookmarkEnd w:id="1228"/>
      <w:bookmarkEnd w:id="1229"/>
      <w:bookmarkEnd w:id="1230"/>
      <w:bookmarkEnd w:id="1231"/>
      <w:bookmarkEnd w:id="1232"/>
      <w:bookmarkEnd w:id="1233"/>
      <w:bookmarkEnd w:id="1234"/>
      <w:bookmarkEnd w:id="1235"/>
      <w:bookmarkEnd w:id="1236"/>
      <w:bookmarkEnd w:id="1237"/>
      <w:bookmarkEnd w:id="1238"/>
      <w:bookmarkEnd w:id="1239"/>
    </w:p>
    <w:p>
      <w:pPr>
        <w:topLinePunct w:val="0"/>
        <w:adjustRightInd/>
        <w:snapToGrid/>
        <w:spacing w:line="360" w:lineRule="auto"/>
        <w:ind w:firstLine="0" w:firstLineChars="0"/>
        <w:jc w:val="center"/>
        <w:rPr>
          <w:rFonts w:hint="eastAsia" w:ascii="宋体" w:hAnsi="宋体" w:cs="宋体"/>
          <w:b/>
          <w:spacing w:val="4"/>
          <w:kern w:val="0"/>
          <w:sz w:val="28"/>
          <w:szCs w:val="28"/>
          <w:highlight w:val="none"/>
        </w:rPr>
      </w:pPr>
      <w:bookmarkStart w:id="1240" w:name="_Toc247514285"/>
      <w:bookmarkStart w:id="1241" w:name="_Toc247527833"/>
      <w:bookmarkStart w:id="1242" w:name="_Toc22643"/>
      <w:bookmarkStart w:id="1243" w:name="_Toc3302"/>
      <w:bookmarkStart w:id="1244" w:name="_Toc7372"/>
      <w:bookmarkStart w:id="1245" w:name="_Toc27824"/>
      <w:bookmarkStart w:id="1246" w:name="_Toc11037"/>
      <w:bookmarkStart w:id="1247" w:name="_Toc13186"/>
      <w:bookmarkStart w:id="1248" w:name="_Toc22062"/>
      <w:bookmarkStart w:id="1249" w:name="_Toc152042582"/>
      <w:bookmarkStart w:id="1250" w:name="_Toc17406"/>
      <w:bookmarkStart w:id="1251" w:name="_Toc19270"/>
      <w:bookmarkStart w:id="1252" w:name="_Toc51288284"/>
      <w:bookmarkStart w:id="1253" w:name="_Toc152045793"/>
      <w:bookmarkStart w:id="1254" w:name="_Toc33695133"/>
      <w:bookmarkStart w:id="1255" w:name="_Toc19622"/>
      <w:bookmarkStart w:id="1256" w:name="_Toc50453139"/>
      <w:r>
        <w:rPr>
          <w:rFonts w:hint="eastAsia" w:ascii="宋体" w:hAnsi="宋体" w:cs="宋体"/>
          <w:b/>
          <w:spacing w:val="4"/>
          <w:kern w:val="0"/>
          <w:sz w:val="28"/>
          <w:szCs w:val="28"/>
          <w:highlight w:val="none"/>
        </w:rPr>
        <w:t>联合体协议书</w:t>
      </w:r>
    </w:p>
    <w:p>
      <w:pPr>
        <w:spacing w:line="360" w:lineRule="auto"/>
        <w:jc w:val="left"/>
        <w:rPr>
          <w:rFonts w:hint="eastAsia" w:ascii="宋体" w:hAnsi="宋体" w:cs="宋体"/>
          <w:b w:val="0"/>
          <w:bCs/>
          <w:spacing w:val="4"/>
          <w:sz w:val="22"/>
          <w:szCs w:val="22"/>
          <w:highlight w:val="none"/>
        </w:rPr>
      </w:pPr>
      <w:r>
        <w:rPr>
          <w:rFonts w:hint="eastAsia" w:ascii="宋体" w:hAnsi="宋体" w:cs="宋体"/>
          <w:b w:val="0"/>
          <w:bCs/>
          <w:spacing w:val="4"/>
          <w:sz w:val="22"/>
          <w:szCs w:val="22"/>
          <w:highlight w:val="none"/>
          <w:lang w:val="en-US" w:eastAsia="zh-CN"/>
        </w:rPr>
        <w:t>详见招标公告附件二</w:t>
      </w:r>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r>
        <w:rPr>
          <w:rFonts w:hint="eastAsia" w:ascii="宋体" w:hAnsi="宋体" w:cs="宋体"/>
          <w:b w:val="0"/>
          <w:bCs/>
          <w:spacing w:val="4"/>
          <w:sz w:val="22"/>
          <w:szCs w:val="22"/>
          <w:highlight w:val="none"/>
          <w:lang w:val="en-US" w:eastAsia="zh-CN"/>
        </w:rPr>
        <w:t>。</w:t>
      </w:r>
    </w:p>
    <w:p>
      <w:pPr>
        <w:rPr>
          <w:rFonts w:hint="eastAsia" w:eastAsia="宋体"/>
          <w:lang w:eastAsia="zh-CN"/>
        </w:rPr>
        <w:sectPr>
          <w:pgSz w:w="11906" w:h="16838"/>
          <w:pgMar w:top="1440" w:right="1800" w:bottom="1440" w:left="1800" w:header="851" w:footer="992" w:gutter="0"/>
          <w:pgNumType w:fmt="decimal"/>
          <w:cols w:space="720" w:num="1"/>
          <w:docGrid w:type="lines" w:linePitch="312" w:charSpace="0"/>
        </w:sectPr>
      </w:pPr>
    </w:p>
    <w:p>
      <w:pPr>
        <w:pStyle w:val="2"/>
      </w:pPr>
    </w:p>
    <w:p>
      <w:pPr>
        <w:spacing w:line="360" w:lineRule="auto"/>
        <w:jc w:val="both"/>
        <w:rPr>
          <w:rFonts w:hint="eastAsia" w:ascii="宋体" w:hAnsi="宋体" w:eastAsia="宋体" w:cs="宋体"/>
          <w:b/>
          <w:spacing w:val="4"/>
          <w:kern w:val="0"/>
          <w:sz w:val="28"/>
          <w:szCs w:val="28"/>
          <w:highlight w:val="none"/>
          <w:lang w:eastAsia="zh-CN"/>
        </w:rPr>
      </w:pPr>
      <w:r>
        <w:rPr>
          <w:rFonts w:hint="eastAsia" w:ascii="宋体" w:hAnsi="宋体" w:cs="宋体"/>
          <w:b/>
          <w:spacing w:val="4"/>
          <w:kern w:val="0"/>
          <w:sz w:val="28"/>
          <w:szCs w:val="28"/>
          <w:highlight w:val="none"/>
          <w:lang w:eastAsia="zh-CN"/>
        </w:rPr>
        <w:t>格式十：</w:t>
      </w:r>
    </w:p>
    <w:p>
      <w:pPr>
        <w:spacing w:line="360" w:lineRule="auto"/>
        <w:jc w:val="center"/>
        <w:rPr>
          <w:rFonts w:ascii="宋体" w:hAnsi="宋体" w:cs="宋体"/>
          <w:b/>
          <w:spacing w:val="4"/>
          <w:kern w:val="0"/>
          <w:sz w:val="28"/>
          <w:szCs w:val="28"/>
          <w:highlight w:val="none"/>
        </w:rPr>
      </w:pPr>
      <w:r>
        <w:rPr>
          <w:rFonts w:hint="eastAsia" w:ascii="宋体" w:hAnsi="宋体" w:cs="宋体"/>
          <w:b/>
          <w:spacing w:val="4"/>
          <w:kern w:val="0"/>
          <w:sz w:val="28"/>
          <w:szCs w:val="28"/>
          <w:highlight w:val="none"/>
        </w:rPr>
        <w:t>投标人声明</w:t>
      </w:r>
    </w:p>
    <w:p>
      <w:pPr>
        <w:spacing w:line="360" w:lineRule="auto"/>
        <w:jc w:val="left"/>
        <w:rPr>
          <w:rFonts w:hint="eastAsia" w:ascii="宋体" w:hAnsi="宋体" w:eastAsia="宋体" w:cs="宋体"/>
          <w:b w:val="0"/>
          <w:bCs/>
          <w:spacing w:val="4"/>
          <w:kern w:val="0"/>
          <w:sz w:val="22"/>
          <w:szCs w:val="22"/>
          <w:highlight w:val="none"/>
          <w:lang w:eastAsia="zh-CN"/>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b w:val="0"/>
          <w:bCs/>
          <w:spacing w:val="4"/>
          <w:kern w:val="0"/>
          <w:sz w:val="22"/>
          <w:szCs w:val="22"/>
          <w:highlight w:val="none"/>
          <w:lang w:eastAsia="zh-CN"/>
        </w:rPr>
        <w:t>详见</w:t>
      </w:r>
      <w:r>
        <w:rPr>
          <w:rFonts w:hint="eastAsia" w:ascii="宋体" w:hAnsi="宋体" w:cs="宋体"/>
          <w:b w:val="0"/>
          <w:bCs/>
          <w:spacing w:val="4"/>
          <w:kern w:val="0"/>
          <w:sz w:val="22"/>
          <w:szCs w:val="22"/>
          <w:highlight w:val="none"/>
          <w:lang w:eastAsia="zh-CN"/>
        </w:rPr>
        <w:t>招标</w:t>
      </w:r>
      <w:r>
        <w:rPr>
          <w:rFonts w:hint="eastAsia" w:ascii="宋体" w:hAnsi="宋体" w:eastAsia="宋体" w:cs="宋体"/>
          <w:b w:val="0"/>
          <w:bCs/>
          <w:spacing w:val="4"/>
          <w:kern w:val="0"/>
          <w:sz w:val="22"/>
          <w:szCs w:val="22"/>
          <w:highlight w:val="none"/>
          <w:lang w:eastAsia="zh-CN"/>
        </w:rPr>
        <w:t>公告附件一</w:t>
      </w:r>
      <w:r>
        <w:rPr>
          <w:rFonts w:hint="eastAsia" w:ascii="宋体" w:hAnsi="宋体" w:cs="宋体"/>
          <w:b w:val="0"/>
          <w:bCs/>
          <w:spacing w:val="4"/>
          <w:kern w:val="0"/>
          <w:sz w:val="22"/>
          <w:szCs w:val="22"/>
          <w:highlight w:val="none"/>
          <w:lang w:eastAsia="zh-CN"/>
        </w:rPr>
        <w:t>。</w:t>
      </w:r>
    </w:p>
    <w:p>
      <w:pPr>
        <w:spacing w:line="360" w:lineRule="auto"/>
        <w:jc w:val="both"/>
        <w:rPr>
          <w:rFonts w:hint="eastAsia" w:ascii="宋体" w:hAnsi="宋体" w:eastAsia="宋体" w:cs="宋体"/>
          <w:b/>
          <w:spacing w:val="4"/>
          <w:kern w:val="0"/>
          <w:sz w:val="28"/>
          <w:szCs w:val="28"/>
          <w:highlight w:val="none"/>
          <w:lang w:eastAsia="zh-CN"/>
        </w:rPr>
      </w:pPr>
      <w:r>
        <w:rPr>
          <w:rFonts w:hint="eastAsia" w:ascii="宋体" w:hAnsi="宋体" w:cs="宋体"/>
          <w:b/>
          <w:spacing w:val="4"/>
          <w:kern w:val="0"/>
          <w:sz w:val="28"/>
          <w:szCs w:val="28"/>
          <w:highlight w:val="none"/>
          <w:lang w:eastAsia="zh-CN"/>
        </w:rPr>
        <w:t>格式十一：</w:t>
      </w:r>
    </w:p>
    <w:p>
      <w:pPr>
        <w:pStyle w:val="8"/>
        <w:rPr>
          <w:rFonts w:hint="eastAsia" w:ascii="宋体" w:hAnsi="宋体"/>
          <w:highlight w:val="none"/>
        </w:rPr>
      </w:pPr>
    </w:p>
    <w:p>
      <w:pPr>
        <w:ind w:firstLine="157"/>
        <w:jc w:val="center"/>
        <w:rPr>
          <w:b/>
          <w:sz w:val="32"/>
          <w:szCs w:val="32"/>
          <w:highlight w:val="none"/>
        </w:rPr>
      </w:pPr>
      <w:bookmarkStart w:id="1257" w:name="_Toc15614"/>
      <w:r>
        <w:rPr>
          <w:rFonts w:hint="eastAsia"/>
          <w:b/>
          <w:sz w:val="32"/>
          <w:szCs w:val="32"/>
          <w:highlight w:val="none"/>
        </w:rPr>
        <w:t>危险性较大的分部分项工程清单及</w:t>
      </w:r>
      <w:bookmarkEnd w:id="1257"/>
    </w:p>
    <w:p>
      <w:pPr>
        <w:ind w:firstLine="157"/>
        <w:jc w:val="center"/>
        <w:rPr>
          <w:b/>
          <w:sz w:val="32"/>
          <w:szCs w:val="32"/>
          <w:highlight w:val="none"/>
        </w:rPr>
      </w:pPr>
      <w:bookmarkStart w:id="1258" w:name="_Toc12082"/>
      <w:r>
        <w:rPr>
          <w:rFonts w:hint="eastAsia"/>
          <w:b/>
          <w:sz w:val="32"/>
          <w:szCs w:val="32"/>
          <w:highlight w:val="none"/>
        </w:rPr>
        <w:t>超过一定规模的危险性较大的分部分项工程清单</w:t>
      </w:r>
      <w:bookmarkEnd w:id="1258"/>
    </w:p>
    <w:p>
      <w:pPr>
        <w:spacing w:line="360" w:lineRule="auto"/>
        <w:ind w:firstLine="480" w:firstLineChars="200"/>
        <w:jc w:val="left"/>
        <w:rPr>
          <w:rFonts w:ascii="宋体 ，Arial" w:eastAsia="宋体 ，Arial"/>
          <w:sz w:val="24"/>
          <w:highlight w:val="none"/>
        </w:rPr>
      </w:pPr>
      <w:r>
        <w:rPr>
          <w:rFonts w:hint="eastAsia" w:ascii="宋体 ，Arial" w:eastAsia="宋体 ，Arial"/>
          <w:sz w:val="24"/>
          <w:highlight w:val="none"/>
        </w:rPr>
        <w:t>1、根据中华人民共和国住房和城乡建设部令第37号《危险性较大的分部分项工程安全管理规定》（以下简称“37号文”），投标人在投标时须补充完善危大工程清单并明确相应的安全管理措施。</w:t>
      </w:r>
    </w:p>
    <w:p>
      <w:pPr>
        <w:spacing w:line="360" w:lineRule="auto"/>
        <w:ind w:firstLine="480" w:firstLineChars="200"/>
        <w:jc w:val="left"/>
        <w:rPr>
          <w:rFonts w:ascii="宋体 ，Arial" w:eastAsia="宋体 ，Arial"/>
          <w:sz w:val="24"/>
          <w:highlight w:val="none"/>
        </w:rPr>
      </w:pPr>
      <w:r>
        <w:rPr>
          <w:rFonts w:hint="eastAsia" w:ascii="宋体 ，Arial" w:eastAsia="宋体 ，Arial"/>
          <w:sz w:val="24"/>
          <w:highlight w:val="none"/>
        </w:rPr>
        <w:t>2、招标人根据设计文件的要求及37号文的规定列出“危险性较大的分部分项工程清单及超过一定规模的危险性较大的分部分项工程清单”中与本招标项目相关的清单项，具体详见第5点“打√”标识。</w:t>
      </w:r>
    </w:p>
    <w:p>
      <w:pPr>
        <w:spacing w:line="360" w:lineRule="auto"/>
        <w:ind w:firstLine="480" w:firstLineChars="200"/>
        <w:jc w:val="left"/>
        <w:rPr>
          <w:rFonts w:ascii="宋体 ，Arial" w:eastAsia="宋体 ，Arial"/>
          <w:sz w:val="24"/>
          <w:highlight w:val="none"/>
        </w:rPr>
      </w:pPr>
      <w:r>
        <w:rPr>
          <w:rFonts w:hint="eastAsia" w:ascii="宋体 ，Arial" w:eastAsia="宋体 ，Arial"/>
          <w:sz w:val="24"/>
          <w:highlight w:val="none"/>
        </w:rPr>
        <w:t>（1）投标单位同意建设单位在清单中标识的该项请在对应项打“√”标识，并与投标文件中提供相应的安全管理措施。</w:t>
      </w:r>
    </w:p>
    <w:p>
      <w:pPr>
        <w:spacing w:line="360" w:lineRule="auto"/>
        <w:ind w:firstLine="480" w:firstLineChars="200"/>
        <w:jc w:val="left"/>
        <w:rPr>
          <w:rFonts w:ascii="宋体 ，Arial" w:eastAsia="宋体 ，Arial"/>
          <w:sz w:val="24"/>
          <w:highlight w:val="none"/>
        </w:rPr>
      </w:pPr>
      <w:r>
        <w:rPr>
          <w:rFonts w:hint="eastAsia" w:ascii="宋体 ，Arial" w:eastAsia="宋体 ，Arial"/>
          <w:sz w:val="24"/>
          <w:highlight w:val="none"/>
        </w:rPr>
        <w:t>（2）投标单位对清单中认为需要补充的该项请在对应项打“√”标识，并与投标文件中提供相应的安全管理措施。</w:t>
      </w:r>
    </w:p>
    <w:p>
      <w:pPr>
        <w:spacing w:line="360" w:lineRule="auto"/>
        <w:ind w:firstLine="480" w:firstLineChars="200"/>
        <w:jc w:val="left"/>
        <w:rPr>
          <w:rFonts w:ascii="宋体 ，Arial" w:eastAsia="宋体 ，Arial"/>
          <w:sz w:val="24"/>
          <w:highlight w:val="none"/>
        </w:rPr>
      </w:pPr>
      <w:r>
        <w:rPr>
          <w:rFonts w:hint="eastAsia" w:ascii="宋体 ，Arial" w:eastAsia="宋体 ，Arial"/>
          <w:sz w:val="24"/>
          <w:highlight w:val="none"/>
        </w:rPr>
        <w:t>（3）投标单位不同意建设单位在清单中标识的该项请在对应项打“×”标识，并在备注栏填上相关说明。</w:t>
      </w:r>
    </w:p>
    <w:p>
      <w:pPr>
        <w:spacing w:line="360" w:lineRule="auto"/>
        <w:ind w:firstLine="480" w:firstLineChars="200"/>
        <w:jc w:val="left"/>
        <w:rPr>
          <w:rFonts w:ascii="宋体 ，Arial" w:eastAsia="宋体 ，Arial"/>
          <w:sz w:val="24"/>
          <w:highlight w:val="none"/>
        </w:rPr>
      </w:pPr>
      <w:r>
        <w:rPr>
          <w:rFonts w:hint="eastAsia" w:ascii="宋体 ，Arial" w:eastAsia="宋体 ，Arial"/>
          <w:sz w:val="24"/>
          <w:highlight w:val="none"/>
        </w:rPr>
        <w:t>3、投标单位应当在投标时根据招标人提供的下述第5点清单，在投标施工组织中编制专项施工方案。</w:t>
      </w:r>
    </w:p>
    <w:p>
      <w:pPr>
        <w:spacing w:line="360" w:lineRule="auto"/>
        <w:ind w:firstLine="480" w:firstLineChars="200"/>
        <w:jc w:val="left"/>
        <w:rPr>
          <w:rFonts w:ascii="宋体 ，Arial" w:eastAsia="宋体 ，Arial"/>
          <w:sz w:val="24"/>
          <w:highlight w:val="none"/>
        </w:rPr>
      </w:pPr>
      <w:r>
        <w:rPr>
          <w:rFonts w:hint="eastAsia" w:ascii="宋体 ，Arial" w:eastAsia="宋体 ，Arial"/>
          <w:sz w:val="24"/>
          <w:highlight w:val="none"/>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spacing w:line="360" w:lineRule="auto"/>
        <w:ind w:firstLine="480" w:firstLineChars="200"/>
        <w:jc w:val="left"/>
        <w:rPr>
          <w:rFonts w:ascii="宋体 ，Arial" w:eastAsia="宋体 ，Arial"/>
          <w:sz w:val="28"/>
          <w:szCs w:val="28"/>
          <w:highlight w:val="none"/>
        </w:rPr>
      </w:pPr>
      <w:r>
        <w:rPr>
          <w:rFonts w:hint="eastAsia" w:ascii="宋体 ，Arial" w:eastAsia="宋体 ，Arial"/>
          <w:sz w:val="24"/>
          <w:highlight w:val="none"/>
        </w:rPr>
        <w:t>5、危险性较大的分部分项工程清单及超过一定规模的危险性较大的分部分项工程清单：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070"/>
        <w:gridCol w:w="1275"/>
        <w:gridCol w:w="1418"/>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vAlign w:val="center"/>
          </w:tcPr>
          <w:p>
            <w:pPr>
              <w:jc w:val="center"/>
              <w:rPr>
                <w:b/>
                <w:sz w:val="24"/>
                <w:highlight w:val="none"/>
              </w:rPr>
            </w:pPr>
            <w:r>
              <w:rPr>
                <w:rFonts w:hint="eastAsia"/>
                <w:b/>
                <w:sz w:val="24"/>
                <w:highlight w:val="none"/>
              </w:rPr>
              <w:t>一、危险性较大的分部分项工程清单</w:t>
            </w:r>
          </w:p>
        </w:tc>
        <w:tc>
          <w:tcPr>
            <w:tcW w:w="1275" w:type="dxa"/>
            <w:vAlign w:val="center"/>
          </w:tcPr>
          <w:p>
            <w:pPr>
              <w:jc w:val="center"/>
              <w:rPr>
                <w:sz w:val="24"/>
                <w:szCs w:val="36"/>
                <w:highlight w:val="none"/>
              </w:rPr>
            </w:pPr>
            <w:r>
              <w:rPr>
                <w:rFonts w:hint="eastAsia" w:ascii="宋体"/>
                <w:sz w:val="24"/>
                <w:szCs w:val="36"/>
                <w:highlight w:val="none"/>
              </w:rPr>
              <w:t>招标人</w:t>
            </w:r>
          </w:p>
        </w:tc>
        <w:tc>
          <w:tcPr>
            <w:tcW w:w="1418" w:type="dxa"/>
            <w:vAlign w:val="center"/>
          </w:tcPr>
          <w:p>
            <w:pPr>
              <w:jc w:val="center"/>
              <w:rPr>
                <w:sz w:val="24"/>
                <w:szCs w:val="36"/>
                <w:highlight w:val="none"/>
              </w:rPr>
            </w:pPr>
            <w:r>
              <w:rPr>
                <w:rFonts w:hint="eastAsia" w:ascii="宋体"/>
                <w:sz w:val="24"/>
                <w:szCs w:val="36"/>
                <w:highlight w:val="none"/>
              </w:rPr>
              <w:t>投标人</w:t>
            </w:r>
          </w:p>
        </w:tc>
        <w:tc>
          <w:tcPr>
            <w:tcW w:w="759" w:type="dxa"/>
            <w:vAlign w:val="center"/>
          </w:tcPr>
          <w:p>
            <w:pPr>
              <w:jc w:val="center"/>
              <w:rPr>
                <w:sz w:val="24"/>
                <w:szCs w:val="36"/>
                <w:highlight w:val="none"/>
              </w:rPr>
            </w:pPr>
            <w:r>
              <w:rPr>
                <w:rFonts w:hint="eastAsia" w:ascii="宋体"/>
                <w:sz w:val="24"/>
                <w:szCs w:val="36"/>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sz w:val="24"/>
                <w:highlight w:val="none"/>
              </w:rPr>
            </w:pPr>
            <w:r>
              <w:rPr>
                <w:rFonts w:hint="eastAsia"/>
                <w:sz w:val="24"/>
                <w:highlight w:val="none"/>
              </w:rPr>
              <w:t>一、基坑支护</w:t>
            </w:r>
          </w:p>
        </w:tc>
        <w:tc>
          <w:tcPr>
            <w:tcW w:w="1275" w:type="dxa"/>
            <w:vAlign w:val="center"/>
          </w:tcPr>
          <w:p>
            <w:pPr>
              <w:jc w:val="center"/>
              <w:rPr>
                <w:sz w:val="24"/>
                <w:szCs w:val="36"/>
                <w:highlight w:val="none"/>
              </w:rPr>
            </w:pPr>
          </w:p>
        </w:tc>
        <w:tc>
          <w:tcPr>
            <w:tcW w:w="1418" w:type="dxa"/>
            <w:vAlign w:val="center"/>
          </w:tcPr>
          <w:p>
            <w:pPr>
              <w:jc w:val="center"/>
              <w:rPr>
                <w:sz w:val="24"/>
                <w:szCs w:val="36"/>
                <w:highlight w:val="none"/>
              </w:rPr>
            </w:pPr>
          </w:p>
        </w:tc>
        <w:tc>
          <w:tcPr>
            <w:tcW w:w="759" w:type="dxa"/>
            <w:vAlign w:val="center"/>
          </w:tcPr>
          <w:p>
            <w:pPr>
              <w:jc w:val="center"/>
              <w:rPr>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sz w:val="24"/>
                <w:highlight w:val="none"/>
              </w:rPr>
            </w:pPr>
            <w:r>
              <w:rPr>
                <w:rFonts w:hint="eastAsia" w:ascii="宋体 ，Arial" w:eastAsia="宋体 ，Arial"/>
                <w:sz w:val="24"/>
                <w:highlight w:val="none"/>
              </w:rPr>
              <w:t>（一）开挖深度超过3m（含3m）的基坑（槽）的土方开挖、支护、降水工程。</w:t>
            </w:r>
          </w:p>
        </w:tc>
        <w:tc>
          <w:tcPr>
            <w:tcW w:w="1275" w:type="dxa"/>
            <w:vAlign w:val="center"/>
          </w:tcPr>
          <w:p>
            <w:pPr>
              <w:jc w:val="center"/>
              <w:rPr>
                <w:sz w:val="24"/>
                <w:szCs w:val="36"/>
                <w:highlight w:val="none"/>
              </w:rPr>
            </w:pPr>
            <w:r>
              <w:rPr>
                <w:rFonts w:hint="eastAsia"/>
                <w:sz w:val="24"/>
                <w:szCs w:val="36"/>
                <w:highlight w:val="none"/>
              </w:rPr>
              <w:t xml:space="preserve">(   </w:t>
            </w:r>
            <w:r>
              <w:rPr>
                <w:rFonts w:hint="default" w:ascii="Arial" w:hAnsi="Arial" w:cs="Arial"/>
                <w:sz w:val="24"/>
                <w:szCs w:val="36"/>
                <w:highlight w:val="none"/>
              </w:rPr>
              <w:t>√</w:t>
            </w:r>
            <w:r>
              <w:rPr>
                <w:rFonts w:hint="eastAsia"/>
                <w:sz w:val="24"/>
                <w:szCs w:val="36"/>
                <w:highlight w:val="none"/>
              </w:rPr>
              <w:t xml:space="preserve">   )</w:t>
            </w:r>
          </w:p>
        </w:tc>
        <w:tc>
          <w:tcPr>
            <w:tcW w:w="1418" w:type="dxa"/>
            <w:vAlign w:val="center"/>
          </w:tcPr>
          <w:p>
            <w:pPr>
              <w:jc w:val="center"/>
              <w:rPr>
                <w:sz w:val="24"/>
                <w:szCs w:val="36"/>
                <w:highlight w:val="none"/>
              </w:rPr>
            </w:pPr>
            <w:r>
              <w:rPr>
                <w:rFonts w:hint="eastAsia"/>
                <w:sz w:val="24"/>
                <w:szCs w:val="36"/>
                <w:highlight w:val="none"/>
              </w:rPr>
              <w:t>(    )</w:t>
            </w: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sz w:val="24"/>
                <w:highlight w:val="none"/>
              </w:rPr>
            </w:pPr>
            <w:r>
              <w:rPr>
                <w:rFonts w:hint="eastAsia" w:ascii="宋体 ，Arial" w:eastAsia="宋体 ，Arial"/>
                <w:sz w:val="24"/>
                <w:highlight w:val="none"/>
              </w:rPr>
              <w:t>（二）开挖深度虽未超过3m，但地质条件、周围环境和地下管线复杂，或影响毗邻建、构筑物安全的基坑（槽）的土方开挖、支护、降水工程。</w:t>
            </w:r>
          </w:p>
        </w:tc>
        <w:tc>
          <w:tcPr>
            <w:tcW w:w="1275" w:type="dxa"/>
            <w:vAlign w:val="center"/>
          </w:tcPr>
          <w:p>
            <w:pPr>
              <w:jc w:val="center"/>
              <w:rPr>
                <w:sz w:val="24"/>
                <w:szCs w:val="36"/>
                <w:highlight w:val="none"/>
              </w:rPr>
            </w:pPr>
            <w:r>
              <w:rPr>
                <w:rFonts w:hint="eastAsia"/>
                <w:sz w:val="24"/>
                <w:szCs w:val="36"/>
                <w:highlight w:val="none"/>
              </w:rPr>
              <w:t>(    )</w:t>
            </w:r>
          </w:p>
        </w:tc>
        <w:tc>
          <w:tcPr>
            <w:tcW w:w="1418" w:type="dxa"/>
            <w:vAlign w:val="center"/>
          </w:tcPr>
          <w:p>
            <w:pPr>
              <w:jc w:val="center"/>
              <w:rPr>
                <w:sz w:val="24"/>
                <w:szCs w:val="36"/>
                <w:highlight w:val="none"/>
              </w:rPr>
            </w:pPr>
            <w:r>
              <w:rPr>
                <w:rFonts w:hint="eastAsia"/>
                <w:sz w:val="24"/>
                <w:szCs w:val="36"/>
                <w:highlight w:val="none"/>
              </w:rPr>
              <w:t>(    )</w:t>
            </w: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sz w:val="24"/>
                <w:highlight w:val="none"/>
              </w:rPr>
            </w:pPr>
            <w:r>
              <w:rPr>
                <w:rFonts w:hint="eastAsia" w:ascii="宋体 ，Arial" w:eastAsia="宋体 ，Arial"/>
                <w:sz w:val="24"/>
                <w:highlight w:val="none"/>
              </w:rPr>
              <w:t>二、模板工程及支撑体系</w:t>
            </w:r>
          </w:p>
        </w:tc>
        <w:tc>
          <w:tcPr>
            <w:tcW w:w="1275" w:type="dxa"/>
            <w:vAlign w:val="center"/>
          </w:tcPr>
          <w:p>
            <w:pPr>
              <w:jc w:val="center"/>
              <w:rPr>
                <w:sz w:val="24"/>
                <w:szCs w:val="36"/>
                <w:highlight w:val="none"/>
              </w:rPr>
            </w:pPr>
          </w:p>
        </w:tc>
        <w:tc>
          <w:tcPr>
            <w:tcW w:w="1418" w:type="dxa"/>
            <w:vAlign w:val="center"/>
          </w:tcPr>
          <w:p>
            <w:pPr>
              <w:jc w:val="center"/>
              <w:rPr>
                <w:sz w:val="24"/>
                <w:szCs w:val="36"/>
                <w:highlight w:val="none"/>
              </w:rPr>
            </w:pP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sz w:val="24"/>
                <w:highlight w:val="none"/>
              </w:rPr>
            </w:pPr>
            <w:r>
              <w:rPr>
                <w:rFonts w:hint="eastAsia" w:ascii="宋体 ，Arial" w:eastAsia="宋体 ，Arial"/>
                <w:sz w:val="24"/>
                <w:highlight w:val="none"/>
              </w:rPr>
              <w:t>（一）各类工具式模板工程：包括滑模、爬模、飞模、隧道模等工程。</w:t>
            </w:r>
          </w:p>
        </w:tc>
        <w:tc>
          <w:tcPr>
            <w:tcW w:w="1275" w:type="dxa"/>
            <w:vAlign w:val="center"/>
          </w:tcPr>
          <w:p>
            <w:pPr>
              <w:jc w:val="center"/>
              <w:rPr>
                <w:sz w:val="24"/>
                <w:szCs w:val="36"/>
                <w:highlight w:val="none"/>
              </w:rPr>
            </w:pPr>
            <w:r>
              <w:rPr>
                <w:rFonts w:hint="eastAsia"/>
                <w:sz w:val="24"/>
                <w:szCs w:val="36"/>
                <w:highlight w:val="none"/>
              </w:rPr>
              <w:t>(    )</w:t>
            </w:r>
          </w:p>
        </w:tc>
        <w:tc>
          <w:tcPr>
            <w:tcW w:w="1418" w:type="dxa"/>
            <w:vAlign w:val="center"/>
          </w:tcPr>
          <w:p>
            <w:pPr>
              <w:jc w:val="center"/>
              <w:rPr>
                <w:sz w:val="24"/>
                <w:szCs w:val="36"/>
                <w:highlight w:val="none"/>
              </w:rPr>
            </w:pPr>
            <w:r>
              <w:rPr>
                <w:rFonts w:hint="eastAsia"/>
                <w:sz w:val="24"/>
                <w:szCs w:val="36"/>
                <w:highlight w:val="none"/>
              </w:rPr>
              <w:t>(    )</w:t>
            </w: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sz w:val="24"/>
                <w:highlight w:val="none"/>
              </w:rPr>
            </w:pPr>
            <w:r>
              <w:rPr>
                <w:rFonts w:hint="eastAsia" w:ascii="宋体 ，Arial" w:eastAsia="宋体 ，Arial"/>
                <w:sz w:val="24"/>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275" w:type="dxa"/>
            <w:vAlign w:val="center"/>
          </w:tcPr>
          <w:p>
            <w:pPr>
              <w:jc w:val="center"/>
              <w:rPr>
                <w:sz w:val="24"/>
                <w:szCs w:val="36"/>
                <w:highlight w:val="none"/>
              </w:rPr>
            </w:pPr>
            <w:r>
              <w:rPr>
                <w:rFonts w:hint="eastAsia"/>
                <w:sz w:val="24"/>
                <w:szCs w:val="36"/>
                <w:highlight w:val="none"/>
              </w:rPr>
              <w:t xml:space="preserve">(  </w:t>
            </w:r>
            <w:r>
              <w:rPr>
                <w:rFonts w:hint="default" w:ascii="Arial" w:hAnsi="Arial" w:cs="Arial"/>
                <w:sz w:val="24"/>
                <w:szCs w:val="36"/>
                <w:highlight w:val="none"/>
              </w:rPr>
              <w:t>√</w:t>
            </w:r>
            <w:r>
              <w:rPr>
                <w:rFonts w:hint="eastAsia"/>
                <w:sz w:val="24"/>
                <w:szCs w:val="36"/>
                <w:highlight w:val="none"/>
              </w:rPr>
              <w:t xml:space="preserve">    )</w:t>
            </w:r>
          </w:p>
        </w:tc>
        <w:tc>
          <w:tcPr>
            <w:tcW w:w="1418" w:type="dxa"/>
            <w:vAlign w:val="center"/>
          </w:tcPr>
          <w:p>
            <w:pPr>
              <w:jc w:val="center"/>
              <w:rPr>
                <w:sz w:val="24"/>
                <w:szCs w:val="36"/>
                <w:highlight w:val="none"/>
              </w:rPr>
            </w:pPr>
            <w:r>
              <w:rPr>
                <w:rFonts w:hint="eastAsia"/>
                <w:sz w:val="24"/>
                <w:szCs w:val="36"/>
                <w:highlight w:val="none"/>
              </w:rPr>
              <w:t>(    )</w:t>
            </w: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widowControl/>
              <w:spacing w:line="360" w:lineRule="atLeast"/>
              <w:jc w:val="left"/>
              <w:rPr>
                <w:rFonts w:ascii="宋体 ，Arial" w:eastAsia="宋体 ，Arial" w:cs="宋体"/>
                <w:sz w:val="24"/>
                <w:highlight w:val="none"/>
              </w:rPr>
            </w:pPr>
            <w:r>
              <w:rPr>
                <w:rFonts w:hint="eastAsia" w:ascii="宋体 ，Arial" w:eastAsia="宋体 ，Arial" w:cs="宋体"/>
                <w:sz w:val="24"/>
                <w:highlight w:val="none"/>
              </w:rPr>
              <w:t>（三）承重支撑体系：用于钢结构安装等满堂支撑体系。</w:t>
            </w:r>
          </w:p>
        </w:tc>
        <w:tc>
          <w:tcPr>
            <w:tcW w:w="1275" w:type="dxa"/>
            <w:vAlign w:val="center"/>
          </w:tcPr>
          <w:p>
            <w:pPr>
              <w:jc w:val="center"/>
              <w:rPr>
                <w:sz w:val="24"/>
                <w:szCs w:val="36"/>
                <w:highlight w:val="none"/>
              </w:rPr>
            </w:pPr>
            <w:r>
              <w:rPr>
                <w:rFonts w:hint="eastAsia"/>
                <w:sz w:val="24"/>
                <w:szCs w:val="36"/>
                <w:highlight w:val="none"/>
              </w:rPr>
              <w:t>(    )</w:t>
            </w:r>
          </w:p>
        </w:tc>
        <w:tc>
          <w:tcPr>
            <w:tcW w:w="1418" w:type="dxa"/>
            <w:vAlign w:val="center"/>
          </w:tcPr>
          <w:p>
            <w:pPr>
              <w:jc w:val="center"/>
              <w:rPr>
                <w:sz w:val="24"/>
                <w:szCs w:val="36"/>
                <w:highlight w:val="none"/>
              </w:rPr>
            </w:pPr>
            <w:r>
              <w:rPr>
                <w:rFonts w:hint="eastAsia"/>
                <w:sz w:val="24"/>
                <w:szCs w:val="36"/>
                <w:highlight w:val="none"/>
              </w:rPr>
              <w:t>(    )</w:t>
            </w: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widowControl/>
              <w:spacing w:line="360" w:lineRule="atLeast"/>
              <w:jc w:val="left"/>
              <w:rPr>
                <w:rFonts w:ascii="宋体 ，Arial" w:eastAsia="宋体 ，Arial" w:cs="宋体"/>
                <w:sz w:val="24"/>
                <w:highlight w:val="none"/>
              </w:rPr>
            </w:pPr>
            <w:r>
              <w:rPr>
                <w:rFonts w:hint="eastAsia" w:ascii="宋体 ，Arial" w:eastAsia="宋体 ，Arial" w:cs="宋体"/>
                <w:sz w:val="24"/>
                <w:highlight w:val="none"/>
              </w:rPr>
              <w:t>　三、起重吊装及起重机械安装拆卸工程</w:t>
            </w:r>
          </w:p>
        </w:tc>
        <w:tc>
          <w:tcPr>
            <w:tcW w:w="1275" w:type="dxa"/>
            <w:vAlign w:val="center"/>
          </w:tcPr>
          <w:p>
            <w:pPr>
              <w:jc w:val="center"/>
              <w:rPr>
                <w:sz w:val="24"/>
                <w:szCs w:val="36"/>
                <w:highlight w:val="none"/>
              </w:rPr>
            </w:pPr>
          </w:p>
        </w:tc>
        <w:tc>
          <w:tcPr>
            <w:tcW w:w="1418" w:type="dxa"/>
            <w:vAlign w:val="center"/>
          </w:tcPr>
          <w:p>
            <w:pPr>
              <w:jc w:val="center"/>
              <w:rPr>
                <w:sz w:val="24"/>
                <w:szCs w:val="36"/>
                <w:highlight w:val="none"/>
              </w:rPr>
            </w:pP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widowControl/>
              <w:spacing w:line="360" w:lineRule="atLeast"/>
              <w:jc w:val="left"/>
              <w:rPr>
                <w:rFonts w:ascii="宋体 ，Arial" w:eastAsia="宋体 ，Arial" w:cs="宋体"/>
                <w:sz w:val="24"/>
                <w:highlight w:val="none"/>
              </w:rPr>
            </w:pPr>
            <w:r>
              <w:rPr>
                <w:rFonts w:hint="eastAsia" w:ascii="宋体 ，Arial" w:eastAsia="宋体 ，Arial" w:cs="宋体"/>
                <w:sz w:val="24"/>
                <w:highlight w:val="none"/>
              </w:rPr>
              <w:t>（一）采用非常规起重设备、方法，且单件起吊重量在10kN及以上的起重吊装工程。</w:t>
            </w:r>
          </w:p>
        </w:tc>
        <w:tc>
          <w:tcPr>
            <w:tcW w:w="1275" w:type="dxa"/>
            <w:vAlign w:val="center"/>
          </w:tcPr>
          <w:p>
            <w:pPr>
              <w:jc w:val="center"/>
              <w:rPr>
                <w:sz w:val="24"/>
                <w:szCs w:val="36"/>
                <w:highlight w:val="none"/>
              </w:rPr>
            </w:pPr>
            <w:r>
              <w:rPr>
                <w:rFonts w:hint="eastAsia"/>
                <w:sz w:val="24"/>
                <w:szCs w:val="36"/>
                <w:highlight w:val="none"/>
              </w:rPr>
              <w:t>(    )</w:t>
            </w:r>
          </w:p>
        </w:tc>
        <w:tc>
          <w:tcPr>
            <w:tcW w:w="1418" w:type="dxa"/>
            <w:vAlign w:val="center"/>
          </w:tcPr>
          <w:p>
            <w:pPr>
              <w:jc w:val="center"/>
              <w:rPr>
                <w:sz w:val="24"/>
                <w:szCs w:val="36"/>
                <w:highlight w:val="none"/>
              </w:rPr>
            </w:pPr>
            <w:r>
              <w:rPr>
                <w:rFonts w:hint="eastAsia"/>
                <w:sz w:val="24"/>
                <w:szCs w:val="36"/>
                <w:highlight w:val="none"/>
              </w:rPr>
              <w:t>(    )</w:t>
            </w: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sz w:val="24"/>
                <w:highlight w:val="none"/>
              </w:rPr>
            </w:pPr>
            <w:r>
              <w:rPr>
                <w:rFonts w:hint="eastAsia" w:ascii="宋体 ，Arial" w:eastAsia="宋体 ，Arial" w:cs="宋体"/>
                <w:sz w:val="24"/>
                <w:highlight w:val="none"/>
              </w:rPr>
              <w:t>（二）采用起重机械进行安装的工程。</w:t>
            </w:r>
          </w:p>
        </w:tc>
        <w:tc>
          <w:tcPr>
            <w:tcW w:w="1275" w:type="dxa"/>
            <w:vAlign w:val="center"/>
          </w:tcPr>
          <w:p>
            <w:pPr>
              <w:jc w:val="center"/>
              <w:rPr>
                <w:sz w:val="24"/>
                <w:szCs w:val="36"/>
                <w:highlight w:val="none"/>
              </w:rPr>
            </w:pPr>
            <w:r>
              <w:rPr>
                <w:rFonts w:hint="eastAsia"/>
                <w:sz w:val="24"/>
                <w:szCs w:val="36"/>
                <w:highlight w:val="none"/>
              </w:rPr>
              <w:t>(    )</w:t>
            </w:r>
          </w:p>
        </w:tc>
        <w:tc>
          <w:tcPr>
            <w:tcW w:w="1418" w:type="dxa"/>
            <w:vAlign w:val="center"/>
          </w:tcPr>
          <w:p>
            <w:pPr>
              <w:jc w:val="center"/>
              <w:rPr>
                <w:sz w:val="24"/>
                <w:szCs w:val="36"/>
                <w:highlight w:val="none"/>
              </w:rPr>
            </w:pPr>
            <w:r>
              <w:rPr>
                <w:rFonts w:hint="eastAsia"/>
                <w:sz w:val="24"/>
                <w:szCs w:val="36"/>
                <w:highlight w:val="none"/>
              </w:rPr>
              <w:t>(    )</w:t>
            </w: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rFonts w:ascii="宋体 ，Arial" w:eastAsia="宋体 ，Arial" w:cs="宋体"/>
                <w:sz w:val="24"/>
                <w:highlight w:val="none"/>
              </w:rPr>
            </w:pPr>
            <w:r>
              <w:rPr>
                <w:rFonts w:hint="eastAsia" w:ascii="宋体 ，Arial" w:eastAsia="宋体 ，Arial" w:cs="宋体"/>
                <w:sz w:val="24"/>
                <w:highlight w:val="none"/>
              </w:rPr>
              <w:t>（三）起重机械安装和拆卸工程。</w:t>
            </w:r>
          </w:p>
        </w:tc>
        <w:tc>
          <w:tcPr>
            <w:tcW w:w="1275" w:type="dxa"/>
            <w:vAlign w:val="center"/>
          </w:tcPr>
          <w:p>
            <w:pPr>
              <w:jc w:val="center"/>
              <w:rPr>
                <w:sz w:val="24"/>
                <w:szCs w:val="36"/>
                <w:highlight w:val="none"/>
              </w:rPr>
            </w:pPr>
            <w:r>
              <w:rPr>
                <w:rFonts w:hint="eastAsia"/>
                <w:sz w:val="24"/>
                <w:szCs w:val="36"/>
                <w:highlight w:val="none"/>
              </w:rPr>
              <w:t>(    )</w:t>
            </w:r>
          </w:p>
        </w:tc>
        <w:tc>
          <w:tcPr>
            <w:tcW w:w="1418" w:type="dxa"/>
            <w:vAlign w:val="center"/>
          </w:tcPr>
          <w:p>
            <w:pPr>
              <w:jc w:val="center"/>
              <w:rPr>
                <w:sz w:val="24"/>
                <w:szCs w:val="36"/>
                <w:highlight w:val="none"/>
              </w:rPr>
            </w:pPr>
            <w:r>
              <w:rPr>
                <w:rFonts w:hint="eastAsia"/>
                <w:sz w:val="24"/>
                <w:szCs w:val="36"/>
                <w:highlight w:val="none"/>
              </w:rPr>
              <w:t>(    )</w:t>
            </w:r>
          </w:p>
        </w:tc>
        <w:tc>
          <w:tcPr>
            <w:tcW w:w="759" w:type="dxa"/>
            <w:vAlign w:val="center"/>
          </w:tcPr>
          <w:p>
            <w:pPr>
              <w:jc w:val="center"/>
              <w:rPr>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sz w:val="24"/>
                <w:highlight w:val="none"/>
              </w:rPr>
            </w:pPr>
            <w:r>
              <w:rPr>
                <w:rFonts w:hint="eastAsia" w:ascii="宋体 ，Arial" w:eastAsia="宋体 ，Arial"/>
                <w:sz w:val="24"/>
                <w:highlight w:val="none"/>
              </w:rPr>
              <w:t>四、脚手架工程</w:t>
            </w:r>
          </w:p>
        </w:tc>
        <w:tc>
          <w:tcPr>
            <w:tcW w:w="1275" w:type="dxa"/>
            <w:vAlign w:val="center"/>
          </w:tcPr>
          <w:p>
            <w:pPr>
              <w:jc w:val="center"/>
              <w:rPr>
                <w:sz w:val="24"/>
                <w:szCs w:val="36"/>
                <w:highlight w:val="none"/>
              </w:rPr>
            </w:pPr>
          </w:p>
        </w:tc>
        <w:tc>
          <w:tcPr>
            <w:tcW w:w="1418" w:type="dxa"/>
            <w:vAlign w:val="center"/>
          </w:tcPr>
          <w:p>
            <w:pPr>
              <w:jc w:val="center"/>
              <w:rPr>
                <w:sz w:val="24"/>
                <w:szCs w:val="36"/>
                <w:highlight w:val="none"/>
              </w:rPr>
            </w:pP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sz w:val="24"/>
                <w:highlight w:val="none"/>
              </w:rPr>
            </w:pPr>
            <w:r>
              <w:rPr>
                <w:rFonts w:hint="eastAsia" w:ascii="宋体 ，Arial" w:eastAsia="宋体 ，Arial"/>
                <w:sz w:val="24"/>
                <w:highlight w:val="none"/>
              </w:rPr>
              <w:t>（一）搭设高度24m及以上的落地式钢管脚手架工程（包括采光井、电梯井脚手架）。</w:t>
            </w:r>
          </w:p>
        </w:tc>
        <w:tc>
          <w:tcPr>
            <w:tcW w:w="1275" w:type="dxa"/>
            <w:vAlign w:val="center"/>
          </w:tcPr>
          <w:p>
            <w:pPr>
              <w:jc w:val="center"/>
              <w:rPr>
                <w:sz w:val="24"/>
                <w:szCs w:val="36"/>
                <w:highlight w:val="none"/>
              </w:rPr>
            </w:pPr>
            <w:r>
              <w:rPr>
                <w:rFonts w:hint="eastAsia"/>
                <w:sz w:val="24"/>
                <w:szCs w:val="36"/>
                <w:highlight w:val="none"/>
              </w:rPr>
              <w:t xml:space="preserve">(  </w:t>
            </w:r>
            <w:r>
              <w:rPr>
                <w:rFonts w:hint="default" w:ascii="Arial" w:hAnsi="Arial" w:cs="Arial"/>
                <w:sz w:val="24"/>
                <w:szCs w:val="36"/>
                <w:highlight w:val="none"/>
              </w:rPr>
              <w:t>√</w:t>
            </w:r>
            <w:r>
              <w:rPr>
                <w:rFonts w:hint="eastAsia"/>
                <w:sz w:val="24"/>
                <w:szCs w:val="36"/>
                <w:highlight w:val="none"/>
              </w:rPr>
              <w:t xml:space="preserve">  )</w:t>
            </w:r>
          </w:p>
        </w:tc>
        <w:tc>
          <w:tcPr>
            <w:tcW w:w="1418" w:type="dxa"/>
            <w:vAlign w:val="center"/>
          </w:tcPr>
          <w:p>
            <w:pPr>
              <w:jc w:val="center"/>
              <w:rPr>
                <w:sz w:val="24"/>
                <w:szCs w:val="36"/>
                <w:highlight w:val="none"/>
              </w:rPr>
            </w:pPr>
            <w:r>
              <w:rPr>
                <w:rFonts w:hint="eastAsia"/>
                <w:sz w:val="24"/>
                <w:szCs w:val="36"/>
                <w:highlight w:val="none"/>
              </w:rPr>
              <w:t>(</w:t>
            </w:r>
            <w:r>
              <w:rPr>
                <w:rFonts w:hint="eastAsia" w:ascii="宋体 ，Arial" w:eastAsia="宋体 ，Arial"/>
                <w:sz w:val="24"/>
                <w:highlight w:val="none"/>
              </w:rPr>
              <w:t xml:space="preserve">   </w:t>
            </w:r>
            <w:r>
              <w:rPr>
                <w:rFonts w:hint="eastAsia"/>
                <w:sz w:val="24"/>
                <w:szCs w:val="36"/>
                <w:highlight w:val="none"/>
              </w:rPr>
              <w:t xml:space="preserve"> )</w:t>
            </w: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sz w:val="24"/>
                <w:highlight w:val="none"/>
              </w:rPr>
            </w:pPr>
            <w:r>
              <w:rPr>
                <w:rFonts w:hint="eastAsia" w:ascii="宋体 ，Arial" w:eastAsia="宋体 ，Arial"/>
                <w:sz w:val="24"/>
                <w:highlight w:val="none"/>
              </w:rPr>
              <w:t>（二）附着式升降脚手架工程。</w:t>
            </w:r>
          </w:p>
        </w:tc>
        <w:tc>
          <w:tcPr>
            <w:tcW w:w="1275" w:type="dxa"/>
            <w:vAlign w:val="center"/>
          </w:tcPr>
          <w:p>
            <w:pPr>
              <w:jc w:val="center"/>
              <w:rPr>
                <w:sz w:val="24"/>
                <w:szCs w:val="36"/>
                <w:highlight w:val="none"/>
              </w:rPr>
            </w:pPr>
            <w:r>
              <w:rPr>
                <w:rFonts w:hint="eastAsia"/>
                <w:sz w:val="24"/>
                <w:szCs w:val="36"/>
                <w:highlight w:val="none"/>
              </w:rPr>
              <w:t xml:space="preserve">(  </w:t>
            </w:r>
            <w:r>
              <w:rPr>
                <w:rFonts w:hint="default" w:ascii="Arial" w:hAnsi="Arial" w:cs="Arial"/>
                <w:sz w:val="24"/>
                <w:szCs w:val="36"/>
                <w:highlight w:val="none"/>
              </w:rPr>
              <w:t>√</w:t>
            </w:r>
            <w:r>
              <w:rPr>
                <w:rFonts w:hint="eastAsia"/>
                <w:sz w:val="24"/>
                <w:szCs w:val="36"/>
                <w:highlight w:val="none"/>
              </w:rPr>
              <w:t xml:space="preserve">  )</w:t>
            </w:r>
          </w:p>
        </w:tc>
        <w:tc>
          <w:tcPr>
            <w:tcW w:w="1418" w:type="dxa"/>
            <w:vAlign w:val="center"/>
          </w:tcPr>
          <w:p>
            <w:pPr>
              <w:jc w:val="center"/>
              <w:rPr>
                <w:sz w:val="24"/>
                <w:szCs w:val="36"/>
                <w:highlight w:val="none"/>
              </w:rPr>
            </w:pPr>
            <w:r>
              <w:rPr>
                <w:rFonts w:hint="eastAsia"/>
                <w:sz w:val="24"/>
                <w:szCs w:val="36"/>
                <w:highlight w:val="none"/>
              </w:rPr>
              <w:t>(</w:t>
            </w:r>
            <w:r>
              <w:rPr>
                <w:rFonts w:hint="eastAsia" w:ascii="宋体 ，Arial" w:eastAsia="宋体 ，Arial"/>
                <w:sz w:val="24"/>
                <w:highlight w:val="none"/>
              </w:rPr>
              <w:t xml:space="preserve">   </w:t>
            </w:r>
            <w:r>
              <w:rPr>
                <w:rFonts w:hint="eastAsia"/>
                <w:sz w:val="24"/>
                <w:szCs w:val="36"/>
                <w:highlight w:val="none"/>
              </w:rPr>
              <w:t xml:space="preserve"> )</w:t>
            </w: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sz w:val="24"/>
                <w:highlight w:val="none"/>
              </w:rPr>
            </w:pPr>
            <w:r>
              <w:rPr>
                <w:rFonts w:hint="eastAsia" w:ascii="宋体 ，Arial" w:eastAsia="宋体 ，Arial"/>
                <w:sz w:val="24"/>
                <w:highlight w:val="none"/>
              </w:rPr>
              <w:t>（三）悬挑式脚手架工程。</w:t>
            </w:r>
          </w:p>
        </w:tc>
        <w:tc>
          <w:tcPr>
            <w:tcW w:w="1275" w:type="dxa"/>
            <w:vAlign w:val="center"/>
          </w:tcPr>
          <w:p>
            <w:pPr>
              <w:jc w:val="center"/>
              <w:rPr>
                <w:sz w:val="24"/>
                <w:szCs w:val="36"/>
                <w:highlight w:val="none"/>
              </w:rPr>
            </w:pPr>
            <w:r>
              <w:rPr>
                <w:rFonts w:hint="eastAsia"/>
                <w:sz w:val="24"/>
                <w:szCs w:val="36"/>
                <w:highlight w:val="none"/>
              </w:rPr>
              <w:t xml:space="preserve">(  </w:t>
            </w:r>
            <w:r>
              <w:rPr>
                <w:rFonts w:hint="default" w:ascii="Arial" w:hAnsi="Arial" w:cs="Arial"/>
                <w:sz w:val="24"/>
                <w:szCs w:val="36"/>
                <w:highlight w:val="none"/>
              </w:rPr>
              <w:t>√</w:t>
            </w:r>
            <w:r>
              <w:rPr>
                <w:rFonts w:hint="eastAsia"/>
                <w:sz w:val="24"/>
                <w:szCs w:val="36"/>
                <w:highlight w:val="none"/>
              </w:rPr>
              <w:t xml:space="preserve">  )</w:t>
            </w:r>
          </w:p>
        </w:tc>
        <w:tc>
          <w:tcPr>
            <w:tcW w:w="1418" w:type="dxa"/>
            <w:vAlign w:val="center"/>
          </w:tcPr>
          <w:p>
            <w:pPr>
              <w:jc w:val="center"/>
              <w:rPr>
                <w:sz w:val="24"/>
                <w:szCs w:val="36"/>
                <w:highlight w:val="none"/>
              </w:rPr>
            </w:pPr>
            <w:r>
              <w:rPr>
                <w:rFonts w:hint="eastAsia"/>
                <w:sz w:val="24"/>
                <w:szCs w:val="36"/>
                <w:highlight w:val="none"/>
              </w:rPr>
              <w:t>(</w:t>
            </w:r>
            <w:r>
              <w:rPr>
                <w:rFonts w:hint="eastAsia" w:ascii="宋体 ，Arial" w:eastAsia="宋体 ，Arial"/>
                <w:sz w:val="24"/>
                <w:highlight w:val="none"/>
              </w:rPr>
              <w:t xml:space="preserve">   </w:t>
            </w:r>
            <w:r>
              <w:rPr>
                <w:rFonts w:hint="eastAsia"/>
                <w:sz w:val="24"/>
                <w:szCs w:val="36"/>
                <w:highlight w:val="none"/>
              </w:rPr>
              <w:t xml:space="preserve"> )</w:t>
            </w: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sz w:val="24"/>
                <w:highlight w:val="none"/>
              </w:rPr>
            </w:pPr>
            <w:r>
              <w:rPr>
                <w:rFonts w:hint="eastAsia" w:ascii="宋体 ，Arial" w:eastAsia="宋体 ，Arial"/>
                <w:sz w:val="24"/>
                <w:highlight w:val="none"/>
              </w:rPr>
              <w:t>（四）高处作业吊篮。</w:t>
            </w:r>
          </w:p>
        </w:tc>
        <w:tc>
          <w:tcPr>
            <w:tcW w:w="1275" w:type="dxa"/>
            <w:vAlign w:val="center"/>
          </w:tcPr>
          <w:p>
            <w:pPr>
              <w:jc w:val="center"/>
              <w:rPr>
                <w:sz w:val="24"/>
                <w:szCs w:val="36"/>
                <w:highlight w:val="none"/>
              </w:rPr>
            </w:pPr>
            <w:r>
              <w:rPr>
                <w:rFonts w:hint="eastAsia"/>
                <w:sz w:val="24"/>
                <w:szCs w:val="36"/>
                <w:highlight w:val="none"/>
              </w:rPr>
              <w:t>(    )</w:t>
            </w:r>
          </w:p>
        </w:tc>
        <w:tc>
          <w:tcPr>
            <w:tcW w:w="1418" w:type="dxa"/>
            <w:vAlign w:val="center"/>
          </w:tcPr>
          <w:p>
            <w:pPr>
              <w:jc w:val="center"/>
              <w:rPr>
                <w:sz w:val="24"/>
                <w:szCs w:val="36"/>
                <w:highlight w:val="none"/>
              </w:rPr>
            </w:pPr>
            <w:r>
              <w:rPr>
                <w:rFonts w:hint="eastAsia"/>
                <w:sz w:val="24"/>
                <w:szCs w:val="36"/>
                <w:highlight w:val="none"/>
              </w:rPr>
              <w:t>(</w:t>
            </w:r>
            <w:r>
              <w:rPr>
                <w:rFonts w:hint="eastAsia" w:ascii="宋体 ，Arial" w:eastAsia="宋体 ，Arial"/>
                <w:sz w:val="24"/>
                <w:highlight w:val="none"/>
              </w:rPr>
              <w:t xml:space="preserve">   </w:t>
            </w:r>
            <w:r>
              <w:rPr>
                <w:rFonts w:hint="eastAsia"/>
                <w:sz w:val="24"/>
                <w:szCs w:val="36"/>
                <w:highlight w:val="none"/>
              </w:rPr>
              <w:t xml:space="preserve"> )</w:t>
            </w: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sz w:val="24"/>
                <w:highlight w:val="none"/>
              </w:rPr>
            </w:pPr>
            <w:r>
              <w:rPr>
                <w:rFonts w:hint="eastAsia" w:ascii="宋体 ，Arial" w:eastAsia="宋体 ，Arial"/>
                <w:sz w:val="24"/>
                <w:highlight w:val="none"/>
              </w:rPr>
              <w:t>（五）卸料平台、操作平台工程。</w:t>
            </w:r>
          </w:p>
        </w:tc>
        <w:tc>
          <w:tcPr>
            <w:tcW w:w="1275" w:type="dxa"/>
            <w:vAlign w:val="center"/>
          </w:tcPr>
          <w:p>
            <w:pPr>
              <w:jc w:val="center"/>
              <w:rPr>
                <w:sz w:val="24"/>
                <w:szCs w:val="36"/>
                <w:highlight w:val="none"/>
              </w:rPr>
            </w:pPr>
            <w:r>
              <w:rPr>
                <w:rFonts w:hint="eastAsia"/>
                <w:sz w:val="24"/>
                <w:szCs w:val="36"/>
                <w:highlight w:val="none"/>
              </w:rPr>
              <w:t xml:space="preserve">( </w:t>
            </w:r>
            <w:r>
              <w:rPr>
                <w:rFonts w:hint="eastAsia"/>
                <w:sz w:val="24"/>
                <w:szCs w:val="36"/>
                <w:highlight w:val="none"/>
                <w:lang w:val="en-US" w:eastAsia="zh-CN"/>
              </w:rPr>
              <w:t xml:space="preserve"> </w:t>
            </w:r>
            <w:r>
              <w:rPr>
                <w:rFonts w:hint="default" w:ascii="Arial" w:hAnsi="Arial" w:cs="Arial"/>
                <w:sz w:val="24"/>
                <w:szCs w:val="36"/>
                <w:highlight w:val="none"/>
              </w:rPr>
              <w:t>√</w:t>
            </w:r>
            <w:r>
              <w:rPr>
                <w:rFonts w:hint="eastAsia"/>
                <w:sz w:val="24"/>
                <w:szCs w:val="36"/>
                <w:highlight w:val="none"/>
              </w:rPr>
              <w:t xml:space="preserve"> )</w:t>
            </w:r>
          </w:p>
        </w:tc>
        <w:tc>
          <w:tcPr>
            <w:tcW w:w="1418" w:type="dxa"/>
            <w:vAlign w:val="center"/>
          </w:tcPr>
          <w:p>
            <w:pPr>
              <w:jc w:val="center"/>
              <w:rPr>
                <w:sz w:val="24"/>
                <w:szCs w:val="36"/>
                <w:highlight w:val="none"/>
              </w:rPr>
            </w:pPr>
            <w:r>
              <w:rPr>
                <w:rFonts w:hint="eastAsia"/>
                <w:sz w:val="24"/>
                <w:szCs w:val="36"/>
                <w:highlight w:val="none"/>
              </w:rPr>
              <w:t>(</w:t>
            </w:r>
            <w:r>
              <w:rPr>
                <w:rFonts w:hint="eastAsia" w:ascii="宋体 ，Arial" w:eastAsia="宋体 ，Arial"/>
                <w:sz w:val="24"/>
                <w:highlight w:val="none"/>
              </w:rPr>
              <w:t xml:space="preserve">   </w:t>
            </w:r>
            <w:r>
              <w:rPr>
                <w:rFonts w:hint="eastAsia"/>
                <w:sz w:val="24"/>
                <w:szCs w:val="36"/>
                <w:highlight w:val="none"/>
              </w:rPr>
              <w:t xml:space="preserve"> )</w:t>
            </w: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sz w:val="24"/>
                <w:highlight w:val="none"/>
              </w:rPr>
            </w:pPr>
            <w:r>
              <w:rPr>
                <w:rFonts w:hint="eastAsia" w:ascii="宋体 ，Arial" w:eastAsia="宋体 ，Arial"/>
                <w:sz w:val="24"/>
                <w:highlight w:val="none"/>
              </w:rPr>
              <w:t>（六）异型脚手架工程。</w:t>
            </w:r>
          </w:p>
        </w:tc>
        <w:tc>
          <w:tcPr>
            <w:tcW w:w="1275" w:type="dxa"/>
            <w:vAlign w:val="center"/>
          </w:tcPr>
          <w:p>
            <w:pPr>
              <w:jc w:val="center"/>
              <w:rPr>
                <w:sz w:val="24"/>
                <w:szCs w:val="36"/>
                <w:highlight w:val="none"/>
              </w:rPr>
            </w:pPr>
            <w:r>
              <w:rPr>
                <w:rFonts w:hint="eastAsia"/>
                <w:sz w:val="24"/>
                <w:szCs w:val="36"/>
                <w:highlight w:val="none"/>
              </w:rPr>
              <w:t>(    )</w:t>
            </w:r>
          </w:p>
        </w:tc>
        <w:tc>
          <w:tcPr>
            <w:tcW w:w="1418" w:type="dxa"/>
            <w:vAlign w:val="center"/>
          </w:tcPr>
          <w:p>
            <w:pPr>
              <w:jc w:val="center"/>
              <w:rPr>
                <w:sz w:val="24"/>
                <w:szCs w:val="36"/>
                <w:highlight w:val="none"/>
              </w:rPr>
            </w:pPr>
            <w:r>
              <w:rPr>
                <w:rFonts w:hint="eastAsia"/>
                <w:sz w:val="24"/>
                <w:szCs w:val="36"/>
                <w:highlight w:val="none"/>
              </w:rPr>
              <w:t>(</w:t>
            </w:r>
            <w:r>
              <w:rPr>
                <w:rFonts w:hint="eastAsia" w:ascii="宋体 ，Arial" w:eastAsia="宋体 ，Arial"/>
                <w:sz w:val="24"/>
                <w:highlight w:val="none"/>
              </w:rPr>
              <w:t xml:space="preserve">  </w:t>
            </w:r>
            <w:r>
              <w:rPr>
                <w:rFonts w:hint="eastAsia"/>
                <w:sz w:val="24"/>
                <w:szCs w:val="36"/>
                <w:highlight w:val="none"/>
              </w:rPr>
              <w:t xml:space="preserve"> )</w:t>
            </w: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sz w:val="24"/>
                <w:highlight w:val="none"/>
              </w:rPr>
            </w:pPr>
            <w:r>
              <w:rPr>
                <w:rFonts w:hint="eastAsia" w:ascii="宋体 ，Arial" w:eastAsia="宋体 ，Arial"/>
                <w:sz w:val="24"/>
                <w:highlight w:val="none"/>
              </w:rPr>
              <w:t>五、拆除工程</w:t>
            </w:r>
          </w:p>
        </w:tc>
        <w:tc>
          <w:tcPr>
            <w:tcW w:w="1275" w:type="dxa"/>
            <w:vAlign w:val="center"/>
          </w:tcPr>
          <w:p>
            <w:pPr>
              <w:jc w:val="center"/>
              <w:rPr>
                <w:sz w:val="24"/>
                <w:szCs w:val="36"/>
                <w:highlight w:val="none"/>
              </w:rPr>
            </w:pPr>
          </w:p>
        </w:tc>
        <w:tc>
          <w:tcPr>
            <w:tcW w:w="1418" w:type="dxa"/>
            <w:vAlign w:val="center"/>
          </w:tcPr>
          <w:p>
            <w:pPr>
              <w:jc w:val="center"/>
              <w:rPr>
                <w:sz w:val="24"/>
                <w:szCs w:val="36"/>
                <w:highlight w:val="none"/>
              </w:rPr>
            </w:pP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sz w:val="24"/>
                <w:highlight w:val="none"/>
              </w:rPr>
            </w:pPr>
            <w:r>
              <w:rPr>
                <w:rFonts w:hint="eastAsia" w:ascii="宋体 ，Arial" w:eastAsia="宋体 ，Arial"/>
                <w:sz w:val="24"/>
                <w:highlight w:val="none"/>
              </w:rPr>
              <w:t>可能影响行人、交通、电力设施、通讯设施或其它建、构筑物安全的拆除工程。</w:t>
            </w:r>
          </w:p>
        </w:tc>
        <w:tc>
          <w:tcPr>
            <w:tcW w:w="1275" w:type="dxa"/>
            <w:vAlign w:val="center"/>
          </w:tcPr>
          <w:p>
            <w:pPr>
              <w:jc w:val="center"/>
              <w:rPr>
                <w:sz w:val="24"/>
                <w:szCs w:val="36"/>
                <w:highlight w:val="none"/>
              </w:rPr>
            </w:pPr>
            <w:r>
              <w:rPr>
                <w:rFonts w:hint="eastAsia"/>
                <w:sz w:val="24"/>
                <w:szCs w:val="36"/>
                <w:highlight w:val="none"/>
              </w:rPr>
              <w:t>(    )</w:t>
            </w:r>
          </w:p>
        </w:tc>
        <w:tc>
          <w:tcPr>
            <w:tcW w:w="1418" w:type="dxa"/>
            <w:vAlign w:val="center"/>
          </w:tcPr>
          <w:p>
            <w:pPr>
              <w:jc w:val="center"/>
              <w:rPr>
                <w:sz w:val="24"/>
                <w:szCs w:val="36"/>
                <w:highlight w:val="none"/>
              </w:rPr>
            </w:pPr>
            <w:r>
              <w:rPr>
                <w:rFonts w:hint="eastAsia"/>
                <w:sz w:val="24"/>
                <w:szCs w:val="36"/>
                <w:highlight w:val="none"/>
              </w:rPr>
              <w:t>(    )</w:t>
            </w: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sz w:val="24"/>
                <w:highlight w:val="none"/>
              </w:rPr>
            </w:pPr>
            <w:r>
              <w:rPr>
                <w:rFonts w:hint="eastAsia" w:ascii="宋体 ，Arial" w:eastAsia="宋体 ，Arial"/>
                <w:sz w:val="24"/>
                <w:highlight w:val="none"/>
              </w:rPr>
              <w:t>　六、暗挖工程</w:t>
            </w:r>
          </w:p>
        </w:tc>
        <w:tc>
          <w:tcPr>
            <w:tcW w:w="1275" w:type="dxa"/>
            <w:vAlign w:val="center"/>
          </w:tcPr>
          <w:p>
            <w:pPr>
              <w:jc w:val="center"/>
              <w:rPr>
                <w:sz w:val="24"/>
                <w:szCs w:val="36"/>
                <w:highlight w:val="none"/>
              </w:rPr>
            </w:pPr>
          </w:p>
        </w:tc>
        <w:tc>
          <w:tcPr>
            <w:tcW w:w="1418" w:type="dxa"/>
            <w:vAlign w:val="center"/>
          </w:tcPr>
          <w:p>
            <w:pPr>
              <w:jc w:val="center"/>
              <w:rPr>
                <w:sz w:val="24"/>
                <w:szCs w:val="36"/>
                <w:highlight w:val="none"/>
              </w:rPr>
            </w:pP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rFonts w:ascii="宋体 ，Arial" w:eastAsia="宋体 ，Arial"/>
                <w:sz w:val="24"/>
                <w:highlight w:val="none"/>
              </w:rPr>
            </w:pPr>
            <w:r>
              <w:rPr>
                <w:rFonts w:hint="eastAsia" w:ascii="宋体 ，Arial" w:eastAsia="宋体 ，Arial"/>
                <w:sz w:val="24"/>
                <w:highlight w:val="none"/>
              </w:rPr>
              <w:t>采用矿山法、盾构法、顶管法施工的隧道、洞室工程。</w:t>
            </w:r>
          </w:p>
        </w:tc>
        <w:tc>
          <w:tcPr>
            <w:tcW w:w="1275" w:type="dxa"/>
            <w:vAlign w:val="center"/>
          </w:tcPr>
          <w:p>
            <w:pPr>
              <w:jc w:val="center"/>
              <w:rPr>
                <w:sz w:val="24"/>
                <w:szCs w:val="36"/>
                <w:highlight w:val="none"/>
              </w:rPr>
            </w:pPr>
            <w:r>
              <w:rPr>
                <w:rFonts w:hint="eastAsia"/>
                <w:sz w:val="24"/>
                <w:szCs w:val="36"/>
                <w:highlight w:val="none"/>
              </w:rPr>
              <w:t>(    )</w:t>
            </w:r>
          </w:p>
        </w:tc>
        <w:tc>
          <w:tcPr>
            <w:tcW w:w="1418" w:type="dxa"/>
            <w:vAlign w:val="center"/>
          </w:tcPr>
          <w:p>
            <w:pPr>
              <w:jc w:val="center"/>
              <w:rPr>
                <w:sz w:val="24"/>
                <w:szCs w:val="36"/>
                <w:highlight w:val="none"/>
              </w:rPr>
            </w:pPr>
            <w:r>
              <w:rPr>
                <w:rFonts w:hint="eastAsia"/>
                <w:sz w:val="24"/>
                <w:szCs w:val="36"/>
                <w:highlight w:val="none"/>
              </w:rPr>
              <w:t>(    )</w:t>
            </w: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rFonts w:ascii="宋体 ，Arial" w:eastAsia="宋体 ，Arial"/>
                <w:sz w:val="24"/>
                <w:highlight w:val="none"/>
              </w:rPr>
            </w:pPr>
            <w:r>
              <w:rPr>
                <w:rFonts w:hint="eastAsia" w:ascii="宋体 ，Arial" w:eastAsia="宋体 ，Arial"/>
                <w:sz w:val="24"/>
                <w:highlight w:val="none"/>
              </w:rPr>
              <w:t>七、其它</w:t>
            </w:r>
          </w:p>
        </w:tc>
        <w:tc>
          <w:tcPr>
            <w:tcW w:w="1275" w:type="dxa"/>
            <w:vAlign w:val="center"/>
          </w:tcPr>
          <w:p>
            <w:pPr>
              <w:jc w:val="center"/>
              <w:rPr>
                <w:sz w:val="24"/>
                <w:szCs w:val="36"/>
                <w:highlight w:val="none"/>
              </w:rPr>
            </w:pPr>
          </w:p>
        </w:tc>
        <w:tc>
          <w:tcPr>
            <w:tcW w:w="1418" w:type="dxa"/>
            <w:vAlign w:val="center"/>
          </w:tcPr>
          <w:p>
            <w:pPr>
              <w:jc w:val="center"/>
              <w:rPr>
                <w:sz w:val="24"/>
                <w:szCs w:val="36"/>
                <w:highlight w:val="none"/>
              </w:rPr>
            </w:pP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rFonts w:ascii="宋体 ，Arial" w:eastAsia="宋体 ，Arial"/>
                <w:sz w:val="24"/>
                <w:highlight w:val="none"/>
              </w:rPr>
            </w:pPr>
            <w:r>
              <w:rPr>
                <w:rFonts w:hint="eastAsia" w:ascii="宋体 ，Arial" w:eastAsia="宋体 ，Arial"/>
                <w:sz w:val="24"/>
                <w:highlight w:val="none"/>
              </w:rPr>
              <w:t>（一）建筑幕墙安装工程。</w:t>
            </w:r>
          </w:p>
        </w:tc>
        <w:tc>
          <w:tcPr>
            <w:tcW w:w="1275" w:type="dxa"/>
            <w:vAlign w:val="center"/>
          </w:tcPr>
          <w:p>
            <w:pPr>
              <w:jc w:val="center"/>
              <w:rPr>
                <w:sz w:val="24"/>
                <w:szCs w:val="36"/>
                <w:highlight w:val="none"/>
              </w:rPr>
            </w:pPr>
            <w:r>
              <w:rPr>
                <w:rFonts w:hint="eastAsia"/>
                <w:sz w:val="24"/>
                <w:szCs w:val="36"/>
                <w:highlight w:val="none"/>
              </w:rPr>
              <w:t>(    )</w:t>
            </w:r>
          </w:p>
        </w:tc>
        <w:tc>
          <w:tcPr>
            <w:tcW w:w="1418" w:type="dxa"/>
            <w:vAlign w:val="center"/>
          </w:tcPr>
          <w:p>
            <w:pPr>
              <w:jc w:val="center"/>
              <w:rPr>
                <w:sz w:val="24"/>
                <w:szCs w:val="36"/>
                <w:highlight w:val="none"/>
              </w:rPr>
            </w:pPr>
            <w:r>
              <w:rPr>
                <w:rFonts w:hint="eastAsia"/>
                <w:sz w:val="24"/>
                <w:szCs w:val="36"/>
                <w:highlight w:val="none"/>
              </w:rPr>
              <w:t>(    )</w:t>
            </w: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rFonts w:ascii="宋体 ，Arial" w:eastAsia="宋体 ，Arial"/>
                <w:sz w:val="24"/>
                <w:highlight w:val="none"/>
              </w:rPr>
            </w:pPr>
            <w:r>
              <w:rPr>
                <w:rFonts w:hint="eastAsia" w:ascii="宋体 ，Arial" w:eastAsia="宋体 ，Arial"/>
                <w:sz w:val="24"/>
                <w:highlight w:val="none"/>
              </w:rPr>
              <w:t>（二）钢结构、网架和索膜结构安装工程。</w:t>
            </w:r>
          </w:p>
        </w:tc>
        <w:tc>
          <w:tcPr>
            <w:tcW w:w="1275" w:type="dxa"/>
            <w:vAlign w:val="center"/>
          </w:tcPr>
          <w:p>
            <w:pPr>
              <w:jc w:val="center"/>
              <w:rPr>
                <w:sz w:val="24"/>
                <w:szCs w:val="36"/>
                <w:highlight w:val="none"/>
              </w:rPr>
            </w:pPr>
            <w:r>
              <w:rPr>
                <w:rFonts w:hint="eastAsia"/>
                <w:sz w:val="24"/>
                <w:szCs w:val="36"/>
                <w:highlight w:val="none"/>
              </w:rPr>
              <w:t>(    )</w:t>
            </w:r>
          </w:p>
        </w:tc>
        <w:tc>
          <w:tcPr>
            <w:tcW w:w="1418" w:type="dxa"/>
            <w:vAlign w:val="center"/>
          </w:tcPr>
          <w:p>
            <w:pPr>
              <w:jc w:val="center"/>
              <w:rPr>
                <w:sz w:val="24"/>
                <w:szCs w:val="36"/>
                <w:highlight w:val="none"/>
              </w:rPr>
            </w:pPr>
            <w:r>
              <w:rPr>
                <w:rFonts w:hint="eastAsia"/>
                <w:sz w:val="24"/>
                <w:szCs w:val="36"/>
                <w:highlight w:val="none"/>
              </w:rPr>
              <w:t>(</w:t>
            </w:r>
            <w:r>
              <w:rPr>
                <w:rFonts w:hint="eastAsia" w:ascii="宋体 ，Arial" w:eastAsia="宋体 ，Arial"/>
                <w:sz w:val="24"/>
                <w:highlight w:val="none"/>
              </w:rPr>
              <w:t xml:space="preserve">   </w:t>
            </w:r>
            <w:r>
              <w:rPr>
                <w:rFonts w:hint="eastAsia"/>
                <w:sz w:val="24"/>
                <w:szCs w:val="36"/>
                <w:highlight w:val="none"/>
              </w:rPr>
              <w:t xml:space="preserve"> )</w:t>
            </w: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rFonts w:ascii="宋体 ，Arial" w:eastAsia="宋体 ，Arial"/>
                <w:sz w:val="24"/>
                <w:highlight w:val="none"/>
              </w:rPr>
            </w:pPr>
            <w:r>
              <w:rPr>
                <w:rFonts w:hint="eastAsia" w:ascii="宋体 ，Arial" w:eastAsia="宋体 ，Arial"/>
                <w:sz w:val="24"/>
                <w:highlight w:val="none"/>
              </w:rPr>
              <w:t>（三）人工挖孔桩工程。</w:t>
            </w:r>
          </w:p>
        </w:tc>
        <w:tc>
          <w:tcPr>
            <w:tcW w:w="1275" w:type="dxa"/>
            <w:vAlign w:val="center"/>
          </w:tcPr>
          <w:p>
            <w:pPr>
              <w:jc w:val="center"/>
              <w:rPr>
                <w:sz w:val="24"/>
                <w:szCs w:val="36"/>
                <w:highlight w:val="none"/>
              </w:rPr>
            </w:pPr>
            <w:r>
              <w:rPr>
                <w:rFonts w:hint="eastAsia"/>
                <w:sz w:val="24"/>
                <w:szCs w:val="36"/>
                <w:highlight w:val="none"/>
              </w:rPr>
              <w:t>(    )</w:t>
            </w:r>
          </w:p>
        </w:tc>
        <w:tc>
          <w:tcPr>
            <w:tcW w:w="1418" w:type="dxa"/>
            <w:vAlign w:val="center"/>
          </w:tcPr>
          <w:p>
            <w:pPr>
              <w:jc w:val="center"/>
              <w:rPr>
                <w:sz w:val="24"/>
                <w:szCs w:val="36"/>
                <w:highlight w:val="none"/>
              </w:rPr>
            </w:pPr>
            <w:r>
              <w:rPr>
                <w:rFonts w:hint="eastAsia"/>
                <w:sz w:val="24"/>
                <w:szCs w:val="36"/>
                <w:highlight w:val="none"/>
              </w:rPr>
              <w:t>(    )</w:t>
            </w: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rFonts w:ascii="宋体 ，Arial" w:eastAsia="宋体 ，Arial"/>
                <w:sz w:val="24"/>
                <w:highlight w:val="none"/>
              </w:rPr>
            </w:pPr>
            <w:r>
              <w:rPr>
                <w:rFonts w:hint="eastAsia" w:ascii="宋体 ，Arial" w:eastAsia="宋体 ，Arial"/>
                <w:sz w:val="24"/>
                <w:highlight w:val="none"/>
              </w:rPr>
              <w:t>（四）水下作业工程。</w:t>
            </w:r>
          </w:p>
        </w:tc>
        <w:tc>
          <w:tcPr>
            <w:tcW w:w="1275" w:type="dxa"/>
            <w:vAlign w:val="center"/>
          </w:tcPr>
          <w:p>
            <w:pPr>
              <w:jc w:val="center"/>
              <w:rPr>
                <w:sz w:val="24"/>
                <w:szCs w:val="36"/>
                <w:highlight w:val="none"/>
              </w:rPr>
            </w:pPr>
            <w:r>
              <w:rPr>
                <w:rFonts w:hint="eastAsia"/>
                <w:sz w:val="24"/>
                <w:szCs w:val="36"/>
                <w:highlight w:val="none"/>
              </w:rPr>
              <w:t>(    )</w:t>
            </w:r>
          </w:p>
        </w:tc>
        <w:tc>
          <w:tcPr>
            <w:tcW w:w="1418" w:type="dxa"/>
            <w:vAlign w:val="center"/>
          </w:tcPr>
          <w:p>
            <w:pPr>
              <w:jc w:val="center"/>
              <w:rPr>
                <w:sz w:val="24"/>
                <w:szCs w:val="36"/>
                <w:highlight w:val="none"/>
              </w:rPr>
            </w:pPr>
            <w:r>
              <w:rPr>
                <w:rFonts w:hint="eastAsia"/>
                <w:sz w:val="24"/>
                <w:szCs w:val="36"/>
                <w:highlight w:val="none"/>
              </w:rPr>
              <w:t>(    )</w:t>
            </w: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rFonts w:ascii="宋体 ，Arial" w:eastAsia="宋体 ，Arial"/>
                <w:sz w:val="24"/>
                <w:highlight w:val="none"/>
              </w:rPr>
            </w:pPr>
            <w:r>
              <w:rPr>
                <w:rFonts w:hint="eastAsia" w:ascii="宋体 ，Arial" w:eastAsia="宋体 ，Arial"/>
                <w:sz w:val="24"/>
                <w:highlight w:val="none"/>
              </w:rPr>
              <w:t>（五）装配式建筑混凝土预制构件安装工程。</w:t>
            </w:r>
          </w:p>
        </w:tc>
        <w:tc>
          <w:tcPr>
            <w:tcW w:w="1275" w:type="dxa"/>
            <w:vAlign w:val="center"/>
          </w:tcPr>
          <w:p>
            <w:pPr>
              <w:jc w:val="center"/>
              <w:rPr>
                <w:sz w:val="24"/>
                <w:szCs w:val="36"/>
                <w:highlight w:val="none"/>
              </w:rPr>
            </w:pPr>
            <w:r>
              <w:rPr>
                <w:rFonts w:hint="eastAsia"/>
                <w:sz w:val="24"/>
                <w:szCs w:val="36"/>
                <w:highlight w:val="none"/>
              </w:rPr>
              <w:t>(    )</w:t>
            </w:r>
          </w:p>
        </w:tc>
        <w:tc>
          <w:tcPr>
            <w:tcW w:w="1418" w:type="dxa"/>
            <w:vAlign w:val="center"/>
          </w:tcPr>
          <w:p>
            <w:pPr>
              <w:jc w:val="center"/>
              <w:rPr>
                <w:sz w:val="24"/>
                <w:szCs w:val="36"/>
                <w:highlight w:val="none"/>
              </w:rPr>
            </w:pPr>
            <w:r>
              <w:rPr>
                <w:rFonts w:hint="eastAsia"/>
                <w:sz w:val="24"/>
                <w:szCs w:val="36"/>
                <w:highlight w:val="none"/>
              </w:rPr>
              <w:t>(    )</w:t>
            </w: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rFonts w:ascii="宋体 ，Arial" w:eastAsia="宋体 ，Arial"/>
                <w:sz w:val="24"/>
                <w:highlight w:val="none"/>
              </w:rPr>
            </w:pPr>
            <w:r>
              <w:rPr>
                <w:rFonts w:hint="eastAsia" w:ascii="宋体 ，Arial" w:eastAsia="宋体 ，Arial"/>
                <w:sz w:val="24"/>
                <w:highlight w:val="none"/>
              </w:rPr>
              <w:t>（六）采用新技术、新工艺、新材料、新设备可能影响工程施工安全，尚无国家、行业及地方技术标准的分部分项工程。</w:t>
            </w:r>
          </w:p>
        </w:tc>
        <w:tc>
          <w:tcPr>
            <w:tcW w:w="1275" w:type="dxa"/>
            <w:vAlign w:val="center"/>
          </w:tcPr>
          <w:p>
            <w:pPr>
              <w:jc w:val="center"/>
              <w:rPr>
                <w:sz w:val="24"/>
                <w:szCs w:val="36"/>
                <w:highlight w:val="none"/>
              </w:rPr>
            </w:pPr>
            <w:r>
              <w:rPr>
                <w:rFonts w:hint="eastAsia"/>
                <w:sz w:val="24"/>
                <w:szCs w:val="36"/>
                <w:highlight w:val="none"/>
              </w:rPr>
              <w:t>(    )</w:t>
            </w:r>
          </w:p>
        </w:tc>
        <w:tc>
          <w:tcPr>
            <w:tcW w:w="1418" w:type="dxa"/>
            <w:vAlign w:val="center"/>
          </w:tcPr>
          <w:p>
            <w:pPr>
              <w:jc w:val="center"/>
              <w:rPr>
                <w:sz w:val="24"/>
                <w:szCs w:val="36"/>
                <w:highlight w:val="none"/>
              </w:rPr>
            </w:pPr>
            <w:r>
              <w:rPr>
                <w:rFonts w:hint="eastAsia"/>
                <w:sz w:val="24"/>
                <w:szCs w:val="36"/>
                <w:highlight w:val="none"/>
              </w:rPr>
              <w:t>(    )</w:t>
            </w: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widowControl/>
              <w:spacing w:line="360" w:lineRule="atLeast"/>
              <w:jc w:val="center"/>
              <w:rPr>
                <w:rFonts w:eastAsia="宋体 ，Arial" w:cs="宋体"/>
                <w:b/>
                <w:sz w:val="24"/>
                <w:highlight w:val="none"/>
              </w:rPr>
            </w:pPr>
            <w:r>
              <w:rPr>
                <w:rFonts w:hint="eastAsia" w:ascii="宋体 ，Arial" w:eastAsia="宋体 ，Arial" w:cs="宋体"/>
                <w:b/>
                <w:bCs/>
                <w:sz w:val="24"/>
                <w:highlight w:val="none"/>
              </w:rPr>
              <w:t>二、超过一定规模的危险性较大的分部分项工程清单</w:t>
            </w:r>
          </w:p>
        </w:tc>
        <w:tc>
          <w:tcPr>
            <w:tcW w:w="1275" w:type="dxa"/>
            <w:vAlign w:val="center"/>
          </w:tcPr>
          <w:p>
            <w:pPr>
              <w:jc w:val="center"/>
              <w:rPr>
                <w:sz w:val="24"/>
                <w:szCs w:val="36"/>
                <w:highlight w:val="none"/>
              </w:rPr>
            </w:pPr>
            <w:r>
              <w:rPr>
                <w:rFonts w:hint="eastAsia" w:ascii="宋体"/>
                <w:sz w:val="24"/>
                <w:szCs w:val="36"/>
                <w:highlight w:val="none"/>
              </w:rPr>
              <w:t>招标人</w:t>
            </w:r>
          </w:p>
        </w:tc>
        <w:tc>
          <w:tcPr>
            <w:tcW w:w="1418" w:type="dxa"/>
            <w:vAlign w:val="center"/>
          </w:tcPr>
          <w:p>
            <w:pPr>
              <w:jc w:val="center"/>
              <w:rPr>
                <w:sz w:val="24"/>
                <w:szCs w:val="36"/>
                <w:highlight w:val="none"/>
              </w:rPr>
            </w:pPr>
            <w:r>
              <w:rPr>
                <w:rFonts w:hint="eastAsia" w:ascii="宋体"/>
                <w:sz w:val="24"/>
                <w:szCs w:val="36"/>
                <w:highlight w:val="none"/>
              </w:rPr>
              <w:t>投标人</w:t>
            </w: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rFonts w:ascii="宋体 ，Arial" w:eastAsia="宋体 ，Arial"/>
                <w:sz w:val="24"/>
                <w:highlight w:val="none"/>
              </w:rPr>
            </w:pPr>
            <w:r>
              <w:rPr>
                <w:rFonts w:hint="eastAsia" w:ascii="宋体 ，Arial" w:eastAsia="宋体 ，Arial"/>
                <w:sz w:val="24"/>
                <w:highlight w:val="none"/>
              </w:rPr>
              <w:t>一、深基坑工程</w:t>
            </w:r>
          </w:p>
        </w:tc>
        <w:tc>
          <w:tcPr>
            <w:tcW w:w="1275" w:type="dxa"/>
            <w:vAlign w:val="center"/>
          </w:tcPr>
          <w:p>
            <w:pPr>
              <w:jc w:val="center"/>
              <w:rPr>
                <w:sz w:val="24"/>
                <w:szCs w:val="36"/>
                <w:highlight w:val="none"/>
              </w:rPr>
            </w:pPr>
          </w:p>
        </w:tc>
        <w:tc>
          <w:tcPr>
            <w:tcW w:w="1418" w:type="dxa"/>
            <w:vAlign w:val="center"/>
          </w:tcPr>
          <w:p>
            <w:pPr>
              <w:jc w:val="center"/>
              <w:rPr>
                <w:sz w:val="24"/>
                <w:szCs w:val="36"/>
                <w:highlight w:val="none"/>
              </w:rPr>
            </w:pP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rFonts w:ascii="宋体 ，Arial" w:eastAsia="宋体 ，Arial"/>
                <w:sz w:val="24"/>
                <w:highlight w:val="none"/>
              </w:rPr>
            </w:pPr>
            <w:r>
              <w:rPr>
                <w:rFonts w:hint="eastAsia" w:ascii="宋体 ，Arial" w:eastAsia="宋体 ，Arial"/>
                <w:sz w:val="24"/>
                <w:highlight w:val="none"/>
              </w:rPr>
              <w:t>开挖深度超过5m（含5m）的基坑（槽）的土方开挖、支护、降水工程。</w:t>
            </w:r>
          </w:p>
        </w:tc>
        <w:tc>
          <w:tcPr>
            <w:tcW w:w="1275" w:type="dxa"/>
            <w:vAlign w:val="center"/>
          </w:tcPr>
          <w:p>
            <w:pPr>
              <w:jc w:val="center"/>
              <w:rPr>
                <w:sz w:val="24"/>
                <w:szCs w:val="36"/>
                <w:highlight w:val="none"/>
              </w:rPr>
            </w:pPr>
            <w:r>
              <w:rPr>
                <w:rFonts w:hint="eastAsia"/>
                <w:sz w:val="24"/>
                <w:szCs w:val="36"/>
                <w:highlight w:val="none"/>
              </w:rPr>
              <w:t xml:space="preserve">(  </w:t>
            </w:r>
            <w:r>
              <w:rPr>
                <w:rFonts w:hint="default" w:ascii="Arial" w:hAnsi="Arial" w:cs="Arial"/>
                <w:sz w:val="24"/>
                <w:szCs w:val="36"/>
                <w:highlight w:val="none"/>
              </w:rPr>
              <w:t>√</w:t>
            </w:r>
            <w:r>
              <w:rPr>
                <w:rFonts w:hint="eastAsia"/>
                <w:sz w:val="24"/>
                <w:szCs w:val="36"/>
                <w:highlight w:val="none"/>
              </w:rPr>
              <w:t xml:space="preserve">  )</w:t>
            </w:r>
          </w:p>
        </w:tc>
        <w:tc>
          <w:tcPr>
            <w:tcW w:w="1418" w:type="dxa"/>
            <w:vAlign w:val="center"/>
          </w:tcPr>
          <w:p>
            <w:pPr>
              <w:jc w:val="center"/>
              <w:rPr>
                <w:sz w:val="24"/>
                <w:szCs w:val="36"/>
                <w:highlight w:val="none"/>
              </w:rPr>
            </w:pPr>
            <w:r>
              <w:rPr>
                <w:rFonts w:hint="eastAsia"/>
                <w:sz w:val="24"/>
                <w:szCs w:val="36"/>
                <w:highlight w:val="none"/>
              </w:rPr>
              <w:t>(    )</w:t>
            </w: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rFonts w:ascii="宋体 ，Arial" w:eastAsia="宋体 ，Arial"/>
                <w:sz w:val="24"/>
                <w:highlight w:val="none"/>
              </w:rPr>
            </w:pPr>
            <w:r>
              <w:rPr>
                <w:rFonts w:hint="eastAsia" w:ascii="宋体 ，Arial" w:eastAsia="宋体 ，Arial"/>
                <w:sz w:val="24"/>
                <w:highlight w:val="none"/>
              </w:rPr>
              <w:t>二、模板工程及支撑体系</w:t>
            </w:r>
          </w:p>
        </w:tc>
        <w:tc>
          <w:tcPr>
            <w:tcW w:w="1275" w:type="dxa"/>
            <w:vAlign w:val="center"/>
          </w:tcPr>
          <w:p>
            <w:pPr>
              <w:jc w:val="center"/>
              <w:rPr>
                <w:sz w:val="24"/>
                <w:szCs w:val="36"/>
                <w:highlight w:val="none"/>
              </w:rPr>
            </w:pPr>
          </w:p>
        </w:tc>
        <w:tc>
          <w:tcPr>
            <w:tcW w:w="1418" w:type="dxa"/>
            <w:vAlign w:val="center"/>
          </w:tcPr>
          <w:p>
            <w:pPr>
              <w:jc w:val="center"/>
              <w:rPr>
                <w:sz w:val="24"/>
                <w:szCs w:val="36"/>
                <w:highlight w:val="none"/>
              </w:rPr>
            </w:pP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rFonts w:ascii="宋体 ，Arial" w:eastAsia="宋体 ，Arial"/>
                <w:sz w:val="24"/>
                <w:highlight w:val="none"/>
              </w:rPr>
            </w:pPr>
            <w:r>
              <w:rPr>
                <w:rFonts w:hint="eastAsia" w:ascii="宋体 ，Arial" w:eastAsia="宋体 ，Arial"/>
                <w:sz w:val="24"/>
                <w:highlight w:val="none"/>
              </w:rPr>
              <w:t>（一）各类工具式模板工程：包括滑模、爬模、飞模、隧道模等工程。</w:t>
            </w:r>
          </w:p>
        </w:tc>
        <w:tc>
          <w:tcPr>
            <w:tcW w:w="1275" w:type="dxa"/>
            <w:vAlign w:val="center"/>
          </w:tcPr>
          <w:p>
            <w:pPr>
              <w:jc w:val="center"/>
              <w:rPr>
                <w:sz w:val="24"/>
                <w:szCs w:val="36"/>
                <w:highlight w:val="none"/>
              </w:rPr>
            </w:pPr>
            <w:r>
              <w:rPr>
                <w:rFonts w:hint="eastAsia"/>
                <w:sz w:val="24"/>
                <w:szCs w:val="36"/>
                <w:highlight w:val="none"/>
              </w:rPr>
              <w:t>(    )</w:t>
            </w:r>
          </w:p>
        </w:tc>
        <w:tc>
          <w:tcPr>
            <w:tcW w:w="1418" w:type="dxa"/>
            <w:vAlign w:val="center"/>
          </w:tcPr>
          <w:p>
            <w:pPr>
              <w:jc w:val="center"/>
              <w:rPr>
                <w:sz w:val="24"/>
                <w:szCs w:val="36"/>
                <w:highlight w:val="none"/>
              </w:rPr>
            </w:pPr>
            <w:r>
              <w:rPr>
                <w:rFonts w:hint="eastAsia"/>
                <w:sz w:val="24"/>
                <w:szCs w:val="36"/>
                <w:highlight w:val="none"/>
              </w:rPr>
              <w:t>(    )</w:t>
            </w: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rFonts w:ascii="宋体 ，Arial" w:eastAsia="宋体 ，Arial"/>
                <w:sz w:val="24"/>
                <w:highlight w:val="none"/>
              </w:rPr>
            </w:pPr>
            <w:r>
              <w:rPr>
                <w:rFonts w:hint="eastAsia" w:ascii="宋体 ，Arial" w:eastAsia="宋体 ，Arial"/>
                <w:sz w:val="24"/>
                <w:highlight w:val="none"/>
              </w:rPr>
              <w:t>（二）混凝土模板支撑工程：搭设高度8m及以上，或搭设跨度18m及以上，或施工总荷载（设计值）15kN/m2及以上，或集中线荷载（设计值）20kN/m及以上。</w:t>
            </w:r>
          </w:p>
        </w:tc>
        <w:tc>
          <w:tcPr>
            <w:tcW w:w="1275" w:type="dxa"/>
            <w:vAlign w:val="center"/>
          </w:tcPr>
          <w:p>
            <w:pPr>
              <w:jc w:val="center"/>
              <w:rPr>
                <w:sz w:val="24"/>
                <w:szCs w:val="36"/>
                <w:highlight w:val="none"/>
              </w:rPr>
            </w:pPr>
            <w:r>
              <w:rPr>
                <w:rFonts w:hint="eastAsia"/>
                <w:sz w:val="24"/>
                <w:szCs w:val="36"/>
                <w:highlight w:val="none"/>
              </w:rPr>
              <w:t xml:space="preserve">(   </w:t>
            </w:r>
            <w:r>
              <w:rPr>
                <w:rFonts w:hint="default" w:ascii="Arial" w:hAnsi="Arial" w:cs="Arial"/>
                <w:sz w:val="24"/>
                <w:szCs w:val="36"/>
                <w:highlight w:val="none"/>
              </w:rPr>
              <w:t>√</w:t>
            </w:r>
            <w:r>
              <w:rPr>
                <w:rFonts w:hint="eastAsia"/>
                <w:sz w:val="24"/>
                <w:szCs w:val="36"/>
                <w:highlight w:val="none"/>
              </w:rPr>
              <w:t xml:space="preserve">   )</w:t>
            </w:r>
          </w:p>
        </w:tc>
        <w:tc>
          <w:tcPr>
            <w:tcW w:w="1418" w:type="dxa"/>
            <w:vAlign w:val="center"/>
          </w:tcPr>
          <w:p>
            <w:pPr>
              <w:jc w:val="center"/>
              <w:rPr>
                <w:sz w:val="24"/>
                <w:szCs w:val="36"/>
                <w:highlight w:val="none"/>
              </w:rPr>
            </w:pPr>
            <w:r>
              <w:rPr>
                <w:rFonts w:hint="eastAsia"/>
                <w:sz w:val="24"/>
                <w:szCs w:val="36"/>
                <w:highlight w:val="none"/>
              </w:rPr>
              <w:t>(    )</w:t>
            </w: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rFonts w:ascii="宋体 ，Arial" w:eastAsia="宋体 ，Arial"/>
                <w:sz w:val="24"/>
                <w:highlight w:val="none"/>
              </w:rPr>
            </w:pPr>
            <w:r>
              <w:rPr>
                <w:rFonts w:hint="eastAsia" w:ascii="宋体 ，Arial" w:eastAsia="宋体 ，Arial"/>
                <w:sz w:val="24"/>
                <w:highlight w:val="none"/>
              </w:rPr>
              <w:t>（三）承重支撑体系：用于钢结构安装等满堂支撑体系，承受单点集中荷载7kN及以上。</w:t>
            </w:r>
          </w:p>
        </w:tc>
        <w:tc>
          <w:tcPr>
            <w:tcW w:w="1275" w:type="dxa"/>
            <w:vAlign w:val="center"/>
          </w:tcPr>
          <w:p>
            <w:pPr>
              <w:jc w:val="center"/>
              <w:rPr>
                <w:sz w:val="24"/>
                <w:szCs w:val="36"/>
                <w:highlight w:val="none"/>
              </w:rPr>
            </w:pPr>
            <w:r>
              <w:rPr>
                <w:rFonts w:hint="eastAsia"/>
                <w:sz w:val="24"/>
                <w:szCs w:val="36"/>
                <w:highlight w:val="none"/>
              </w:rPr>
              <w:t>(     )</w:t>
            </w:r>
          </w:p>
        </w:tc>
        <w:tc>
          <w:tcPr>
            <w:tcW w:w="1418" w:type="dxa"/>
            <w:vAlign w:val="center"/>
          </w:tcPr>
          <w:p>
            <w:pPr>
              <w:jc w:val="center"/>
              <w:rPr>
                <w:sz w:val="24"/>
                <w:szCs w:val="36"/>
                <w:highlight w:val="none"/>
              </w:rPr>
            </w:pPr>
            <w:r>
              <w:rPr>
                <w:rFonts w:hint="eastAsia"/>
                <w:sz w:val="24"/>
                <w:szCs w:val="36"/>
                <w:highlight w:val="none"/>
              </w:rPr>
              <w:t>(    )</w:t>
            </w: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rFonts w:ascii="宋体 ，Arial" w:eastAsia="宋体 ，Arial"/>
                <w:sz w:val="24"/>
                <w:highlight w:val="none"/>
              </w:rPr>
            </w:pPr>
            <w:r>
              <w:rPr>
                <w:rFonts w:hint="eastAsia" w:ascii="宋体 ，Arial" w:eastAsia="宋体 ，Arial"/>
                <w:sz w:val="24"/>
                <w:highlight w:val="none"/>
              </w:rPr>
              <w:t>　三、起重吊装及起重机械安装拆卸工程</w:t>
            </w:r>
          </w:p>
        </w:tc>
        <w:tc>
          <w:tcPr>
            <w:tcW w:w="1275" w:type="dxa"/>
            <w:vAlign w:val="center"/>
          </w:tcPr>
          <w:p>
            <w:pPr>
              <w:jc w:val="center"/>
              <w:rPr>
                <w:sz w:val="24"/>
                <w:szCs w:val="36"/>
                <w:highlight w:val="none"/>
              </w:rPr>
            </w:pPr>
          </w:p>
        </w:tc>
        <w:tc>
          <w:tcPr>
            <w:tcW w:w="1418" w:type="dxa"/>
            <w:vAlign w:val="center"/>
          </w:tcPr>
          <w:p>
            <w:pPr>
              <w:jc w:val="center"/>
              <w:rPr>
                <w:sz w:val="24"/>
                <w:szCs w:val="36"/>
                <w:highlight w:val="none"/>
              </w:rPr>
            </w:pP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rFonts w:ascii="宋体 ，Arial" w:eastAsia="宋体 ，Arial"/>
                <w:sz w:val="24"/>
                <w:highlight w:val="none"/>
              </w:rPr>
            </w:pPr>
            <w:r>
              <w:rPr>
                <w:rFonts w:hint="eastAsia" w:ascii="宋体 ，Arial" w:eastAsia="宋体 ，Arial"/>
                <w:sz w:val="24"/>
                <w:highlight w:val="none"/>
              </w:rPr>
              <w:t>（一）采用非常规起重设备、方法，且单件起吊重量在100kN及以上的起重吊装工程。</w:t>
            </w:r>
          </w:p>
        </w:tc>
        <w:tc>
          <w:tcPr>
            <w:tcW w:w="1275" w:type="dxa"/>
            <w:vAlign w:val="center"/>
          </w:tcPr>
          <w:p>
            <w:pPr>
              <w:jc w:val="center"/>
              <w:rPr>
                <w:sz w:val="24"/>
                <w:szCs w:val="36"/>
                <w:highlight w:val="none"/>
              </w:rPr>
            </w:pPr>
            <w:r>
              <w:rPr>
                <w:rFonts w:hint="eastAsia"/>
                <w:sz w:val="24"/>
                <w:szCs w:val="36"/>
                <w:highlight w:val="none"/>
              </w:rPr>
              <w:t>(    )</w:t>
            </w:r>
          </w:p>
        </w:tc>
        <w:tc>
          <w:tcPr>
            <w:tcW w:w="1418" w:type="dxa"/>
            <w:vAlign w:val="center"/>
          </w:tcPr>
          <w:p>
            <w:pPr>
              <w:jc w:val="center"/>
              <w:rPr>
                <w:sz w:val="24"/>
                <w:szCs w:val="36"/>
                <w:highlight w:val="none"/>
              </w:rPr>
            </w:pPr>
            <w:r>
              <w:rPr>
                <w:rFonts w:hint="eastAsia"/>
                <w:sz w:val="24"/>
                <w:szCs w:val="36"/>
                <w:highlight w:val="none"/>
              </w:rPr>
              <w:t>(    )</w:t>
            </w: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rFonts w:ascii="宋体 ，Arial" w:eastAsia="宋体 ，Arial"/>
                <w:sz w:val="24"/>
                <w:highlight w:val="none"/>
              </w:rPr>
            </w:pPr>
            <w:r>
              <w:rPr>
                <w:rFonts w:hint="eastAsia" w:ascii="宋体 ，Arial" w:eastAsia="宋体 ，Arial"/>
                <w:sz w:val="24"/>
                <w:highlight w:val="none"/>
              </w:rPr>
              <w:t>（二）起重量300kN及以上，或搭设总高度200m及以上，或搭设基础标高在200m及以上的起重机械安装和拆卸工程。</w:t>
            </w:r>
          </w:p>
        </w:tc>
        <w:tc>
          <w:tcPr>
            <w:tcW w:w="1275" w:type="dxa"/>
            <w:vAlign w:val="center"/>
          </w:tcPr>
          <w:p>
            <w:pPr>
              <w:jc w:val="center"/>
              <w:rPr>
                <w:sz w:val="24"/>
                <w:szCs w:val="36"/>
                <w:highlight w:val="none"/>
              </w:rPr>
            </w:pPr>
            <w:r>
              <w:rPr>
                <w:rFonts w:hint="eastAsia"/>
                <w:sz w:val="24"/>
                <w:szCs w:val="36"/>
                <w:highlight w:val="none"/>
              </w:rPr>
              <w:t>(    )</w:t>
            </w:r>
          </w:p>
        </w:tc>
        <w:tc>
          <w:tcPr>
            <w:tcW w:w="1418" w:type="dxa"/>
            <w:vAlign w:val="center"/>
          </w:tcPr>
          <w:p>
            <w:pPr>
              <w:jc w:val="center"/>
              <w:rPr>
                <w:sz w:val="24"/>
                <w:szCs w:val="36"/>
                <w:highlight w:val="none"/>
              </w:rPr>
            </w:pPr>
            <w:r>
              <w:rPr>
                <w:rFonts w:hint="eastAsia"/>
                <w:sz w:val="24"/>
                <w:szCs w:val="36"/>
                <w:highlight w:val="none"/>
              </w:rPr>
              <w:t>(    )</w:t>
            </w: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rFonts w:ascii="宋体 ，Arial" w:eastAsia="宋体 ，Arial"/>
                <w:sz w:val="24"/>
                <w:highlight w:val="none"/>
              </w:rPr>
            </w:pPr>
            <w:r>
              <w:rPr>
                <w:rFonts w:hint="eastAsia" w:ascii="宋体 ，Arial" w:eastAsia="宋体 ，Arial"/>
                <w:sz w:val="24"/>
                <w:highlight w:val="none"/>
              </w:rPr>
              <w:t>四、脚手架工程</w:t>
            </w:r>
          </w:p>
        </w:tc>
        <w:tc>
          <w:tcPr>
            <w:tcW w:w="1275" w:type="dxa"/>
            <w:vAlign w:val="center"/>
          </w:tcPr>
          <w:p>
            <w:pPr>
              <w:jc w:val="center"/>
              <w:rPr>
                <w:sz w:val="24"/>
                <w:szCs w:val="36"/>
                <w:highlight w:val="none"/>
              </w:rPr>
            </w:pPr>
          </w:p>
        </w:tc>
        <w:tc>
          <w:tcPr>
            <w:tcW w:w="1418" w:type="dxa"/>
            <w:vAlign w:val="center"/>
          </w:tcPr>
          <w:p>
            <w:pPr>
              <w:jc w:val="center"/>
              <w:rPr>
                <w:sz w:val="24"/>
                <w:szCs w:val="36"/>
                <w:highlight w:val="none"/>
              </w:rPr>
            </w:pP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rFonts w:ascii="宋体 ，Arial" w:eastAsia="宋体 ，Arial"/>
                <w:sz w:val="24"/>
                <w:highlight w:val="none"/>
              </w:rPr>
            </w:pPr>
            <w:r>
              <w:rPr>
                <w:rFonts w:hint="eastAsia" w:ascii="宋体 ，Arial" w:eastAsia="宋体 ，Arial"/>
                <w:sz w:val="24"/>
                <w:highlight w:val="none"/>
              </w:rPr>
              <w:t>（一）搭设高度50m及以上的落地式钢管脚手架工程。</w:t>
            </w:r>
          </w:p>
        </w:tc>
        <w:tc>
          <w:tcPr>
            <w:tcW w:w="1275" w:type="dxa"/>
            <w:vAlign w:val="center"/>
          </w:tcPr>
          <w:p>
            <w:pPr>
              <w:jc w:val="center"/>
              <w:rPr>
                <w:sz w:val="24"/>
                <w:szCs w:val="36"/>
                <w:highlight w:val="none"/>
              </w:rPr>
            </w:pPr>
            <w:r>
              <w:rPr>
                <w:rFonts w:hint="eastAsia"/>
                <w:sz w:val="24"/>
                <w:szCs w:val="36"/>
                <w:highlight w:val="none"/>
              </w:rPr>
              <w:t xml:space="preserve">(   </w:t>
            </w:r>
            <w:r>
              <w:rPr>
                <w:rFonts w:hint="default" w:ascii="Arial" w:hAnsi="Arial" w:cs="Arial"/>
                <w:sz w:val="24"/>
                <w:szCs w:val="36"/>
                <w:highlight w:val="none"/>
              </w:rPr>
              <w:t>√</w:t>
            </w:r>
            <w:r>
              <w:rPr>
                <w:rFonts w:hint="eastAsia"/>
                <w:sz w:val="24"/>
                <w:szCs w:val="36"/>
                <w:highlight w:val="none"/>
              </w:rPr>
              <w:t xml:space="preserve">   )</w:t>
            </w:r>
          </w:p>
        </w:tc>
        <w:tc>
          <w:tcPr>
            <w:tcW w:w="1418" w:type="dxa"/>
            <w:vAlign w:val="center"/>
          </w:tcPr>
          <w:p>
            <w:pPr>
              <w:jc w:val="center"/>
              <w:rPr>
                <w:sz w:val="24"/>
                <w:szCs w:val="36"/>
                <w:highlight w:val="none"/>
              </w:rPr>
            </w:pPr>
            <w:r>
              <w:rPr>
                <w:rFonts w:hint="eastAsia"/>
                <w:sz w:val="24"/>
                <w:szCs w:val="36"/>
                <w:highlight w:val="none"/>
              </w:rPr>
              <w:t xml:space="preserve">(  </w:t>
            </w:r>
            <w:r>
              <w:rPr>
                <w:rFonts w:hint="eastAsia" w:ascii="宋体 ，Arial" w:eastAsia="宋体 ，Arial"/>
                <w:sz w:val="24"/>
                <w:highlight w:val="none"/>
              </w:rPr>
              <w:t xml:space="preserve"> </w:t>
            </w:r>
            <w:r>
              <w:rPr>
                <w:rFonts w:hint="eastAsia"/>
                <w:sz w:val="24"/>
                <w:szCs w:val="36"/>
                <w:highlight w:val="none"/>
              </w:rPr>
              <w:t xml:space="preserve"> )</w:t>
            </w: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rFonts w:ascii="宋体 ，Arial" w:eastAsia="宋体 ，Arial"/>
                <w:sz w:val="24"/>
                <w:highlight w:val="none"/>
              </w:rPr>
            </w:pPr>
            <w:r>
              <w:rPr>
                <w:rFonts w:hint="eastAsia" w:ascii="宋体 ，Arial" w:eastAsia="宋体 ，Arial"/>
                <w:sz w:val="24"/>
                <w:highlight w:val="none"/>
              </w:rPr>
              <w:t>（二）提升高度在150m及以上的附着式升降脚手架工程或附着式升降操作平台工程。</w:t>
            </w:r>
          </w:p>
        </w:tc>
        <w:tc>
          <w:tcPr>
            <w:tcW w:w="1275" w:type="dxa"/>
            <w:vAlign w:val="center"/>
          </w:tcPr>
          <w:p>
            <w:pPr>
              <w:jc w:val="center"/>
              <w:rPr>
                <w:sz w:val="24"/>
                <w:szCs w:val="36"/>
                <w:highlight w:val="none"/>
              </w:rPr>
            </w:pPr>
            <w:r>
              <w:rPr>
                <w:rFonts w:hint="eastAsia"/>
                <w:sz w:val="24"/>
                <w:szCs w:val="36"/>
                <w:highlight w:val="none"/>
              </w:rPr>
              <w:t>(    )</w:t>
            </w:r>
          </w:p>
        </w:tc>
        <w:tc>
          <w:tcPr>
            <w:tcW w:w="1418" w:type="dxa"/>
            <w:vAlign w:val="center"/>
          </w:tcPr>
          <w:p>
            <w:pPr>
              <w:jc w:val="center"/>
              <w:rPr>
                <w:sz w:val="24"/>
                <w:szCs w:val="36"/>
                <w:highlight w:val="none"/>
              </w:rPr>
            </w:pPr>
            <w:r>
              <w:rPr>
                <w:rFonts w:hint="eastAsia"/>
                <w:sz w:val="24"/>
                <w:szCs w:val="36"/>
                <w:highlight w:val="none"/>
              </w:rPr>
              <w:t>(    )</w:t>
            </w: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rFonts w:ascii="宋体 ，Arial" w:eastAsia="宋体 ，Arial"/>
                <w:sz w:val="24"/>
                <w:highlight w:val="none"/>
              </w:rPr>
            </w:pPr>
            <w:r>
              <w:rPr>
                <w:rFonts w:hint="eastAsia" w:ascii="宋体 ，Arial" w:eastAsia="宋体 ，Arial"/>
                <w:sz w:val="24"/>
                <w:highlight w:val="none"/>
              </w:rPr>
              <w:t>（三）分段架体搭设高度20m及以上的悬挑式脚手架工程。</w:t>
            </w:r>
          </w:p>
        </w:tc>
        <w:tc>
          <w:tcPr>
            <w:tcW w:w="1275" w:type="dxa"/>
            <w:vAlign w:val="center"/>
          </w:tcPr>
          <w:p>
            <w:pPr>
              <w:jc w:val="center"/>
              <w:rPr>
                <w:sz w:val="24"/>
                <w:szCs w:val="36"/>
                <w:highlight w:val="none"/>
              </w:rPr>
            </w:pPr>
            <w:r>
              <w:rPr>
                <w:rFonts w:hint="eastAsia"/>
                <w:sz w:val="24"/>
                <w:szCs w:val="36"/>
                <w:highlight w:val="none"/>
              </w:rPr>
              <w:t xml:space="preserve">(  </w:t>
            </w:r>
            <w:r>
              <w:rPr>
                <w:rFonts w:hint="default" w:ascii="Arial" w:hAnsi="Arial" w:cs="Arial"/>
                <w:sz w:val="24"/>
                <w:szCs w:val="36"/>
                <w:highlight w:val="none"/>
              </w:rPr>
              <w:t>√</w:t>
            </w:r>
            <w:r>
              <w:rPr>
                <w:rFonts w:hint="eastAsia"/>
                <w:sz w:val="24"/>
                <w:szCs w:val="36"/>
                <w:highlight w:val="none"/>
              </w:rPr>
              <w:t xml:space="preserve">  )</w:t>
            </w:r>
          </w:p>
        </w:tc>
        <w:tc>
          <w:tcPr>
            <w:tcW w:w="1418" w:type="dxa"/>
            <w:vAlign w:val="center"/>
          </w:tcPr>
          <w:p>
            <w:pPr>
              <w:jc w:val="center"/>
              <w:rPr>
                <w:sz w:val="24"/>
                <w:szCs w:val="36"/>
                <w:highlight w:val="none"/>
              </w:rPr>
            </w:pPr>
            <w:r>
              <w:rPr>
                <w:rFonts w:hint="eastAsia"/>
                <w:sz w:val="24"/>
                <w:szCs w:val="36"/>
                <w:highlight w:val="none"/>
              </w:rPr>
              <w:t xml:space="preserve">(  </w:t>
            </w:r>
            <w:r>
              <w:rPr>
                <w:rFonts w:hint="eastAsia" w:ascii="宋体 ，Arial" w:eastAsia="宋体 ，Arial"/>
                <w:sz w:val="24"/>
                <w:highlight w:val="none"/>
              </w:rPr>
              <w:t xml:space="preserve"> </w:t>
            </w:r>
            <w:r>
              <w:rPr>
                <w:rFonts w:hint="eastAsia"/>
                <w:sz w:val="24"/>
                <w:szCs w:val="36"/>
                <w:highlight w:val="none"/>
              </w:rPr>
              <w:t xml:space="preserve"> )</w:t>
            </w: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rFonts w:ascii="宋体 ，Arial" w:eastAsia="宋体 ，Arial"/>
                <w:sz w:val="24"/>
                <w:highlight w:val="none"/>
              </w:rPr>
            </w:pPr>
            <w:r>
              <w:rPr>
                <w:rFonts w:hint="eastAsia" w:ascii="宋体 ，Arial" w:eastAsia="宋体 ，Arial"/>
                <w:sz w:val="24"/>
                <w:highlight w:val="none"/>
              </w:rPr>
              <w:t>五、拆除工程</w:t>
            </w:r>
          </w:p>
        </w:tc>
        <w:tc>
          <w:tcPr>
            <w:tcW w:w="1275" w:type="dxa"/>
            <w:vAlign w:val="center"/>
          </w:tcPr>
          <w:p>
            <w:pPr>
              <w:jc w:val="center"/>
              <w:rPr>
                <w:sz w:val="24"/>
                <w:szCs w:val="36"/>
                <w:highlight w:val="none"/>
              </w:rPr>
            </w:pPr>
          </w:p>
        </w:tc>
        <w:tc>
          <w:tcPr>
            <w:tcW w:w="1418" w:type="dxa"/>
            <w:vAlign w:val="center"/>
          </w:tcPr>
          <w:p>
            <w:pPr>
              <w:jc w:val="center"/>
              <w:rPr>
                <w:sz w:val="24"/>
                <w:szCs w:val="36"/>
                <w:highlight w:val="none"/>
              </w:rPr>
            </w:pP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rFonts w:ascii="宋体 ，Arial" w:eastAsia="宋体 ，Arial"/>
                <w:sz w:val="24"/>
                <w:highlight w:val="none"/>
              </w:rPr>
            </w:pPr>
            <w:r>
              <w:rPr>
                <w:rFonts w:hint="eastAsia" w:ascii="宋体 ，Arial" w:eastAsia="宋体 ，Arial"/>
                <w:sz w:val="24"/>
                <w:highlight w:val="none"/>
              </w:rPr>
              <w:t>（一）码头、桥梁、高架、烟囱、水塔或拆除中容易引起有毒有害气（液）体或粉尘扩散、易燃易爆事故发生的特殊建、构筑物的拆除工程。</w:t>
            </w:r>
          </w:p>
        </w:tc>
        <w:tc>
          <w:tcPr>
            <w:tcW w:w="1275" w:type="dxa"/>
            <w:vAlign w:val="center"/>
          </w:tcPr>
          <w:p>
            <w:pPr>
              <w:jc w:val="center"/>
              <w:rPr>
                <w:sz w:val="24"/>
                <w:szCs w:val="36"/>
                <w:highlight w:val="none"/>
              </w:rPr>
            </w:pPr>
            <w:r>
              <w:rPr>
                <w:rFonts w:hint="eastAsia"/>
                <w:sz w:val="24"/>
                <w:szCs w:val="36"/>
                <w:highlight w:val="none"/>
              </w:rPr>
              <w:t>(    )</w:t>
            </w:r>
          </w:p>
        </w:tc>
        <w:tc>
          <w:tcPr>
            <w:tcW w:w="1418" w:type="dxa"/>
            <w:vAlign w:val="center"/>
          </w:tcPr>
          <w:p>
            <w:pPr>
              <w:jc w:val="center"/>
              <w:rPr>
                <w:sz w:val="24"/>
                <w:szCs w:val="36"/>
                <w:highlight w:val="none"/>
              </w:rPr>
            </w:pPr>
            <w:r>
              <w:rPr>
                <w:rFonts w:hint="eastAsia"/>
                <w:sz w:val="24"/>
                <w:szCs w:val="36"/>
                <w:highlight w:val="none"/>
              </w:rPr>
              <w:t>(    )</w:t>
            </w: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rFonts w:ascii="宋体 ，Arial" w:eastAsia="宋体 ，Arial"/>
                <w:sz w:val="24"/>
                <w:highlight w:val="none"/>
              </w:rPr>
            </w:pPr>
            <w:r>
              <w:rPr>
                <w:rFonts w:hint="eastAsia" w:ascii="宋体 ，Arial" w:eastAsia="宋体 ，Arial"/>
                <w:sz w:val="24"/>
                <w:highlight w:val="none"/>
              </w:rPr>
              <w:t>（二）文物保护建筑、优秀历史建筑或历史文化风貌区影响范围内的拆除工程。</w:t>
            </w:r>
          </w:p>
        </w:tc>
        <w:tc>
          <w:tcPr>
            <w:tcW w:w="1275" w:type="dxa"/>
            <w:vAlign w:val="center"/>
          </w:tcPr>
          <w:p>
            <w:pPr>
              <w:jc w:val="center"/>
              <w:rPr>
                <w:sz w:val="24"/>
                <w:szCs w:val="36"/>
                <w:highlight w:val="none"/>
              </w:rPr>
            </w:pPr>
            <w:r>
              <w:rPr>
                <w:rFonts w:hint="eastAsia"/>
                <w:sz w:val="24"/>
                <w:szCs w:val="36"/>
                <w:highlight w:val="none"/>
              </w:rPr>
              <w:t>(    )</w:t>
            </w:r>
          </w:p>
        </w:tc>
        <w:tc>
          <w:tcPr>
            <w:tcW w:w="1418" w:type="dxa"/>
            <w:vAlign w:val="center"/>
          </w:tcPr>
          <w:p>
            <w:pPr>
              <w:jc w:val="center"/>
              <w:rPr>
                <w:sz w:val="24"/>
                <w:szCs w:val="36"/>
                <w:highlight w:val="none"/>
              </w:rPr>
            </w:pPr>
            <w:r>
              <w:rPr>
                <w:rFonts w:hint="eastAsia"/>
                <w:sz w:val="24"/>
                <w:szCs w:val="36"/>
                <w:highlight w:val="none"/>
              </w:rPr>
              <w:t>(    )</w:t>
            </w: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rFonts w:ascii="宋体 ，Arial" w:eastAsia="宋体 ，Arial"/>
                <w:sz w:val="24"/>
                <w:highlight w:val="none"/>
              </w:rPr>
            </w:pPr>
            <w:r>
              <w:rPr>
                <w:rFonts w:hint="eastAsia" w:ascii="宋体 ，Arial" w:eastAsia="宋体 ，Arial"/>
                <w:sz w:val="24"/>
                <w:highlight w:val="none"/>
              </w:rPr>
              <w:t>六、暗挖工程</w:t>
            </w:r>
          </w:p>
        </w:tc>
        <w:tc>
          <w:tcPr>
            <w:tcW w:w="1275" w:type="dxa"/>
            <w:vAlign w:val="center"/>
          </w:tcPr>
          <w:p>
            <w:pPr>
              <w:jc w:val="center"/>
              <w:rPr>
                <w:sz w:val="24"/>
                <w:szCs w:val="36"/>
                <w:highlight w:val="none"/>
              </w:rPr>
            </w:pPr>
          </w:p>
        </w:tc>
        <w:tc>
          <w:tcPr>
            <w:tcW w:w="1418" w:type="dxa"/>
            <w:vAlign w:val="center"/>
          </w:tcPr>
          <w:p>
            <w:pPr>
              <w:jc w:val="center"/>
              <w:rPr>
                <w:sz w:val="24"/>
                <w:szCs w:val="36"/>
                <w:highlight w:val="none"/>
              </w:rPr>
            </w:pP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rFonts w:ascii="宋体 ，Arial" w:eastAsia="宋体 ，Arial"/>
                <w:sz w:val="24"/>
                <w:highlight w:val="none"/>
              </w:rPr>
            </w:pPr>
            <w:r>
              <w:rPr>
                <w:rFonts w:hint="eastAsia" w:ascii="宋体 ，Arial" w:eastAsia="宋体 ，Arial"/>
                <w:sz w:val="24"/>
                <w:highlight w:val="none"/>
              </w:rPr>
              <w:t>采用矿山法、盾构法、顶管法施工的隧道、洞室工程。</w:t>
            </w:r>
          </w:p>
        </w:tc>
        <w:tc>
          <w:tcPr>
            <w:tcW w:w="1275" w:type="dxa"/>
            <w:vAlign w:val="center"/>
          </w:tcPr>
          <w:p>
            <w:pPr>
              <w:jc w:val="center"/>
              <w:rPr>
                <w:sz w:val="24"/>
                <w:szCs w:val="36"/>
                <w:highlight w:val="none"/>
              </w:rPr>
            </w:pPr>
            <w:r>
              <w:rPr>
                <w:rFonts w:hint="eastAsia"/>
                <w:sz w:val="24"/>
                <w:szCs w:val="36"/>
                <w:highlight w:val="none"/>
              </w:rPr>
              <w:t>(    )</w:t>
            </w:r>
          </w:p>
        </w:tc>
        <w:tc>
          <w:tcPr>
            <w:tcW w:w="1418" w:type="dxa"/>
            <w:vAlign w:val="center"/>
          </w:tcPr>
          <w:p>
            <w:pPr>
              <w:jc w:val="center"/>
              <w:rPr>
                <w:sz w:val="24"/>
                <w:szCs w:val="36"/>
                <w:highlight w:val="none"/>
              </w:rPr>
            </w:pPr>
            <w:r>
              <w:rPr>
                <w:rFonts w:hint="eastAsia"/>
                <w:sz w:val="24"/>
                <w:szCs w:val="36"/>
                <w:highlight w:val="none"/>
              </w:rPr>
              <w:t>(    )</w:t>
            </w: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rFonts w:ascii="宋体 ，Arial" w:eastAsia="宋体 ，Arial"/>
                <w:sz w:val="24"/>
                <w:highlight w:val="none"/>
              </w:rPr>
            </w:pPr>
            <w:r>
              <w:rPr>
                <w:rFonts w:hint="eastAsia" w:ascii="宋体 ，Arial" w:eastAsia="宋体 ，Arial"/>
                <w:sz w:val="24"/>
                <w:highlight w:val="none"/>
              </w:rPr>
              <w:t>七、其它</w:t>
            </w:r>
          </w:p>
        </w:tc>
        <w:tc>
          <w:tcPr>
            <w:tcW w:w="1275" w:type="dxa"/>
            <w:vAlign w:val="center"/>
          </w:tcPr>
          <w:p>
            <w:pPr>
              <w:jc w:val="center"/>
              <w:rPr>
                <w:sz w:val="24"/>
                <w:szCs w:val="36"/>
                <w:highlight w:val="none"/>
              </w:rPr>
            </w:pPr>
          </w:p>
        </w:tc>
        <w:tc>
          <w:tcPr>
            <w:tcW w:w="1418" w:type="dxa"/>
            <w:vAlign w:val="center"/>
          </w:tcPr>
          <w:p>
            <w:pPr>
              <w:jc w:val="center"/>
              <w:rPr>
                <w:sz w:val="24"/>
                <w:szCs w:val="36"/>
                <w:highlight w:val="none"/>
              </w:rPr>
            </w:pP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rFonts w:ascii="宋体 ，Arial" w:eastAsia="宋体 ，Arial"/>
                <w:sz w:val="24"/>
                <w:highlight w:val="none"/>
              </w:rPr>
            </w:pPr>
            <w:r>
              <w:rPr>
                <w:rFonts w:hint="eastAsia" w:ascii="宋体 ，Arial" w:eastAsia="宋体 ，Arial"/>
                <w:sz w:val="24"/>
                <w:highlight w:val="none"/>
              </w:rPr>
              <w:t>（一）施工高度50m及以上的建筑幕墙安装工程。</w:t>
            </w:r>
          </w:p>
        </w:tc>
        <w:tc>
          <w:tcPr>
            <w:tcW w:w="1275" w:type="dxa"/>
            <w:vAlign w:val="center"/>
          </w:tcPr>
          <w:p>
            <w:pPr>
              <w:jc w:val="center"/>
              <w:rPr>
                <w:sz w:val="24"/>
                <w:szCs w:val="36"/>
                <w:highlight w:val="none"/>
              </w:rPr>
            </w:pPr>
            <w:r>
              <w:rPr>
                <w:rFonts w:hint="eastAsia"/>
                <w:sz w:val="24"/>
                <w:szCs w:val="36"/>
                <w:highlight w:val="none"/>
              </w:rPr>
              <w:t>(    )</w:t>
            </w:r>
          </w:p>
        </w:tc>
        <w:tc>
          <w:tcPr>
            <w:tcW w:w="1418" w:type="dxa"/>
            <w:vAlign w:val="center"/>
          </w:tcPr>
          <w:p>
            <w:pPr>
              <w:jc w:val="center"/>
              <w:rPr>
                <w:sz w:val="24"/>
                <w:szCs w:val="36"/>
                <w:highlight w:val="none"/>
              </w:rPr>
            </w:pPr>
            <w:r>
              <w:rPr>
                <w:rFonts w:hint="eastAsia"/>
                <w:sz w:val="24"/>
                <w:szCs w:val="36"/>
                <w:highlight w:val="none"/>
              </w:rPr>
              <w:t>(    )</w:t>
            </w: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rFonts w:ascii="宋体 ，Arial" w:eastAsia="宋体 ，Arial"/>
                <w:sz w:val="24"/>
                <w:highlight w:val="none"/>
              </w:rPr>
            </w:pPr>
            <w:r>
              <w:rPr>
                <w:rFonts w:hint="eastAsia" w:ascii="宋体 ，Arial" w:eastAsia="宋体 ，Arial"/>
                <w:sz w:val="24"/>
                <w:highlight w:val="none"/>
              </w:rPr>
              <w:t>（二）跨度36m及以上的钢结构安装工程，或跨度60m及以上的网架和索膜结构安装工程。</w:t>
            </w:r>
          </w:p>
        </w:tc>
        <w:tc>
          <w:tcPr>
            <w:tcW w:w="1275" w:type="dxa"/>
            <w:vAlign w:val="center"/>
          </w:tcPr>
          <w:p>
            <w:pPr>
              <w:jc w:val="center"/>
              <w:rPr>
                <w:sz w:val="24"/>
                <w:szCs w:val="36"/>
                <w:highlight w:val="none"/>
              </w:rPr>
            </w:pPr>
            <w:r>
              <w:rPr>
                <w:rFonts w:hint="eastAsia"/>
                <w:sz w:val="24"/>
                <w:szCs w:val="36"/>
                <w:highlight w:val="none"/>
              </w:rPr>
              <w:t>(    )</w:t>
            </w:r>
          </w:p>
        </w:tc>
        <w:tc>
          <w:tcPr>
            <w:tcW w:w="1418" w:type="dxa"/>
            <w:vAlign w:val="center"/>
          </w:tcPr>
          <w:p>
            <w:pPr>
              <w:jc w:val="center"/>
              <w:rPr>
                <w:sz w:val="24"/>
                <w:szCs w:val="36"/>
                <w:highlight w:val="none"/>
              </w:rPr>
            </w:pPr>
            <w:r>
              <w:rPr>
                <w:rFonts w:hint="eastAsia"/>
                <w:sz w:val="24"/>
                <w:szCs w:val="36"/>
                <w:highlight w:val="none"/>
              </w:rPr>
              <w:t>(    )</w:t>
            </w: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rFonts w:ascii="宋体 ，Arial" w:eastAsia="宋体 ，Arial"/>
                <w:sz w:val="24"/>
                <w:highlight w:val="none"/>
              </w:rPr>
            </w:pPr>
            <w:r>
              <w:rPr>
                <w:rFonts w:hint="eastAsia" w:ascii="宋体 ，Arial" w:eastAsia="宋体 ，Arial"/>
                <w:sz w:val="24"/>
                <w:highlight w:val="none"/>
              </w:rPr>
              <w:t>（三）开挖深度16m及以上的人工挖孔桩工程。</w:t>
            </w:r>
          </w:p>
        </w:tc>
        <w:tc>
          <w:tcPr>
            <w:tcW w:w="1275" w:type="dxa"/>
            <w:vAlign w:val="center"/>
          </w:tcPr>
          <w:p>
            <w:pPr>
              <w:jc w:val="center"/>
              <w:rPr>
                <w:sz w:val="24"/>
                <w:szCs w:val="36"/>
                <w:highlight w:val="none"/>
              </w:rPr>
            </w:pPr>
            <w:r>
              <w:rPr>
                <w:rFonts w:hint="eastAsia"/>
                <w:sz w:val="24"/>
                <w:szCs w:val="36"/>
                <w:highlight w:val="none"/>
              </w:rPr>
              <w:t>(    )</w:t>
            </w:r>
          </w:p>
        </w:tc>
        <w:tc>
          <w:tcPr>
            <w:tcW w:w="1418" w:type="dxa"/>
            <w:vAlign w:val="center"/>
          </w:tcPr>
          <w:p>
            <w:pPr>
              <w:jc w:val="center"/>
              <w:rPr>
                <w:sz w:val="24"/>
                <w:szCs w:val="36"/>
                <w:highlight w:val="none"/>
              </w:rPr>
            </w:pPr>
            <w:r>
              <w:rPr>
                <w:rFonts w:hint="eastAsia"/>
                <w:sz w:val="24"/>
                <w:szCs w:val="36"/>
                <w:highlight w:val="none"/>
              </w:rPr>
              <w:t>(    )</w:t>
            </w: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rFonts w:ascii="宋体 ，Arial" w:eastAsia="宋体 ，Arial"/>
                <w:sz w:val="24"/>
                <w:highlight w:val="none"/>
              </w:rPr>
            </w:pPr>
            <w:r>
              <w:rPr>
                <w:rFonts w:hint="eastAsia" w:ascii="宋体 ，Arial" w:eastAsia="宋体 ，Arial"/>
                <w:sz w:val="24"/>
                <w:highlight w:val="none"/>
              </w:rPr>
              <w:t>（四）水下作业工程。</w:t>
            </w:r>
          </w:p>
        </w:tc>
        <w:tc>
          <w:tcPr>
            <w:tcW w:w="1275" w:type="dxa"/>
            <w:vAlign w:val="center"/>
          </w:tcPr>
          <w:p>
            <w:pPr>
              <w:jc w:val="center"/>
              <w:rPr>
                <w:sz w:val="24"/>
                <w:szCs w:val="36"/>
                <w:highlight w:val="none"/>
              </w:rPr>
            </w:pPr>
            <w:r>
              <w:rPr>
                <w:rFonts w:hint="eastAsia"/>
                <w:sz w:val="24"/>
                <w:szCs w:val="36"/>
                <w:highlight w:val="none"/>
              </w:rPr>
              <w:t>(    )</w:t>
            </w:r>
          </w:p>
        </w:tc>
        <w:tc>
          <w:tcPr>
            <w:tcW w:w="1418" w:type="dxa"/>
            <w:vAlign w:val="center"/>
          </w:tcPr>
          <w:p>
            <w:pPr>
              <w:jc w:val="center"/>
              <w:rPr>
                <w:sz w:val="24"/>
                <w:szCs w:val="36"/>
                <w:highlight w:val="none"/>
              </w:rPr>
            </w:pPr>
            <w:r>
              <w:rPr>
                <w:rFonts w:hint="eastAsia"/>
                <w:sz w:val="24"/>
                <w:szCs w:val="36"/>
                <w:highlight w:val="none"/>
              </w:rPr>
              <w:t>(    )</w:t>
            </w: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rFonts w:ascii="宋体 ，Arial" w:eastAsia="宋体 ，Arial"/>
                <w:sz w:val="24"/>
                <w:highlight w:val="none"/>
              </w:rPr>
            </w:pPr>
            <w:r>
              <w:rPr>
                <w:rFonts w:hint="eastAsia" w:ascii="宋体 ，Arial" w:eastAsia="宋体 ，Arial"/>
                <w:sz w:val="24"/>
                <w:highlight w:val="none"/>
              </w:rPr>
              <w:t>（五）重量1000kN及以上的大型结构整体顶升、平移、转体等施工工艺。</w:t>
            </w:r>
          </w:p>
        </w:tc>
        <w:tc>
          <w:tcPr>
            <w:tcW w:w="1275" w:type="dxa"/>
            <w:vAlign w:val="center"/>
          </w:tcPr>
          <w:p>
            <w:pPr>
              <w:jc w:val="center"/>
              <w:rPr>
                <w:sz w:val="24"/>
                <w:szCs w:val="36"/>
                <w:highlight w:val="none"/>
              </w:rPr>
            </w:pPr>
            <w:r>
              <w:rPr>
                <w:rFonts w:hint="eastAsia"/>
                <w:sz w:val="24"/>
                <w:szCs w:val="36"/>
                <w:highlight w:val="none"/>
              </w:rPr>
              <w:t>(    )</w:t>
            </w:r>
          </w:p>
        </w:tc>
        <w:tc>
          <w:tcPr>
            <w:tcW w:w="1418" w:type="dxa"/>
            <w:vAlign w:val="center"/>
          </w:tcPr>
          <w:p>
            <w:pPr>
              <w:jc w:val="center"/>
              <w:rPr>
                <w:sz w:val="24"/>
                <w:szCs w:val="36"/>
                <w:highlight w:val="none"/>
              </w:rPr>
            </w:pPr>
            <w:r>
              <w:rPr>
                <w:rFonts w:hint="eastAsia"/>
                <w:sz w:val="24"/>
                <w:szCs w:val="36"/>
                <w:highlight w:val="none"/>
              </w:rPr>
              <w:t>(    )</w:t>
            </w:r>
          </w:p>
        </w:tc>
        <w:tc>
          <w:tcPr>
            <w:tcW w:w="7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5070" w:type="dxa"/>
          </w:tcPr>
          <w:p>
            <w:pPr>
              <w:jc w:val="left"/>
              <w:rPr>
                <w:rFonts w:ascii="宋体 ，Arial" w:eastAsia="宋体 ，Arial"/>
                <w:sz w:val="24"/>
                <w:highlight w:val="none"/>
              </w:rPr>
            </w:pPr>
            <w:r>
              <w:rPr>
                <w:rFonts w:hint="eastAsia" w:ascii="宋体 ，Arial" w:eastAsia="宋体 ，Arial"/>
                <w:sz w:val="24"/>
                <w:highlight w:val="none"/>
              </w:rPr>
              <w:t>（六）采用新技术、新工艺、新材料、新设备可能影响工程施工安全，尚无国家、行业及地方技术标准的分部分项工程。</w:t>
            </w:r>
          </w:p>
        </w:tc>
        <w:tc>
          <w:tcPr>
            <w:tcW w:w="1275" w:type="dxa"/>
            <w:vAlign w:val="center"/>
          </w:tcPr>
          <w:p>
            <w:pPr>
              <w:jc w:val="center"/>
              <w:rPr>
                <w:sz w:val="24"/>
                <w:szCs w:val="36"/>
                <w:highlight w:val="none"/>
              </w:rPr>
            </w:pPr>
            <w:r>
              <w:rPr>
                <w:rFonts w:hint="eastAsia"/>
                <w:sz w:val="24"/>
                <w:szCs w:val="36"/>
                <w:highlight w:val="none"/>
              </w:rPr>
              <w:t>(    )</w:t>
            </w:r>
          </w:p>
        </w:tc>
        <w:tc>
          <w:tcPr>
            <w:tcW w:w="1418" w:type="dxa"/>
            <w:vAlign w:val="center"/>
          </w:tcPr>
          <w:p>
            <w:pPr>
              <w:jc w:val="center"/>
              <w:rPr>
                <w:sz w:val="24"/>
                <w:szCs w:val="36"/>
                <w:highlight w:val="none"/>
              </w:rPr>
            </w:pPr>
            <w:r>
              <w:rPr>
                <w:rFonts w:hint="eastAsia"/>
                <w:sz w:val="24"/>
                <w:szCs w:val="36"/>
                <w:highlight w:val="none"/>
              </w:rPr>
              <w:t>(    )</w:t>
            </w:r>
          </w:p>
        </w:tc>
        <w:tc>
          <w:tcPr>
            <w:tcW w:w="759" w:type="dxa"/>
            <w:vAlign w:val="center"/>
          </w:tcPr>
          <w:p>
            <w:pPr>
              <w:jc w:val="center"/>
              <w:rPr>
                <w:highlight w:val="none"/>
              </w:rPr>
            </w:pPr>
          </w:p>
        </w:tc>
      </w:tr>
    </w:tbl>
    <w:p>
      <w:pPr>
        <w:jc w:val="center"/>
        <w:rPr>
          <w:b/>
          <w:sz w:val="36"/>
          <w:szCs w:val="36"/>
          <w:highlight w:val="none"/>
        </w:rPr>
      </w:pPr>
    </w:p>
    <w:p>
      <w:pPr>
        <w:ind w:firstLine="3045" w:firstLineChars="1450"/>
        <w:rPr>
          <w:rFonts w:ascii="宋体"/>
          <w:highlight w:val="none"/>
        </w:rPr>
      </w:pPr>
      <w:r>
        <w:rPr>
          <w:rFonts w:hint="eastAsia" w:ascii="宋体"/>
          <w:highlight w:val="none"/>
        </w:rPr>
        <w:t>投标人：　　（盖章）</w:t>
      </w:r>
    </w:p>
    <w:p>
      <w:pPr>
        <w:ind w:firstLine="3045" w:firstLineChars="1450"/>
        <w:rPr>
          <w:rFonts w:ascii="宋体"/>
          <w:highlight w:val="none"/>
        </w:rPr>
      </w:pPr>
      <w:r>
        <w:rPr>
          <w:rFonts w:hint="eastAsia" w:ascii="宋体"/>
          <w:highlight w:val="none"/>
        </w:rPr>
        <w:t>法定代表人或授权代理人(签字或盖章)：</w:t>
      </w:r>
    </w:p>
    <w:p>
      <w:pPr>
        <w:spacing w:line="360" w:lineRule="auto"/>
        <w:ind w:firstLine="3780" w:firstLineChars="1800"/>
        <w:rPr>
          <w:rFonts w:ascii="宋体" w:cs="宋体"/>
          <w:sz w:val="24"/>
          <w:szCs w:val="20"/>
          <w:highlight w:val="none"/>
        </w:rPr>
      </w:pPr>
      <w:r>
        <w:rPr>
          <w:rFonts w:hint="eastAsia" w:ascii="宋体"/>
          <w:highlight w:val="none"/>
        </w:rPr>
        <w:t xml:space="preserve">日   期：    年    月    日 </w:t>
      </w:r>
    </w:p>
    <w:p>
      <w:pPr>
        <w:spacing w:line="360" w:lineRule="auto"/>
        <w:ind w:firstLine="4320" w:firstLineChars="1800"/>
        <w:rPr>
          <w:rFonts w:ascii="宋体" w:cs="宋体"/>
          <w:sz w:val="24"/>
          <w:szCs w:val="20"/>
          <w:highlight w:val="none"/>
        </w:rPr>
      </w:pPr>
    </w:p>
    <w:p>
      <w:pPr>
        <w:rPr>
          <w:highlight w:val="none"/>
        </w:rPr>
      </w:pPr>
      <w:r>
        <w:rPr>
          <w:rFonts w:hint="eastAsia" w:ascii="宋体"/>
          <w:b/>
          <w:szCs w:val="21"/>
          <w:highlight w:val="none"/>
        </w:rPr>
        <w:t>注：联合体投标的，“投标人”一栏需书写所有联合体成员的单位全称，可由</w:t>
      </w:r>
      <w:r>
        <w:rPr>
          <w:rFonts w:hint="eastAsia" w:ascii="宋体"/>
          <w:b/>
          <w:szCs w:val="21"/>
          <w:highlight w:val="none"/>
          <w:lang w:eastAsia="zh-CN"/>
        </w:rPr>
        <w:t>牵头方</w:t>
      </w:r>
      <w:r>
        <w:rPr>
          <w:rFonts w:hint="eastAsia" w:ascii="宋体"/>
          <w:b/>
          <w:szCs w:val="21"/>
          <w:highlight w:val="none"/>
        </w:rPr>
        <w:t>签署、盖章。</w:t>
      </w:r>
    </w:p>
    <w:p>
      <w:pPr>
        <w:spacing w:line="360" w:lineRule="auto"/>
        <w:rPr>
          <w:rFonts w:ascii="宋体" w:hAnsi="宋体"/>
          <w:highlight w:val="none"/>
        </w:rPr>
        <w:sectPr>
          <w:pgSz w:w="11906" w:h="16838"/>
          <w:pgMar w:top="1440" w:right="1800" w:bottom="1440" w:left="1800" w:header="851" w:footer="992" w:gutter="0"/>
          <w:pgNumType w:fmt="decimal"/>
          <w:cols w:space="720" w:num="1"/>
          <w:docGrid w:type="lines" w:linePitch="312" w:charSpace="0"/>
        </w:sectPr>
      </w:pPr>
    </w:p>
    <w:p>
      <w:pPr>
        <w:spacing w:line="360" w:lineRule="auto"/>
        <w:jc w:val="both"/>
        <w:rPr>
          <w:rFonts w:hint="eastAsia" w:ascii="宋体" w:hAnsi="宋体" w:cs="宋体"/>
          <w:b/>
          <w:spacing w:val="4"/>
          <w:sz w:val="28"/>
          <w:szCs w:val="28"/>
          <w:highlight w:val="none"/>
        </w:rPr>
      </w:pPr>
      <w:bookmarkStart w:id="1259" w:name="_Toc1026"/>
      <w:r>
        <w:rPr>
          <w:rFonts w:hint="eastAsia" w:ascii="宋体" w:hAnsi="宋体" w:cs="宋体"/>
          <w:b/>
          <w:spacing w:val="4"/>
          <w:sz w:val="28"/>
          <w:szCs w:val="28"/>
          <w:highlight w:val="none"/>
        </w:rPr>
        <w:t>格式十二：</w:t>
      </w:r>
      <w:bookmarkEnd w:id="1259"/>
    </w:p>
    <w:p>
      <w:pPr>
        <w:topLinePunct/>
        <w:adjustRightInd w:val="0"/>
        <w:snapToGrid w:val="0"/>
        <w:spacing w:line="360" w:lineRule="auto"/>
        <w:ind w:firstLine="3758" w:firstLineChars="1300"/>
        <w:rPr>
          <w:rFonts w:ascii="宋体" w:hAnsi="宋体" w:cs="宋体"/>
          <w:b/>
          <w:spacing w:val="4"/>
          <w:sz w:val="28"/>
          <w:szCs w:val="28"/>
          <w:highlight w:val="none"/>
        </w:rPr>
      </w:pPr>
      <w:r>
        <w:rPr>
          <w:rFonts w:hint="eastAsia" w:ascii="宋体" w:hAnsi="宋体" w:cs="宋体"/>
          <w:b/>
          <w:spacing w:val="4"/>
          <w:sz w:val="28"/>
          <w:szCs w:val="28"/>
          <w:highlight w:val="none"/>
        </w:rPr>
        <w:t>其他资料</w:t>
      </w:r>
    </w:p>
    <w:p>
      <w:pPr>
        <w:spacing w:line="360" w:lineRule="auto"/>
        <w:rPr>
          <w:rFonts w:ascii="宋体" w:hAnsi="宋体"/>
          <w:highlight w:val="none"/>
        </w:rPr>
        <w:sectPr>
          <w:pgSz w:w="11906" w:h="16838"/>
          <w:pgMar w:top="1440" w:right="1800" w:bottom="1440" w:left="1800" w:header="851" w:footer="992" w:gutter="0"/>
          <w:pgNumType w:fmt="decimal"/>
          <w:cols w:space="720" w:num="1"/>
          <w:docGrid w:type="lines" w:linePitch="312" w:charSpace="0"/>
        </w:sectPr>
      </w:pPr>
      <w:r>
        <w:rPr>
          <w:rFonts w:hint="eastAsia" w:ascii="宋体" w:hAnsi="宋体"/>
          <w:highlight w:val="none"/>
        </w:rPr>
        <w:t>投标人认为应该提供的其他说明或资料。</w:t>
      </w:r>
    </w:p>
    <w:p>
      <w:pPr>
        <w:spacing w:line="360" w:lineRule="auto"/>
        <w:jc w:val="both"/>
        <w:rPr>
          <w:rFonts w:hint="eastAsia" w:ascii="宋体" w:hAnsi="宋体" w:cs="宋体"/>
          <w:b/>
          <w:spacing w:val="4"/>
          <w:sz w:val="28"/>
          <w:szCs w:val="28"/>
          <w:highlight w:val="none"/>
        </w:rPr>
      </w:pPr>
      <w:bookmarkStart w:id="1260" w:name="_Toc6459"/>
      <w:r>
        <w:rPr>
          <w:rFonts w:hint="eastAsia" w:ascii="宋体" w:hAnsi="宋体" w:cs="宋体"/>
          <w:b/>
          <w:spacing w:val="4"/>
          <w:sz w:val="28"/>
          <w:szCs w:val="28"/>
          <w:highlight w:val="none"/>
        </w:rPr>
        <w:t>格式十三：</w:t>
      </w:r>
      <w:bookmarkEnd w:id="1260"/>
    </w:p>
    <w:p>
      <w:pPr>
        <w:spacing w:line="360" w:lineRule="auto"/>
        <w:jc w:val="center"/>
        <w:rPr>
          <w:rFonts w:ascii="宋体" w:hAnsi="宋体"/>
          <w:b/>
          <w:bCs/>
          <w:highlight w:val="none"/>
        </w:rPr>
      </w:pPr>
      <w:r>
        <w:rPr>
          <w:rFonts w:hint="eastAsia" w:ascii="宋体" w:hAnsi="宋体"/>
          <w:b/>
          <w:bCs/>
          <w:highlight w:val="none"/>
        </w:rPr>
        <w:t>投标偏差表（工程总承包实施方案）</w:t>
      </w:r>
    </w:p>
    <w:tbl>
      <w:tblPr>
        <w:tblStyle w:val="16"/>
        <w:tblW w:w="81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95"/>
        <w:gridCol w:w="2116"/>
        <w:gridCol w:w="2140"/>
        <w:gridCol w:w="1811"/>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695" w:type="dxa"/>
          </w:tcPr>
          <w:p>
            <w:pPr>
              <w:spacing w:line="360" w:lineRule="auto"/>
              <w:jc w:val="center"/>
              <w:rPr>
                <w:rFonts w:ascii="宋体" w:hAnsi="宋体"/>
                <w:highlight w:val="none"/>
              </w:rPr>
            </w:pPr>
            <w:r>
              <w:rPr>
                <w:rFonts w:hint="eastAsia" w:ascii="宋体" w:hAnsi="宋体"/>
                <w:highlight w:val="none"/>
              </w:rPr>
              <w:t>序号</w:t>
            </w:r>
          </w:p>
        </w:tc>
        <w:tc>
          <w:tcPr>
            <w:tcW w:w="2116" w:type="dxa"/>
          </w:tcPr>
          <w:p>
            <w:pPr>
              <w:spacing w:line="360" w:lineRule="auto"/>
              <w:jc w:val="center"/>
              <w:rPr>
                <w:rFonts w:ascii="宋体" w:hAnsi="宋体"/>
                <w:highlight w:val="none"/>
              </w:rPr>
            </w:pPr>
            <w:r>
              <w:rPr>
                <w:rFonts w:hint="eastAsia" w:ascii="宋体" w:hAnsi="宋体"/>
                <w:highlight w:val="none"/>
              </w:rPr>
              <w:t>招标文件规定</w:t>
            </w:r>
          </w:p>
        </w:tc>
        <w:tc>
          <w:tcPr>
            <w:tcW w:w="2140" w:type="dxa"/>
          </w:tcPr>
          <w:p>
            <w:pPr>
              <w:spacing w:line="360" w:lineRule="auto"/>
              <w:jc w:val="center"/>
              <w:rPr>
                <w:rFonts w:ascii="宋体" w:hAnsi="宋体"/>
                <w:highlight w:val="none"/>
              </w:rPr>
            </w:pPr>
            <w:r>
              <w:rPr>
                <w:rFonts w:hint="eastAsia" w:ascii="宋体" w:hAnsi="宋体"/>
                <w:highlight w:val="none"/>
              </w:rPr>
              <w:t>投标文件响应</w:t>
            </w:r>
          </w:p>
        </w:tc>
        <w:tc>
          <w:tcPr>
            <w:tcW w:w="1811" w:type="dxa"/>
          </w:tcPr>
          <w:p>
            <w:pPr>
              <w:spacing w:line="360" w:lineRule="auto"/>
              <w:jc w:val="center"/>
              <w:rPr>
                <w:rFonts w:ascii="宋体" w:hAnsi="宋体"/>
                <w:highlight w:val="none"/>
              </w:rPr>
            </w:pPr>
            <w:r>
              <w:rPr>
                <w:rFonts w:hint="eastAsia" w:ascii="宋体" w:hAnsi="宋体"/>
                <w:highlight w:val="none"/>
              </w:rPr>
              <w:t>偏差说明</w:t>
            </w:r>
          </w:p>
        </w:tc>
        <w:tc>
          <w:tcPr>
            <w:tcW w:w="1392" w:type="dxa"/>
          </w:tcPr>
          <w:p>
            <w:pPr>
              <w:spacing w:line="360" w:lineRule="auto"/>
              <w:jc w:val="center"/>
              <w:rPr>
                <w:rFonts w:ascii="宋体" w:hAnsi="宋体"/>
                <w:highlight w:val="none"/>
              </w:rPr>
            </w:pPr>
            <w:r>
              <w:rPr>
                <w:rFonts w:hint="eastAsia" w:ascii="宋体" w:hAnsi="宋体"/>
                <w:highlight w:val="none"/>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695" w:type="dxa"/>
          </w:tcPr>
          <w:p>
            <w:pPr>
              <w:spacing w:line="360" w:lineRule="auto"/>
              <w:jc w:val="center"/>
              <w:rPr>
                <w:rFonts w:ascii="宋体" w:hAnsi="宋体"/>
                <w:highlight w:val="none"/>
              </w:rPr>
            </w:pPr>
            <w:r>
              <w:rPr>
                <w:rFonts w:hint="eastAsia" w:ascii="宋体" w:hAnsi="宋体"/>
                <w:highlight w:val="none"/>
              </w:rPr>
              <w:t>1</w:t>
            </w:r>
          </w:p>
        </w:tc>
        <w:tc>
          <w:tcPr>
            <w:tcW w:w="2116" w:type="dxa"/>
          </w:tcPr>
          <w:p>
            <w:pPr>
              <w:spacing w:line="360" w:lineRule="auto"/>
              <w:rPr>
                <w:rFonts w:ascii="宋体" w:hAnsi="宋体"/>
                <w:highlight w:val="none"/>
              </w:rPr>
            </w:pPr>
          </w:p>
        </w:tc>
        <w:tc>
          <w:tcPr>
            <w:tcW w:w="2140" w:type="dxa"/>
          </w:tcPr>
          <w:p>
            <w:pPr>
              <w:spacing w:line="360" w:lineRule="auto"/>
              <w:rPr>
                <w:rFonts w:ascii="宋体" w:hAnsi="宋体"/>
                <w:highlight w:val="none"/>
              </w:rPr>
            </w:pPr>
          </w:p>
        </w:tc>
        <w:tc>
          <w:tcPr>
            <w:tcW w:w="1811" w:type="dxa"/>
          </w:tcPr>
          <w:p>
            <w:pPr>
              <w:spacing w:line="360" w:lineRule="auto"/>
              <w:rPr>
                <w:rFonts w:ascii="宋体" w:hAnsi="宋体"/>
                <w:highlight w:val="none"/>
              </w:rPr>
            </w:pPr>
          </w:p>
        </w:tc>
        <w:tc>
          <w:tcPr>
            <w:tcW w:w="1392" w:type="dxa"/>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695" w:type="dxa"/>
          </w:tcPr>
          <w:p>
            <w:pPr>
              <w:spacing w:line="360" w:lineRule="auto"/>
              <w:jc w:val="center"/>
              <w:rPr>
                <w:rFonts w:ascii="宋体" w:hAnsi="宋体"/>
                <w:highlight w:val="none"/>
              </w:rPr>
            </w:pPr>
            <w:r>
              <w:rPr>
                <w:rFonts w:hint="eastAsia" w:ascii="宋体" w:hAnsi="宋体"/>
                <w:highlight w:val="none"/>
              </w:rPr>
              <w:t>2</w:t>
            </w:r>
          </w:p>
        </w:tc>
        <w:tc>
          <w:tcPr>
            <w:tcW w:w="2116" w:type="dxa"/>
          </w:tcPr>
          <w:p>
            <w:pPr>
              <w:spacing w:line="360" w:lineRule="auto"/>
              <w:rPr>
                <w:rFonts w:ascii="宋体" w:hAnsi="宋体"/>
                <w:highlight w:val="none"/>
              </w:rPr>
            </w:pPr>
          </w:p>
        </w:tc>
        <w:tc>
          <w:tcPr>
            <w:tcW w:w="2140" w:type="dxa"/>
          </w:tcPr>
          <w:p>
            <w:pPr>
              <w:spacing w:line="360" w:lineRule="auto"/>
              <w:rPr>
                <w:rFonts w:ascii="宋体" w:hAnsi="宋体"/>
                <w:highlight w:val="none"/>
              </w:rPr>
            </w:pPr>
          </w:p>
        </w:tc>
        <w:tc>
          <w:tcPr>
            <w:tcW w:w="1811" w:type="dxa"/>
          </w:tcPr>
          <w:p>
            <w:pPr>
              <w:spacing w:line="360" w:lineRule="auto"/>
              <w:rPr>
                <w:rFonts w:ascii="宋体" w:hAnsi="宋体"/>
                <w:highlight w:val="none"/>
              </w:rPr>
            </w:pPr>
          </w:p>
        </w:tc>
        <w:tc>
          <w:tcPr>
            <w:tcW w:w="1392" w:type="dxa"/>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695" w:type="dxa"/>
          </w:tcPr>
          <w:p>
            <w:pPr>
              <w:spacing w:line="360" w:lineRule="auto"/>
              <w:jc w:val="center"/>
              <w:rPr>
                <w:rFonts w:ascii="宋体" w:hAnsi="宋体"/>
                <w:highlight w:val="none"/>
              </w:rPr>
            </w:pPr>
            <w:r>
              <w:rPr>
                <w:rFonts w:hint="eastAsia" w:ascii="宋体" w:hAnsi="宋体"/>
                <w:highlight w:val="none"/>
              </w:rPr>
              <w:t>3</w:t>
            </w:r>
          </w:p>
        </w:tc>
        <w:tc>
          <w:tcPr>
            <w:tcW w:w="2116" w:type="dxa"/>
          </w:tcPr>
          <w:p>
            <w:pPr>
              <w:spacing w:line="360" w:lineRule="auto"/>
              <w:rPr>
                <w:rFonts w:ascii="宋体" w:hAnsi="宋体"/>
                <w:highlight w:val="none"/>
              </w:rPr>
            </w:pPr>
          </w:p>
        </w:tc>
        <w:tc>
          <w:tcPr>
            <w:tcW w:w="2140" w:type="dxa"/>
          </w:tcPr>
          <w:p>
            <w:pPr>
              <w:spacing w:line="360" w:lineRule="auto"/>
              <w:rPr>
                <w:rFonts w:ascii="宋体" w:hAnsi="宋体"/>
                <w:highlight w:val="none"/>
              </w:rPr>
            </w:pPr>
          </w:p>
        </w:tc>
        <w:tc>
          <w:tcPr>
            <w:tcW w:w="1811" w:type="dxa"/>
          </w:tcPr>
          <w:p>
            <w:pPr>
              <w:spacing w:line="360" w:lineRule="auto"/>
              <w:rPr>
                <w:rFonts w:ascii="宋体" w:hAnsi="宋体"/>
                <w:highlight w:val="none"/>
              </w:rPr>
            </w:pPr>
          </w:p>
        </w:tc>
        <w:tc>
          <w:tcPr>
            <w:tcW w:w="1392" w:type="dxa"/>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695" w:type="dxa"/>
          </w:tcPr>
          <w:p>
            <w:pPr>
              <w:spacing w:line="360" w:lineRule="auto"/>
              <w:jc w:val="center"/>
              <w:rPr>
                <w:rFonts w:ascii="宋体" w:hAnsi="宋体"/>
                <w:highlight w:val="none"/>
              </w:rPr>
            </w:pPr>
          </w:p>
        </w:tc>
        <w:tc>
          <w:tcPr>
            <w:tcW w:w="2116" w:type="dxa"/>
          </w:tcPr>
          <w:p>
            <w:pPr>
              <w:spacing w:line="360" w:lineRule="auto"/>
              <w:rPr>
                <w:rFonts w:ascii="宋体" w:hAnsi="宋体"/>
                <w:highlight w:val="none"/>
              </w:rPr>
            </w:pPr>
          </w:p>
        </w:tc>
        <w:tc>
          <w:tcPr>
            <w:tcW w:w="2140" w:type="dxa"/>
          </w:tcPr>
          <w:p>
            <w:pPr>
              <w:spacing w:line="360" w:lineRule="auto"/>
              <w:rPr>
                <w:rFonts w:ascii="宋体" w:hAnsi="宋体"/>
                <w:highlight w:val="none"/>
              </w:rPr>
            </w:pPr>
          </w:p>
        </w:tc>
        <w:tc>
          <w:tcPr>
            <w:tcW w:w="1811" w:type="dxa"/>
          </w:tcPr>
          <w:p>
            <w:pPr>
              <w:spacing w:line="360" w:lineRule="auto"/>
              <w:rPr>
                <w:rFonts w:ascii="宋体" w:hAnsi="宋体"/>
                <w:highlight w:val="none"/>
              </w:rPr>
            </w:pPr>
          </w:p>
        </w:tc>
        <w:tc>
          <w:tcPr>
            <w:tcW w:w="1392" w:type="dxa"/>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695" w:type="dxa"/>
          </w:tcPr>
          <w:p>
            <w:pPr>
              <w:spacing w:line="360" w:lineRule="auto"/>
              <w:jc w:val="center"/>
              <w:rPr>
                <w:rFonts w:ascii="宋体" w:hAnsi="宋体"/>
                <w:highlight w:val="none"/>
              </w:rPr>
            </w:pPr>
          </w:p>
        </w:tc>
        <w:tc>
          <w:tcPr>
            <w:tcW w:w="2116" w:type="dxa"/>
          </w:tcPr>
          <w:p>
            <w:pPr>
              <w:spacing w:line="360" w:lineRule="auto"/>
              <w:rPr>
                <w:rFonts w:ascii="宋体" w:hAnsi="宋体"/>
                <w:highlight w:val="none"/>
              </w:rPr>
            </w:pPr>
          </w:p>
        </w:tc>
        <w:tc>
          <w:tcPr>
            <w:tcW w:w="2140" w:type="dxa"/>
          </w:tcPr>
          <w:p>
            <w:pPr>
              <w:spacing w:line="360" w:lineRule="auto"/>
              <w:rPr>
                <w:rFonts w:ascii="宋体" w:hAnsi="宋体"/>
                <w:highlight w:val="none"/>
              </w:rPr>
            </w:pPr>
          </w:p>
        </w:tc>
        <w:tc>
          <w:tcPr>
            <w:tcW w:w="1811" w:type="dxa"/>
          </w:tcPr>
          <w:p>
            <w:pPr>
              <w:spacing w:line="360" w:lineRule="auto"/>
              <w:rPr>
                <w:rFonts w:ascii="宋体" w:hAnsi="宋体"/>
                <w:highlight w:val="none"/>
              </w:rPr>
            </w:pPr>
          </w:p>
        </w:tc>
        <w:tc>
          <w:tcPr>
            <w:tcW w:w="1392" w:type="dxa"/>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695" w:type="dxa"/>
          </w:tcPr>
          <w:p>
            <w:pPr>
              <w:spacing w:line="360" w:lineRule="auto"/>
              <w:jc w:val="center"/>
              <w:rPr>
                <w:rFonts w:ascii="宋体" w:hAnsi="宋体"/>
                <w:highlight w:val="none"/>
              </w:rPr>
            </w:pPr>
          </w:p>
        </w:tc>
        <w:tc>
          <w:tcPr>
            <w:tcW w:w="2116" w:type="dxa"/>
          </w:tcPr>
          <w:p>
            <w:pPr>
              <w:spacing w:line="360" w:lineRule="auto"/>
              <w:rPr>
                <w:rFonts w:ascii="宋体" w:hAnsi="宋体"/>
                <w:highlight w:val="none"/>
              </w:rPr>
            </w:pPr>
          </w:p>
        </w:tc>
        <w:tc>
          <w:tcPr>
            <w:tcW w:w="2140" w:type="dxa"/>
          </w:tcPr>
          <w:p>
            <w:pPr>
              <w:spacing w:line="360" w:lineRule="auto"/>
              <w:rPr>
                <w:rFonts w:ascii="宋体" w:hAnsi="宋体"/>
                <w:highlight w:val="none"/>
              </w:rPr>
            </w:pPr>
          </w:p>
        </w:tc>
        <w:tc>
          <w:tcPr>
            <w:tcW w:w="1811" w:type="dxa"/>
          </w:tcPr>
          <w:p>
            <w:pPr>
              <w:spacing w:line="360" w:lineRule="auto"/>
              <w:rPr>
                <w:rFonts w:ascii="宋体" w:hAnsi="宋体"/>
                <w:highlight w:val="none"/>
              </w:rPr>
            </w:pPr>
          </w:p>
        </w:tc>
        <w:tc>
          <w:tcPr>
            <w:tcW w:w="1392" w:type="dxa"/>
          </w:tcPr>
          <w:p>
            <w:pPr>
              <w:spacing w:line="360" w:lineRule="auto"/>
              <w:rPr>
                <w:rFonts w:ascii="宋体" w:hAnsi="宋体"/>
                <w:highlight w:val="none"/>
              </w:rPr>
            </w:pPr>
          </w:p>
        </w:tc>
      </w:tr>
    </w:tbl>
    <w:p>
      <w:pPr>
        <w:spacing w:line="360" w:lineRule="auto"/>
        <w:rPr>
          <w:rFonts w:ascii="宋体" w:hAnsi="宋体"/>
          <w:highlight w:val="none"/>
        </w:rPr>
      </w:pPr>
      <w:r>
        <w:rPr>
          <w:rFonts w:hint="eastAsia" w:ascii="宋体" w:hAnsi="宋体"/>
          <w:highlight w:val="none"/>
        </w:rPr>
        <w:t xml:space="preserve">                                              </w:t>
      </w:r>
    </w:p>
    <w:p>
      <w:pPr>
        <w:spacing w:line="360" w:lineRule="auto"/>
        <w:ind w:firstLine="4830" w:firstLineChars="2300"/>
        <w:rPr>
          <w:rFonts w:ascii="宋体" w:hAnsi="宋体"/>
          <w:highlight w:val="none"/>
        </w:rPr>
      </w:pPr>
      <w:r>
        <w:rPr>
          <w:rFonts w:hint="eastAsia" w:ascii="宋体" w:hAnsi="宋体"/>
          <w:highlight w:val="none"/>
        </w:rPr>
        <w:t xml:space="preserve"> 投标人名称：（盖章）</w:t>
      </w:r>
    </w:p>
    <w:p>
      <w:pPr>
        <w:spacing w:line="360" w:lineRule="auto"/>
        <w:rPr>
          <w:rFonts w:ascii="宋体" w:hAnsi="宋体"/>
          <w:highlight w:val="none"/>
        </w:rPr>
        <w:sectPr>
          <w:pgSz w:w="11906" w:h="16838"/>
          <w:pgMar w:top="1440" w:right="1800" w:bottom="1440" w:left="1800" w:header="851" w:footer="992" w:gutter="0"/>
          <w:pgNumType w:fmt="decimal"/>
          <w:cols w:space="720" w:num="1"/>
          <w:docGrid w:type="lines" w:linePitch="312" w:charSpace="0"/>
        </w:sectPr>
      </w:pPr>
      <w:r>
        <w:rPr>
          <w:rFonts w:hint="eastAsia" w:ascii="宋体" w:hAnsi="宋体"/>
          <w:highlight w:val="none"/>
        </w:rPr>
        <w:t xml:space="preserve">                                                      年   月   日</w:t>
      </w:r>
    </w:p>
    <w:p>
      <w:pPr>
        <w:spacing w:line="360" w:lineRule="auto"/>
        <w:rPr>
          <w:rFonts w:ascii="宋体" w:hAnsi="宋体"/>
          <w:b/>
          <w:bCs/>
          <w:sz w:val="32"/>
          <w:szCs w:val="32"/>
          <w:highlight w:val="none"/>
        </w:rPr>
      </w:pPr>
      <w:r>
        <w:rPr>
          <w:rFonts w:hint="eastAsia" w:ascii="宋体" w:hAnsi="宋体"/>
          <w:b/>
          <w:bCs/>
          <w:sz w:val="32"/>
          <w:szCs w:val="32"/>
          <w:highlight w:val="none"/>
        </w:rPr>
        <w:t>格式十四：</w:t>
      </w:r>
    </w:p>
    <w:p>
      <w:pPr>
        <w:spacing w:line="360" w:lineRule="auto"/>
        <w:jc w:val="center"/>
        <w:rPr>
          <w:rFonts w:ascii="宋体" w:hAnsi="宋体"/>
          <w:b/>
          <w:bCs/>
          <w:highlight w:val="none"/>
        </w:rPr>
      </w:pPr>
      <w:r>
        <w:rPr>
          <w:rFonts w:hint="eastAsia" w:ascii="宋体" w:hAnsi="宋体"/>
          <w:b/>
          <w:bCs/>
          <w:sz w:val="32"/>
          <w:szCs w:val="32"/>
          <w:highlight w:val="none"/>
        </w:rPr>
        <w:t>索引表</w:t>
      </w:r>
    </w:p>
    <w:tbl>
      <w:tblPr>
        <w:tblStyle w:val="16"/>
        <w:tblW w:w="73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24"/>
        <w:gridCol w:w="4132"/>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6" w:hRule="atLeast"/>
          <w:jc w:val="center"/>
        </w:trPr>
        <w:tc>
          <w:tcPr>
            <w:tcW w:w="924" w:type="dxa"/>
          </w:tcPr>
          <w:p>
            <w:pPr>
              <w:spacing w:line="360" w:lineRule="auto"/>
              <w:jc w:val="center"/>
              <w:rPr>
                <w:rFonts w:ascii="宋体" w:hAnsi="宋体"/>
                <w:highlight w:val="none"/>
              </w:rPr>
            </w:pPr>
            <w:r>
              <w:rPr>
                <w:rFonts w:hint="eastAsia" w:ascii="宋体" w:hAnsi="宋体"/>
                <w:highlight w:val="none"/>
              </w:rPr>
              <w:t>序号</w:t>
            </w:r>
          </w:p>
        </w:tc>
        <w:tc>
          <w:tcPr>
            <w:tcW w:w="4132" w:type="dxa"/>
          </w:tcPr>
          <w:p>
            <w:pPr>
              <w:spacing w:line="360" w:lineRule="auto"/>
              <w:jc w:val="center"/>
              <w:rPr>
                <w:rFonts w:ascii="宋体" w:hAnsi="宋体"/>
                <w:highlight w:val="none"/>
              </w:rPr>
            </w:pPr>
            <w:r>
              <w:rPr>
                <w:rFonts w:hint="eastAsia" w:ascii="宋体" w:hAnsi="宋体"/>
                <w:highlight w:val="none"/>
              </w:rPr>
              <w:t>评审要求</w:t>
            </w:r>
          </w:p>
        </w:tc>
        <w:tc>
          <w:tcPr>
            <w:tcW w:w="2324" w:type="dxa"/>
          </w:tcPr>
          <w:p>
            <w:pPr>
              <w:spacing w:line="360" w:lineRule="auto"/>
              <w:jc w:val="center"/>
              <w:rPr>
                <w:rFonts w:ascii="宋体" w:hAnsi="宋体"/>
                <w:highlight w:val="none"/>
              </w:rPr>
            </w:pPr>
            <w:r>
              <w:rPr>
                <w:rFonts w:hint="eastAsia" w:ascii="宋体" w:hAnsi="宋体"/>
                <w:highlight w:val="none"/>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6" w:hRule="atLeast"/>
          <w:jc w:val="center"/>
        </w:trPr>
        <w:tc>
          <w:tcPr>
            <w:tcW w:w="924" w:type="dxa"/>
          </w:tcPr>
          <w:p>
            <w:pPr>
              <w:spacing w:line="360" w:lineRule="auto"/>
              <w:jc w:val="center"/>
              <w:rPr>
                <w:rFonts w:ascii="宋体" w:hAnsi="宋体"/>
                <w:highlight w:val="none"/>
              </w:rPr>
            </w:pPr>
            <w:r>
              <w:rPr>
                <w:rFonts w:hint="eastAsia" w:ascii="宋体" w:hAnsi="宋体"/>
                <w:highlight w:val="none"/>
              </w:rPr>
              <w:t>1</w:t>
            </w:r>
          </w:p>
        </w:tc>
        <w:tc>
          <w:tcPr>
            <w:tcW w:w="4132" w:type="dxa"/>
          </w:tcPr>
          <w:p>
            <w:pPr>
              <w:spacing w:line="360" w:lineRule="auto"/>
              <w:rPr>
                <w:rFonts w:ascii="宋体" w:hAnsi="宋体"/>
                <w:highlight w:val="none"/>
              </w:rPr>
            </w:pPr>
          </w:p>
        </w:tc>
        <w:tc>
          <w:tcPr>
            <w:tcW w:w="2324" w:type="dxa"/>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6" w:hRule="atLeast"/>
          <w:jc w:val="center"/>
        </w:trPr>
        <w:tc>
          <w:tcPr>
            <w:tcW w:w="924" w:type="dxa"/>
          </w:tcPr>
          <w:p>
            <w:pPr>
              <w:spacing w:line="360" w:lineRule="auto"/>
              <w:jc w:val="center"/>
              <w:rPr>
                <w:rFonts w:ascii="宋体" w:hAnsi="宋体"/>
                <w:highlight w:val="none"/>
              </w:rPr>
            </w:pPr>
            <w:r>
              <w:rPr>
                <w:rFonts w:hint="eastAsia" w:ascii="宋体" w:hAnsi="宋体"/>
                <w:highlight w:val="none"/>
              </w:rPr>
              <w:t>2</w:t>
            </w:r>
          </w:p>
        </w:tc>
        <w:tc>
          <w:tcPr>
            <w:tcW w:w="4132" w:type="dxa"/>
          </w:tcPr>
          <w:p>
            <w:pPr>
              <w:spacing w:line="360" w:lineRule="auto"/>
              <w:rPr>
                <w:rFonts w:ascii="宋体" w:hAnsi="宋体"/>
                <w:highlight w:val="none"/>
              </w:rPr>
            </w:pPr>
          </w:p>
        </w:tc>
        <w:tc>
          <w:tcPr>
            <w:tcW w:w="2324" w:type="dxa"/>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6" w:hRule="atLeast"/>
          <w:jc w:val="center"/>
        </w:trPr>
        <w:tc>
          <w:tcPr>
            <w:tcW w:w="924" w:type="dxa"/>
          </w:tcPr>
          <w:p>
            <w:pPr>
              <w:spacing w:line="360" w:lineRule="auto"/>
              <w:jc w:val="center"/>
              <w:rPr>
                <w:rFonts w:ascii="宋体" w:hAnsi="宋体"/>
                <w:highlight w:val="none"/>
              </w:rPr>
            </w:pPr>
            <w:r>
              <w:rPr>
                <w:rFonts w:hint="eastAsia" w:ascii="宋体" w:hAnsi="宋体"/>
                <w:highlight w:val="none"/>
              </w:rPr>
              <w:t>3</w:t>
            </w:r>
          </w:p>
        </w:tc>
        <w:tc>
          <w:tcPr>
            <w:tcW w:w="4132" w:type="dxa"/>
          </w:tcPr>
          <w:p>
            <w:pPr>
              <w:spacing w:line="360" w:lineRule="auto"/>
              <w:rPr>
                <w:rFonts w:ascii="宋体" w:hAnsi="宋体"/>
                <w:highlight w:val="none"/>
              </w:rPr>
            </w:pPr>
          </w:p>
        </w:tc>
        <w:tc>
          <w:tcPr>
            <w:tcW w:w="2324" w:type="dxa"/>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6" w:hRule="atLeast"/>
          <w:jc w:val="center"/>
        </w:trPr>
        <w:tc>
          <w:tcPr>
            <w:tcW w:w="924" w:type="dxa"/>
          </w:tcPr>
          <w:p>
            <w:pPr>
              <w:spacing w:line="360" w:lineRule="auto"/>
              <w:jc w:val="center"/>
              <w:rPr>
                <w:rFonts w:ascii="宋体" w:hAnsi="宋体"/>
                <w:highlight w:val="none"/>
              </w:rPr>
            </w:pPr>
          </w:p>
        </w:tc>
        <w:tc>
          <w:tcPr>
            <w:tcW w:w="4132" w:type="dxa"/>
          </w:tcPr>
          <w:p>
            <w:pPr>
              <w:spacing w:line="360" w:lineRule="auto"/>
              <w:rPr>
                <w:rFonts w:ascii="宋体" w:hAnsi="宋体"/>
                <w:highlight w:val="none"/>
              </w:rPr>
            </w:pPr>
          </w:p>
        </w:tc>
        <w:tc>
          <w:tcPr>
            <w:tcW w:w="2324" w:type="dxa"/>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6" w:hRule="atLeast"/>
          <w:jc w:val="center"/>
        </w:trPr>
        <w:tc>
          <w:tcPr>
            <w:tcW w:w="924" w:type="dxa"/>
          </w:tcPr>
          <w:p>
            <w:pPr>
              <w:spacing w:line="360" w:lineRule="auto"/>
              <w:jc w:val="center"/>
              <w:rPr>
                <w:rFonts w:ascii="宋体" w:hAnsi="宋体"/>
                <w:highlight w:val="none"/>
              </w:rPr>
            </w:pPr>
          </w:p>
        </w:tc>
        <w:tc>
          <w:tcPr>
            <w:tcW w:w="4132" w:type="dxa"/>
          </w:tcPr>
          <w:p>
            <w:pPr>
              <w:spacing w:line="360" w:lineRule="auto"/>
              <w:rPr>
                <w:rFonts w:ascii="宋体" w:hAnsi="宋体"/>
                <w:highlight w:val="none"/>
              </w:rPr>
            </w:pPr>
          </w:p>
        </w:tc>
        <w:tc>
          <w:tcPr>
            <w:tcW w:w="2324" w:type="dxa"/>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66" w:hRule="atLeast"/>
          <w:jc w:val="center"/>
        </w:trPr>
        <w:tc>
          <w:tcPr>
            <w:tcW w:w="924" w:type="dxa"/>
          </w:tcPr>
          <w:p>
            <w:pPr>
              <w:spacing w:line="360" w:lineRule="auto"/>
              <w:jc w:val="center"/>
              <w:rPr>
                <w:rFonts w:ascii="宋体" w:hAnsi="宋体"/>
                <w:highlight w:val="none"/>
              </w:rPr>
            </w:pPr>
          </w:p>
        </w:tc>
        <w:tc>
          <w:tcPr>
            <w:tcW w:w="4132" w:type="dxa"/>
          </w:tcPr>
          <w:p>
            <w:pPr>
              <w:spacing w:line="360" w:lineRule="auto"/>
              <w:rPr>
                <w:rFonts w:ascii="宋体" w:hAnsi="宋体"/>
                <w:highlight w:val="none"/>
              </w:rPr>
            </w:pPr>
          </w:p>
        </w:tc>
        <w:tc>
          <w:tcPr>
            <w:tcW w:w="2324" w:type="dxa"/>
          </w:tcPr>
          <w:p>
            <w:pPr>
              <w:spacing w:line="360" w:lineRule="auto"/>
              <w:rPr>
                <w:rFonts w:ascii="宋体" w:hAnsi="宋体"/>
                <w:highlight w:val="none"/>
              </w:rPr>
            </w:pPr>
          </w:p>
        </w:tc>
      </w:tr>
    </w:tbl>
    <w:p>
      <w:pPr>
        <w:spacing w:line="360" w:lineRule="auto"/>
        <w:rPr>
          <w:rFonts w:ascii="宋体" w:hAnsi="宋体"/>
          <w:highlight w:val="none"/>
        </w:rPr>
      </w:pPr>
      <w:r>
        <w:rPr>
          <w:rFonts w:hint="eastAsia" w:ascii="宋体" w:hAnsi="宋体"/>
          <w:highlight w:val="none"/>
        </w:rPr>
        <w:t xml:space="preserve">     应针对资格审查、工程总承包实施方案详细审查等内容，列明评审内容所在的页码。</w:t>
      </w:r>
    </w:p>
    <w:p>
      <w:pPr>
        <w:spacing w:line="360" w:lineRule="auto"/>
        <w:ind w:firstLine="4830" w:firstLineChars="2300"/>
        <w:rPr>
          <w:rFonts w:ascii="宋体" w:hAnsi="宋体"/>
          <w:highlight w:val="none"/>
        </w:rPr>
      </w:pPr>
      <w:r>
        <w:rPr>
          <w:rFonts w:hint="eastAsia" w:ascii="宋体" w:hAnsi="宋体"/>
          <w:highlight w:val="none"/>
        </w:rPr>
        <w:t xml:space="preserve"> 投标人名称：（盖章）</w:t>
      </w:r>
    </w:p>
    <w:p>
      <w:pPr>
        <w:spacing w:line="360" w:lineRule="auto"/>
        <w:rPr>
          <w:rFonts w:ascii="宋体" w:hAnsi="宋体"/>
          <w:highlight w:val="none"/>
        </w:rPr>
      </w:pPr>
      <w:r>
        <w:rPr>
          <w:rFonts w:hint="eastAsia" w:ascii="宋体" w:hAnsi="宋体"/>
          <w:highlight w:val="none"/>
        </w:rPr>
        <w:t xml:space="preserve">                                                      年   月   日</w:t>
      </w:r>
    </w:p>
    <w:p>
      <w:pPr>
        <w:rPr>
          <w:highlight w:val="none"/>
        </w:rPr>
        <w:sectPr>
          <w:pgSz w:w="11906" w:h="16838"/>
          <w:pgMar w:top="1440" w:right="1800" w:bottom="1440" w:left="1800" w:header="851" w:footer="992" w:gutter="0"/>
          <w:pgNumType w:fmt="decimal"/>
          <w:cols w:space="720" w:num="1"/>
          <w:docGrid w:type="lines" w:linePitch="312" w:charSpace="0"/>
        </w:sectPr>
      </w:pPr>
    </w:p>
    <w:p>
      <w:pPr>
        <w:spacing w:line="360" w:lineRule="auto"/>
        <w:rPr>
          <w:rFonts w:ascii="宋体" w:hAnsi="宋体"/>
          <w:b/>
          <w:bCs/>
          <w:sz w:val="32"/>
          <w:szCs w:val="32"/>
          <w:highlight w:val="none"/>
        </w:rPr>
      </w:pPr>
      <w:r>
        <w:rPr>
          <w:rFonts w:hint="eastAsia" w:ascii="宋体" w:hAnsi="宋体"/>
          <w:b/>
          <w:bCs/>
          <w:sz w:val="32"/>
          <w:szCs w:val="32"/>
          <w:highlight w:val="none"/>
        </w:rPr>
        <w:t>格式十五：</w:t>
      </w:r>
    </w:p>
    <w:p>
      <w:pPr>
        <w:snapToGrid w:val="0"/>
        <w:spacing w:line="360" w:lineRule="auto"/>
        <w:ind w:right="240"/>
        <w:jc w:val="center"/>
        <w:rPr>
          <w:rFonts w:ascii="宋体" w:hAnsi="宋体"/>
          <w:b/>
          <w:bCs/>
          <w:color w:val="auto"/>
          <w:sz w:val="28"/>
          <w:szCs w:val="28"/>
          <w:highlight w:val="none"/>
        </w:rPr>
      </w:pPr>
      <w:r>
        <w:rPr>
          <w:rFonts w:hint="eastAsia" w:ascii="宋体" w:hAnsi="宋体"/>
          <w:b/>
          <w:bCs/>
          <w:color w:val="auto"/>
          <w:sz w:val="28"/>
          <w:szCs w:val="28"/>
          <w:highlight w:val="none"/>
        </w:rPr>
        <w:t>交纳招标代理服务费承诺书</w:t>
      </w:r>
    </w:p>
    <w:p>
      <w:pPr>
        <w:snapToGrid w:val="0"/>
        <w:spacing w:line="360" w:lineRule="auto"/>
        <w:ind w:right="240"/>
        <w:jc w:val="center"/>
        <w:rPr>
          <w:rFonts w:ascii="黑体" w:eastAsia="黑体"/>
          <w:b/>
          <w:bCs/>
          <w:color w:val="auto"/>
          <w:sz w:val="28"/>
          <w:szCs w:val="28"/>
          <w:highlight w:val="none"/>
        </w:rPr>
      </w:pPr>
      <w:r>
        <w:rPr>
          <w:rFonts w:hint="eastAsia" w:ascii="黑体" w:eastAsia="黑体"/>
          <w:b/>
          <w:bCs/>
          <w:color w:val="auto"/>
          <w:sz w:val="28"/>
          <w:szCs w:val="28"/>
          <w:highlight w:val="none"/>
        </w:rPr>
        <w:t xml:space="preserve"> </w:t>
      </w:r>
    </w:p>
    <w:p>
      <w:pPr>
        <w:widowControl/>
        <w:shd w:val="clear" w:color="auto" w:fill="FFFFFF"/>
        <w:jc w:val="both"/>
        <w:rPr>
          <w:rFonts w:ascii="微软雅黑" w:hAnsi="微软雅黑" w:eastAsia="微软雅黑" w:cs="微软雅黑"/>
          <w:szCs w:val="21"/>
          <w:highlight w:val="none"/>
        </w:rPr>
      </w:pPr>
      <w:r>
        <w:rPr>
          <w:rFonts w:hint="eastAsia" w:ascii="宋体" w:hAnsi="宋体" w:cs="宋体"/>
          <w:color w:val="auto"/>
          <w:sz w:val="28"/>
          <w:szCs w:val="28"/>
          <w:highlight w:val="none"/>
          <w:shd w:val="clear" w:color="auto" w:fill="FFFFFF"/>
          <w:lang w:bidi="ar"/>
        </w:rPr>
        <w:t>致：</w:t>
      </w:r>
      <w:r>
        <w:rPr>
          <w:rFonts w:hint="eastAsia" w:ascii="宋体" w:hAnsi="宋体" w:cs="宋体"/>
          <w:sz w:val="28"/>
          <w:szCs w:val="28"/>
          <w:highlight w:val="none"/>
          <w:u w:val="single"/>
          <w:shd w:val="clear" w:color="auto" w:fill="FFFFFF"/>
          <w:lang w:bidi="ar"/>
        </w:rPr>
        <w:t>南方鼎元资产运营有限责任公司</w:t>
      </w:r>
    </w:p>
    <w:p>
      <w:pPr>
        <w:widowControl/>
        <w:shd w:val="clear" w:color="auto" w:fill="FFFFFF"/>
        <w:ind w:firstLine="560"/>
        <w:jc w:val="both"/>
        <w:rPr>
          <w:rFonts w:ascii="微软雅黑" w:hAnsi="微软雅黑" w:eastAsia="微软雅黑" w:cs="微软雅黑"/>
          <w:szCs w:val="21"/>
          <w:highlight w:val="none"/>
        </w:rPr>
      </w:pPr>
      <w:r>
        <w:rPr>
          <w:rFonts w:hint="eastAsia" w:ascii="宋体" w:hAnsi="宋体" w:cs="宋体"/>
          <w:sz w:val="28"/>
          <w:szCs w:val="28"/>
          <w:highlight w:val="none"/>
          <w:shd w:val="clear" w:color="auto" w:fill="FFFFFF"/>
          <w:lang w:bidi="ar"/>
        </w:rPr>
        <w:t>我司自愿参与贵司代理</w:t>
      </w:r>
      <w:r>
        <w:rPr>
          <w:rFonts w:hint="eastAsia" w:ascii="宋体" w:hAnsi="宋体" w:cs="宋体"/>
          <w:sz w:val="28"/>
          <w:szCs w:val="28"/>
          <w:highlight w:val="none"/>
          <w:u w:val="single"/>
          <w:shd w:val="clear" w:color="auto" w:fill="FFFFFF"/>
          <w:lang w:bidi="ar"/>
        </w:rPr>
        <w:t xml:space="preserve">    </w:t>
      </w:r>
      <w:r>
        <w:rPr>
          <w:rFonts w:hint="eastAsia" w:ascii="宋体" w:hAnsi="宋体" w:cs="宋体"/>
          <w:sz w:val="28"/>
          <w:szCs w:val="28"/>
          <w:highlight w:val="none"/>
          <w:u w:val="single"/>
          <w:shd w:val="clear" w:color="auto" w:fill="FFFFFF"/>
          <w:lang w:val="en-US" w:eastAsia="zh-CN" w:bidi="ar"/>
        </w:rPr>
        <w:t xml:space="preserve">    </w:t>
      </w:r>
      <w:r>
        <w:rPr>
          <w:rFonts w:hint="eastAsia" w:ascii="宋体" w:hAnsi="宋体" w:cs="宋体"/>
          <w:sz w:val="28"/>
          <w:szCs w:val="28"/>
          <w:highlight w:val="none"/>
          <w:u w:val="single"/>
          <w:shd w:val="clear" w:color="auto" w:fill="FFFFFF"/>
          <w:lang w:bidi="ar"/>
        </w:rPr>
        <w:t xml:space="preserve">   </w:t>
      </w:r>
      <w:r>
        <w:rPr>
          <w:rFonts w:hint="eastAsia" w:ascii="宋体" w:hAnsi="宋体" w:cs="宋体"/>
          <w:sz w:val="28"/>
          <w:szCs w:val="28"/>
          <w:highlight w:val="none"/>
          <w:u w:val="single"/>
          <w:shd w:val="clear" w:color="auto" w:fill="FFFFFF"/>
          <w:lang w:val="en-US" w:eastAsia="zh-CN" w:bidi="ar"/>
        </w:rPr>
        <w:t xml:space="preserve"> </w:t>
      </w:r>
      <w:r>
        <w:rPr>
          <w:rFonts w:hint="eastAsia" w:ascii="宋体" w:hAnsi="宋体" w:cs="宋体"/>
          <w:sz w:val="28"/>
          <w:szCs w:val="28"/>
          <w:highlight w:val="none"/>
          <w:shd w:val="clear" w:color="auto" w:fill="FFFFFF"/>
          <w:lang w:bidi="ar"/>
        </w:rPr>
        <w:t>项目的采购活动，若贵司发出本项目的中标通知书或成交通知书，则视为贵司已完成本项目的全部采购代理工作，我司承诺将按照采购文件约定的标准及时、足额交纳采购代理服务费且贵司的收费不因我司中标（成交）或签约资格被取消等情形受影响。</w:t>
      </w:r>
    </w:p>
    <w:p>
      <w:pPr>
        <w:widowControl/>
        <w:shd w:val="clear" w:color="auto" w:fill="FFFFFF"/>
        <w:ind w:firstLine="560"/>
        <w:jc w:val="left"/>
        <w:rPr>
          <w:rFonts w:ascii="微软雅黑" w:hAnsi="微软雅黑" w:eastAsia="微软雅黑" w:cs="微软雅黑"/>
          <w:szCs w:val="21"/>
          <w:highlight w:val="none"/>
        </w:rPr>
      </w:pPr>
      <w:r>
        <w:rPr>
          <w:rFonts w:hint="eastAsia" w:ascii="宋体" w:hAnsi="宋体" w:cs="宋体"/>
          <w:sz w:val="28"/>
          <w:szCs w:val="28"/>
          <w:highlight w:val="none"/>
          <w:shd w:val="clear" w:color="auto" w:fill="FFFFFF"/>
          <w:lang w:bidi="ar"/>
        </w:rPr>
        <w:t>若违反本承诺，招标人有权根据南方电网公司供应商失信扣分实施细则有关内容对我方进行处罚，我方愿承担由此导致的不利信用评价风险。特此承诺！</w:t>
      </w:r>
    </w:p>
    <w:p>
      <w:pPr>
        <w:widowControl/>
        <w:shd w:val="clear" w:color="auto" w:fill="FFFFFF"/>
        <w:spacing w:line="420" w:lineRule="atLeast"/>
        <w:ind w:firstLine="3388" w:firstLineChars="1210"/>
        <w:jc w:val="left"/>
        <w:rPr>
          <w:rFonts w:ascii="宋体" w:hAnsi="宋体" w:cs="宋体"/>
          <w:color w:val="auto"/>
          <w:sz w:val="28"/>
          <w:szCs w:val="28"/>
          <w:highlight w:val="none"/>
          <w:shd w:val="clear" w:color="auto" w:fill="FFFFFF"/>
          <w:lang w:bidi="ar"/>
        </w:rPr>
      </w:pPr>
      <w:r>
        <w:rPr>
          <w:rFonts w:hint="eastAsia" w:ascii="宋体" w:hAnsi="宋体" w:cs="宋体"/>
          <w:sz w:val="28"/>
          <w:szCs w:val="28"/>
          <w:highlight w:val="none"/>
          <w:shd w:val="clear" w:color="auto" w:fill="FFFFFF"/>
          <w:lang w:bidi="ar"/>
        </w:rPr>
        <w:t>投标人名称：（盖章）</w:t>
      </w:r>
    </w:p>
    <w:p>
      <w:pPr>
        <w:widowControl/>
        <w:shd w:val="clear" w:color="auto" w:fill="FFFFFF"/>
        <w:spacing w:line="420" w:lineRule="atLeast"/>
        <w:ind w:firstLine="3360" w:firstLineChars="1200"/>
        <w:jc w:val="left"/>
        <w:rPr>
          <w:rFonts w:ascii="宋体" w:hAnsi="宋体" w:cs="宋体"/>
          <w:color w:val="auto"/>
          <w:sz w:val="28"/>
          <w:szCs w:val="28"/>
          <w:highlight w:val="none"/>
          <w:shd w:val="clear" w:color="auto" w:fill="FFFFFF"/>
          <w:lang w:bidi="ar"/>
        </w:rPr>
      </w:pPr>
      <w:r>
        <w:rPr>
          <w:rFonts w:hint="eastAsia" w:ascii="宋体" w:hAnsi="宋体" w:cs="宋体"/>
          <w:color w:val="auto"/>
          <w:sz w:val="28"/>
          <w:szCs w:val="28"/>
          <w:highlight w:val="none"/>
          <w:shd w:val="clear" w:color="auto" w:fill="FFFFFF"/>
          <w:lang w:bidi="ar"/>
        </w:rPr>
        <w:t>法定代表人或授权代理人签名：</w:t>
      </w:r>
    </w:p>
    <w:p>
      <w:pPr>
        <w:widowControl/>
        <w:shd w:val="clear" w:color="auto" w:fill="FFFFFF"/>
        <w:spacing w:line="420" w:lineRule="atLeast"/>
        <w:ind w:firstLine="3360" w:firstLineChars="1200"/>
        <w:jc w:val="left"/>
        <w:rPr>
          <w:highlight w:val="none"/>
        </w:rPr>
      </w:pPr>
      <w:r>
        <w:rPr>
          <w:rFonts w:hint="eastAsia" w:ascii="宋体" w:hAnsi="宋体" w:cs="宋体"/>
          <w:color w:val="auto"/>
          <w:sz w:val="28"/>
          <w:szCs w:val="28"/>
          <w:highlight w:val="none"/>
          <w:shd w:val="clear" w:color="auto" w:fill="FFFFFF"/>
          <w:lang w:bidi="ar"/>
        </w:rPr>
        <w:t xml:space="preserve">日 </w:t>
      </w:r>
      <w:r>
        <w:rPr>
          <w:rFonts w:hint="eastAsia" w:ascii="宋体" w:hAnsi="宋体" w:cs="宋体"/>
          <w:color w:val="auto"/>
          <w:sz w:val="28"/>
          <w:szCs w:val="28"/>
          <w:highlight w:val="none"/>
          <w:shd w:val="clear" w:color="auto" w:fill="FFFFFF"/>
          <w:lang w:val="en-US" w:eastAsia="zh-CN" w:bidi="ar"/>
        </w:rPr>
        <w:t xml:space="preserve">    </w:t>
      </w:r>
      <w:r>
        <w:rPr>
          <w:rFonts w:hint="eastAsia" w:ascii="宋体" w:hAnsi="宋体" w:cs="宋体"/>
          <w:color w:val="auto"/>
          <w:sz w:val="28"/>
          <w:szCs w:val="28"/>
          <w:highlight w:val="none"/>
          <w:shd w:val="clear" w:color="auto" w:fill="FFFFFF"/>
          <w:lang w:bidi="ar"/>
        </w:rPr>
        <w:t xml:space="preserve"> 期：</w:t>
      </w:r>
    </w:p>
    <w:p>
      <w:pPr>
        <w:rPr>
          <w:highlight w:val="none"/>
        </w:rPr>
        <w:sectPr>
          <w:pgSz w:w="11906" w:h="16838"/>
          <w:pgMar w:top="1440" w:right="1800" w:bottom="1440" w:left="1800" w:header="851" w:footer="992" w:gutter="0"/>
          <w:pgNumType w:fmt="decimal"/>
          <w:cols w:space="720" w:num="1"/>
          <w:docGrid w:type="lines" w:linePitch="312" w:charSpace="0"/>
        </w:sectPr>
      </w:pPr>
    </w:p>
    <w:p>
      <w:pPr>
        <w:pStyle w:val="8"/>
        <w:numPr>
          <w:ilvl w:val="0"/>
          <w:numId w:val="1"/>
        </w:numPr>
        <w:jc w:val="center"/>
        <w:rPr>
          <w:rFonts w:hint="eastAsia" w:ascii="宋体" w:hAnsi="宋体" w:eastAsia="宋体" w:cs="Times New Roman"/>
          <w:b/>
          <w:bCs/>
          <w:color w:val="auto"/>
          <w:sz w:val="28"/>
          <w:szCs w:val="28"/>
          <w:highlight w:val="none"/>
          <w:lang w:val="en-US" w:eastAsia="zh-CN" w:bidi="ar-SA"/>
        </w:rPr>
      </w:pPr>
      <w:r>
        <w:rPr>
          <w:rFonts w:hint="eastAsia" w:ascii="宋体" w:hAnsi="宋体" w:eastAsia="宋体" w:cs="Times New Roman"/>
          <w:b/>
          <w:bCs/>
          <w:color w:val="auto"/>
          <w:sz w:val="28"/>
          <w:szCs w:val="28"/>
          <w:highlight w:val="none"/>
          <w:lang w:val="en-US" w:eastAsia="zh-CN" w:bidi="ar-SA"/>
        </w:rPr>
        <w:t xml:space="preserve">   发包人要求（另册）</w:t>
      </w:r>
    </w:p>
    <w:p>
      <w:pPr>
        <w:rPr>
          <w:rFonts w:hint="eastAsia"/>
          <w:lang w:val="en-US" w:eastAsia="zh-CN"/>
        </w:rPr>
      </w:pPr>
    </w:p>
    <w:p>
      <w:pPr>
        <w:pStyle w:val="8"/>
        <w:numPr>
          <w:ilvl w:val="0"/>
          <w:numId w:val="1"/>
        </w:numPr>
        <w:jc w:val="center"/>
        <w:rPr>
          <w:rFonts w:hint="eastAsia" w:ascii="宋体" w:hAnsi="宋体" w:eastAsia="宋体" w:cs="Times New Roman"/>
          <w:b/>
          <w:bCs/>
          <w:color w:val="auto"/>
          <w:sz w:val="28"/>
          <w:szCs w:val="28"/>
          <w:highlight w:val="none"/>
          <w:lang w:val="en-US" w:eastAsia="zh-CN" w:bidi="ar-SA"/>
        </w:rPr>
        <w:sectPr>
          <w:pgSz w:w="11906" w:h="16838"/>
          <w:pgMar w:top="1440" w:right="1800" w:bottom="1440" w:left="1800" w:header="851" w:footer="992" w:gutter="0"/>
          <w:pgNumType w:fmt="decimal"/>
          <w:cols w:space="720" w:num="1"/>
          <w:docGrid w:type="lines" w:linePitch="312" w:charSpace="0"/>
        </w:sectPr>
      </w:pPr>
    </w:p>
    <w:p>
      <w:pPr>
        <w:pStyle w:val="8"/>
        <w:numPr>
          <w:ilvl w:val="0"/>
          <w:numId w:val="1"/>
        </w:numPr>
        <w:jc w:val="center"/>
        <w:rPr>
          <w:rFonts w:hint="eastAsia" w:ascii="宋体" w:hAnsi="宋体" w:eastAsia="宋体" w:cs="Times New Roman"/>
          <w:b/>
          <w:bCs/>
          <w:color w:val="auto"/>
          <w:sz w:val="28"/>
          <w:szCs w:val="28"/>
          <w:highlight w:val="none"/>
          <w:lang w:val="en-US" w:eastAsia="zh-CN" w:bidi="ar-SA"/>
        </w:rPr>
      </w:pPr>
      <w:r>
        <w:rPr>
          <w:rFonts w:hint="eastAsia" w:ascii="宋体" w:hAnsi="宋体" w:eastAsia="宋体" w:cs="Times New Roman"/>
          <w:b/>
          <w:bCs/>
          <w:color w:val="auto"/>
          <w:sz w:val="28"/>
          <w:szCs w:val="28"/>
          <w:highlight w:val="none"/>
          <w:lang w:val="en-US" w:eastAsia="zh-CN" w:bidi="ar-SA"/>
        </w:rPr>
        <w:t xml:space="preserve">   合同条款（另册）</w:t>
      </w:r>
    </w:p>
    <w:p>
      <w:pPr>
        <w:rPr>
          <w:rFonts w:hint="eastAsia"/>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宋体 ，Arial">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AVXYVAgAAFQQAAA4AAABkcnMvZTJvRG9jLnhtbK1Ty47TMBTdI/EP&#10;lvc0aQd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mRDOFHZ2+fzv9+HX6+ZVAB4Ba62fw21h4hu6t6bDoQe+hjHN3&#10;lVPxxkQEdkB9vMArukB4DJpOptMcJg7b8ED+7DHcOh/eCaNIFArqsL8EKzusfehdB5dYTZtVI2Xa&#10;odSkLej11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4AVXY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eastAsia="宋体"/>
        <w:lang w:val="en-US" w:eastAsia="zh-CN"/>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yowpk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tWC3I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2DWsU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2zYNaxQCAAAV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eastAsia="宋体"/>
                        <w:lang w:eastAsia="zh-CN"/>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6pebnPAAAABQEAAA8AAAAA&#10;AAAAAQAgAAAAIgAAAGRycy9kb3ducmV2LnhtbFBLAQIUABQAAAAIAIdO4kBN7bTBqwEAAE0DAAAO&#10;AAAAAAAAAAEAIAAAAB4BAABkcnMvZTJvRG9jLnhtbFBLBQYAAAAABgAGAFkBAAA7BQAAAAA=&#10;">
              <v:fill on="f" focussize="0,0"/>
              <v:stroke on="f"/>
              <v:imagedata o:title=""/>
              <o:lock v:ext="edit" aspectratio="f"/>
              <v:textbox inset="0mm,0mm,0mm,0mm" style="mso-fit-shape-to-text:t;">
                <w:txbxContent>
                  <w:p/>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
                            <w:fldChar w:fldCharType="begin"/>
                          </w:r>
                          <w:r>
                            <w:instrText xml:space="preserve"> PAGE  \* MERGEFORMAT </w:instrText>
                          </w:r>
                          <w:r>
                            <w:fldChar w:fldCharType="separate"/>
                          </w:r>
                          <w:r>
                            <w:t>16</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6pebnPAAAABQEAAA8AAAAA&#10;AAAAAQAgAAAAIgAAAGRycy9kb3ducmV2LnhtbFBLAQIUABQAAAAIAIdO4kC5+GB3qwEAAE4DAAAO&#10;AAAAAAAAAAEAIAAAAB4BAABkcnMvZTJvRG9jLnhtbFBLBQYAAAAABgAGAFkBAAA7BQAAAAA=&#10;">
              <v:fill on="f" focussize="0,0"/>
              <v:stroke on="f"/>
              <v:imagedata o:title=""/>
              <o:lock v:ext="edit" aspectratio="f"/>
              <v:textbox inset="0mm,0mm,0mm,0mm" style="mso-fit-shape-to-text:t;">
                <w:txbxContent>
                  <w:p>
                    <w:r>
                      <w:fldChar w:fldCharType="begin"/>
                    </w:r>
                    <w:r>
                      <w:instrText xml:space="preserve"> PAGE  \* MERGEFORMAT </w:instrText>
                    </w:r>
                    <w:r>
                      <w:fldChar w:fldCharType="separate"/>
                    </w:r>
                    <w:r>
                      <w:t>16</w:t>
                    </w:r>
                    <w:r>
                      <w:fldChar w:fldCharType="end"/>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CqS7ABcCAAAVBAAADgAAAAAA&#10;AAABACAAAAAfAQAAZHJzL2Uyb0RvYy54bWxQSwUGAAAAAAYABgBZAQAAqA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23</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945"/>
      </w:tabs>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D2kG8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D2kG8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23</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posOffset>2993390</wp:posOffset>
              </wp:positionH>
              <wp:positionV relativeFrom="paragraph">
                <wp:posOffset>6350</wp:posOffset>
              </wp:positionV>
              <wp:extent cx="133350" cy="29337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33350" cy="293370"/>
                      </a:xfrm>
                      <a:prstGeom prst="rect">
                        <a:avLst/>
                      </a:prstGeom>
                      <a:noFill/>
                      <a:ln>
                        <a:noFill/>
                      </a:ln>
                      <a:effectLst/>
                    </wps:spPr>
                    <wps:txbx>
                      <w:txbxContent>
                        <w:p>
                          <w:pPr>
                            <w:rPr>
                              <w:lang w:val="en-US"/>
                            </w:rPr>
                          </w:pPr>
                        </w:p>
                        <w:p/>
                      </w:txbxContent>
                    </wps:txbx>
                    <wps:bodyPr wrap="square" lIns="0" tIns="0" rIns="0" bIns="0">
                      <a:noAutofit/>
                    </wps:bodyPr>
                  </wps:wsp>
                </a:graphicData>
              </a:graphic>
            </wp:anchor>
          </w:drawing>
        </mc:Choice>
        <mc:Fallback>
          <w:pict>
            <v:shape id="_x0000_s1026" o:spid="_x0000_s1026" o:spt="202" type="#_x0000_t202" style="position:absolute;left:0pt;margin-left:235.7pt;margin-top:0.5pt;height:23.1pt;width:10.5pt;mso-position-horizontal-relative:margin;z-index:251663360;mso-width-relative:page;mso-height-relative:page;" filled="f" stroked="f" coordsize="21600,21600" o:gfxdata="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4Crge&#10;1AAAAAgBAAAPAAAAAAAAAAEAIAAAACIAAABkcnMvZG93bnJldi54bWxQSwECFAAUAAAACACHTuJA&#10;dgmMALMBAABPAwAADgAAAAAAAAABACAAAAAjAQAAZHJzL2Uyb0RvYy54bWxQSwUGAAAAAAYABgBZ&#10;AQAASAUAAAAA&#10;">
              <v:fill on="f" focussize="0,0"/>
              <v:stroke on="f"/>
              <v:imagedata o:title=""/>
              <o:lock v:ext="edit" aspectratio="f"/>
              <v:textbox inset="0mm,0mm,0mm,0mm">
                <w:txbxContent>
                  <w:p>
                    <w:pPr>
                      <w:rPr>
                        <w:lang w:val="en-US"/>
                      </w:rPr>
                    </w:pPr>
                  </w:p>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49362D"/>
    <w:multiLevelType w:val="singleLevel"/>
    <w:tmpl w:val="8749362D"/>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OWU3MWU4ZDQ0YjIyMDFkMWFiZDIwMThiMzQ1NmYifQ=="/>
  </w:docVars>
  <w:rsids>
    <w:rsidRoot w:val="00AD0FAE"/>
    <w:rsid w:val="000B66E1"/>
    <w:rsid w:val="000F103E"/>
    <w:rsid w:val="0014337B"/>
    <w:rsid w:val="001F0B5D"/>
    <w:rsid w:val="003005E1"/>
    <w:rsid w:val="00302476"/>
    <w:rsid w:val="003228C0"/>
    <w:rsid w:val="00324FC9"/>
    <w:rsid w:val="0037307F"/>
    <w:rsid w:val="004966A8"/>
    <w:rsid w:val="00586086"/>
    <w:rsid w:val="005A0BF9"/>
    <w:rsid w:val="005D6201"/>
    <w:rsid w:val="00686571"/>
    <w:rsid w:val="0078757C"/>
    <w:rsid w:val="007B5594"/>
    <w:rsid w:val="00823A96"/>
    <w:rsid w:val="008E5BB7"/>
    <w:rsid w:val="008F1BA6"/>
    <w:rsid w:val="00997018"/>
    <w:rsid w:val="00A60DC6"/>
    <w:rsid w:val="00AD0FAE"/>
    <w:rsid w:val="00C26789"/>
    <w:rsid w:val="00C40AAC"/>
    <w:rsid w:val="00EE4042"/>
    <w:rsid w:val="00F44E51"/>
    <w:rsid w:val="00FC2053"/>
    <w:rsid w:val="00FD0E3A"/>
    <w:rsid w:val="01065EE2"/>
    <w:rsid w:val="016B5358"/>
    <w:rsid w:val="017C5DE7"/>
    <w:rsid w:val="01F46D8A"/>
    <w:rsid w:val="02556647"/>
    <w:rsid w:val="03035E55"/>
    <w:rsid w:val="036D57F5"/>
    <w:rsid w:val="03CE63C5"/>
    <w:rsid w:val="03EA5D7A"/>
    <w:rsid w:val="044F7539"/>
    <w:rsid w:val="048D2D30"/>
    <w:rsid w:val="04BE0062"/>
    <w:rsid w:val="04D13579"/>
    <w:rsid w:val="04E142F5"/>
    <w:rsid w:val="04EE0B7C"/>
    <w:rsid w:val="0518556B"/>
    <w:rsid w:val="059F1187"/>
    <w:rsid w:val="05A05253"/>
    <w:rsid w:val="05A2418D"/>
    <w:rsid w:val="06DC3D82"/>
    <w:rsid w:val="07354C67"/>
    <w:rsid w:val="073E3C4A"/>
    <w:rsid w:val="07FB52C8"/>
    <w:rsid w:val="08707E56"/>
    <w:rsid w:val="09147CAE"/>
    <w:rsid w:val="09441E1F"/>
    <w:rsid w:val="0A922DCD"/>
    <w:rsid w:val="0ADA52E2"/>
    <w:rsid w:val="0ADF3EB5"/>
    <w:rsid w:val="0B263B49"/>
    <w:rsid w:val="0B6D7BF5"/>
    <w:rsid w:val="0B974CAB"/>
    <w:rsid w:val="0C851469"/>
    <w:rsid w:val="0CB1040B"/>
    <w:rsid w:val="0CFF3D7D"/>
    <w:rsid w:val="0D61263C"/>
    <w:rsid w:val="0D6404CF"/>
    <w:rsid w:val="0D7C63ED"/>
    <w:rsid w:val="0D873F21"/>
    <w:rsid w:val="0FD03A53"/>
    <w:rsid w:val="103A32FC"/>
    <w:rsid w:val="10996959"/>
    <w:rsid w:val="10C53D0B"/>
    <w:rsid w:val="1175023B"/>
    <w:rsid w:val="1177138D"/>
    <w:rsid w:val="11893C29"/>
    <w:rsid w:val="119D1273"/>
    <w:rsid w:val="120F3DB3"/>
    <w:rsid w:val="121972A7"/>
    <w:rsid w:val="124B1CD5"/>
    <w:rsid w:val="126A352A"/>
    <w:rsid w:val="126D3B9A"/>
    <w:rsid w:val="127009E8"/>
    <w:rsid w:val="12FD23F7"/>
    <w:rsid w:val="131C11EF"/>
    <w:rsid w:val="13D4759E"/>
    <w:rsid w:val="1412675B"/>
    <w:rsid w:val="141F6BC2"/>
    <w:rsid w:val="146A2E0D"/>
    <w:rsid w:val="154C47A9"/>
    <w:rsid w:val="159E5931"/>
    <w:rsid w:val="15C57B03"/>
    <w:rsid w:val="15D47ADF"/>
    <w:rsid w:val="15EB23DF"/>
    <w:rsid w:val="166602C5"/>
    <w:rsid w:val="1747402E"/>
    <w:rsid w:val="17B80140"/>
    <w:rsid w:val="17D13100"/>
    <w:rsid w:val="185C7C25"/>
    <w:rsid w:val="186F47F6"/>
    <w:rsid w:val="18721152"/>
    <w:rsid w:val="187F41B0"/>
    <w:rsid w:val="18A743B4"/>
    <w:rsid w:val="190D0839"/>
    <w:rsid w:val="192C3753"/>
    <w:rsid w:val="19593CDE"/>
    <w:rsid w:val="198F5117"/>
    <w:rsid w:val="199D11A0"/>
    <w:rsid w:val="1A6A6195"/>
    <w:rsid w:val="1AF76A4D"/>
    <w:rsid w:val="1B231BAC"/>
    <w:rsid w:val="1B5076CF"/>
    <w:rsid w:val="1B5A2844"/>
    <w:rsid w:val="1B980868"/>
    <w:rsid w:val="1BD52351"/>
    <w:rsid w:val="1BE41D60"/>
    <w:rsid w:val="1CE53A37"/>
    <w:rsid w:val="1CE77AFC"/>
    <w:rsid w:val="1D647FB3"/>
    <w:rsid w:val="1D8A0382"/>
    <w:rsid w:val="1DA752D8"/>
    <w:rsid w:val="1E0B12E6"/>
    <w:rsid w:val="1E1F6082"/>
    <w:rsid w:val="1E2A7FB0"/>
    <w:rsid w:val="1E6C047D"/>
    <w:rsid w:val="1F532C08"/>
    <w:rsid w:val="1F6B59E2"/>
    <w:rsid w:val="1F8B2955"/>
    <w:rsid w:val="1F8D4638"/>
    <w:rsid w:val="1FAD2D54"/>
    <w:rsid w:val="20990AF0"/>
    <w:rsid w:val="2157432F"/>
    <w:rsid w:val="216371C7"/>
    <w:rsid w:val="21CA2D40"/>
    <w:rsid w:val="21DC2E9D"/>
    <w:rsid w:val="22174CB7"/>
    <w:rsid w:val="225D3D09"/>
    <w:rsid w:val="22AF106A"/>
    <w:rsid w:val="236620FD"/>
    <w:rsid w:val="236A1012"/>
    <w:rsid w:val="23BC6DDD"/>
    <w:rsid w:val="2402420F"/>
    <w:rsid w:val="24D4647E"/>
    <w:rsid w:val="25461625"/>
    <w:rsid w:val="25AE27DD"/>
    <w:rsid w:val="261110D5"/>
    <w:rsid w:val="26622CE0"/>
    <w:rsid w:val="267A43F7"/>
    <w:rsid w:val="26D66A8B"/>
    <w:rsid w:val="27890A79"/>
    <w:rsid w:val="27A640C5"/>
    <w:rsid w:val="27B67F97"/>
    <w:rsid w:val="282113C0"/>
    <w:rsid w:val="283B6636"/>
    <w:rsid w:val="284F2121"/>
    <w:rsid w:val="28562DBC"/>
    <w:rsid w:val="28A617BC"/>
    <w:rsid w:val="28CA2574"/>
    <w:rsid w:val="291C6BDE"/>
    <w:rsid w:val="2A176A32"/>
    <w:rsid w:val="2A3A2976"/>
    <w:rsid w:val="2A5A6B4C"/>
    <w:rsid w:val="2B987C06"/>
    <w:rsid w:val="2BF871E1"/>
    <w:rsid w:val="2C321C11"/>
    <w:rsid w:val="2C58543C"/>
    <w:rsid w:val="2D1B2318"/>
    <w:rsid w:val="2D704670"/>
    <w:rsid w:val="2DB40A20"/>
    <w:rsid w:val="2DF651C0"/>
    <w:rsid w:val="2E8C14A3"/>
    <w:rsid w:val="2F1F1691"/>
    <w:rsid w:val="2F3A7B8C"/>
    <w:rsid w:val="2F3D5723"/>
    <w:rsid w:val="2F7B43A1"/>
    <w:rsid w:val="30B839EF"/>
    <w:rsid w:val="31010F8E"/>
    <w:rsid w:val="31036960"/>
    <w:rsid w:val="31187D59"/>
    <w:rsid w:val="314A2ECF"/>
    <w:rsid w:val="31A76A4F"/>
    <w:rsid w:val="31B26D92"/>
    <w:rsid w:val="32424347"/>
    <w:rsid w:val="337E3B46"/>
    <w:rsid w:val="337F1505"/>
    <w:rsid w:val="33C4010F"/>
    <w:rsid w:val="33C73392"/>
    <w:rsid w:val="33D20E9B"/>
    <w:rsid w:val="34BA1D14"/>
    <w:rsid w:val="35061359"/>
    <w:rsid w:val="355E3972"/>
    <w:rsid w:val="35A239ED"/>
    <w:rsid w:val="35C257FA"/>
    <w:rsid w:val="36314875"/>
    <w:rsid w:val="38157585"/>
    <w:rsid w:val="381618EB"/>
    <w:rsid w:val="385A1D0C"/>
    <w:rsid w:val="395900C0"/>
    <w:rsid w:val="39E075D5"/>
    <w:rsid w:val="3ABC1F67"/>
    <w:rsid w:val="3AEB129D"/>
    <w:rsid w:val="3AF86DBF"/>
    <w:rsid w:val="3B0A10FF"/>
    <w:rsid w:val="3B156E3F"/>
    <w:rsid w:val="3B196E43"/>
    <w:rsid w:val="3B1A6246"/>
    <w:rsid w:val="3B6641B3"/>
    <w:rsid w:val="3B7878C2"/>
    <w:rsid w:val="3B814313"/>
    <w:rsid w:val="3BA849F8"/>
    <w:rsid w:val="3BDE0759"/>
    <w:rsid w:val="3BFB3CEC"/>
    <w:rsid w:val="3C39335B"/>
    <w:rsid w:val="3C6B3582"/>
    <w:rsid w:val="3D40432B"/>
    <w:rsid w:val="3DFD3B43"/>
    <w:rsid w:val="3E4701E7"/>
    <w:rsid w:val="3EA11205"/>
    <w:rsid w:val="3F5D59AE"/>
    <w:rsid w:val="3FBB0EF9"/>
    <w:rsid w:val="40514364"/>
    <w:rsid w:val="40B1554A"/>
    <w:rsid w:val="41551736"/>
    <w:rsid w:val="417669D5"/>
    <w:rsid w:val="42132978"/>
    <w:rsid w:val="4225662E"/>
    <w:rsid w:val="42795AEE"/>
    <w:rsid w:val="428601E0"/>
    <w:rsid w:val="4307077A"/>
    <w:rsid w:val="43163DB6"/>
    <w:rsid w:val="434A4B33"/>
    <w:rsid w:val="44421188"/>
    <w:rsid w:val="44546AF4"/>
    <w:rsid w:val="44BB67A7"/>
    <w:rsid w:val="44E26E4B"/>
    <w:rsid w:val="44F12965"/>
    <w:rsid w:val="45C637A6"/>
    <w:rsid w:val="45CE1425"/>
    <w:rsid w:val="45FC4E32"/>
    <w:rsid w:val="46415969"/>
    <w:rsid w:val="465046A5"/>
    <w:rsid w:val="46546AB8"/>
    <w:rsid w:val="46F97308"/>
    <w:rsid w:val="474A3DF2"/>
    <w:rsid w:val="4790722D"/>
    <w:rsid w:val="479C4F1B"/>
    <w:rsid w:val="47CA64A5"/>
    <w:rsid w:val="47CD6DE4"/>
    <w:rsid w:val="48614869"/>
    <w:rsid w:val="48D843C8"/>
    <w:rsid w:val="49524EB1"/>
    <w:rsid w:val="496B4113"/>
    <w:rsid w:val="49934085"/>
    <w:rsid w:val="4A4C4CE4"/>
    <w:rsid w:val="4B152F8D"/>
    <w:rsid w:val="4B3E665E"/>
    <w:rsid w:val="4B417E59"/>
    <w:rsid w:val="4BD33374"/>
    <w:rsid w:val="4C2E7F6E"/>
    <w:rsid w:val="4CDB07BF"/>
    <w:rsid w:val="4D034F3D"/>
    <w:rsid w:val="4D0A5FAB"/>
    <w:rsid w:val="4D6558DC"/>
    <w:rsid w:val="4D7C2004"/>
    <w:rsid w:val="4E0760CB"/>
    <w:rsid w:val="4E856AB6"/>
    <w:rsid w:val="4EA45428"/>
    <w:rsid w:val="4EBB6865"/>
    <w:rsid w:val="4F6916FA"/>
    <w:rsid w:val="4F962C98"/>
    <w:rsid w:val="4FD028FF"/>
    <w:rsid w:val="50AD3DF4"/>
    <w:rsid w:val="50B07002"/>
    <w:rsid w:val="50BA0997"/>
    <w:rsid w:val="51206453"/>
    <w:rsid w:val="51983F1F"/>
    <w:rsid w:val="51B54CDF"/>
    <w:rsid w:val="51D556F8"/>
    <w:rsid w:val="51EC5244"/>
    <w:rsid w:val="52390EA2"/>
    <w:rsid w:val="52863EE9"/>
    <w:rsid w:val="52A86D1D"/>
    <w:rsid w:val="53760A0B"/>
    <w:rsid w:val="53B03A05"/>
    <w:rsid w:val="53EC2ED6"/>
    <w:rsid w:val="54063132"/>
    <w:rsid w:val="54622BBB"/>
    <w:rsid w:val="54654022"/>
    <w:rsid w:val="54654469"/>
    <w:rsid w:val="550B441A"/>
    <w:rsid w:val="553308E7"/>
    <w:rsid w:val="553315C4"/>
    <w:rsid w:val="55585AF0"/>
    <w:rsid w:val="55A32176"/>
    <w:rsid w:val="55B14F96"/>
    <w:rsid w:val="56A87D95"/>
    <w:rsid w:val="56B70DA4"/>
    <w:rsid w:val="56F90375"/>
    <w:rsid w:val="5997095A"/>
    <w:rsid w:val="5A8B2A7D"/>
    <w:rsid w:val="5B411EA3"/>
    <w:rsid w:val="5B66702F"/>
    <w:rsid w:val="5BFF1B33"/>
    <w:rsid w:val="5C0E5F0A"/>
    <w:rsid w:val="5CB9413C"/>
    <w:rsid w:val="5D976F70"/>
    <w:rsid w:val="5DBC6DB1"/>
    <w:rsid w:val="5F3B7B6C"/>
    <w:rsid w:val="5F503893"/>
    <w:rsid w:val="604F0C3A"/>
    <w:rsid w:val="6056116B"/>
    <w:rsid w:val="605C5039"/>
    <w:rsid w:val="606D4729"/>
    <w:rsid w:val="607B134B"/>
    <w:rsid w:val="60C64EF2"/>
    <w:rsid w:val="60D56020"/>
    <w:rsid w:val="613F38B6"/>
    <w:rsid w:val="61561C50"/>
    <w:rsid w:val="618D5EB4"/>
    <w:rsid w:val="618F19E3"/>
    <w:rsid w:val="61A90CDA"/>
    <w:rsid w:val="61AD053C"/>
    <w:rsid w:val="62370CE1"/>
    <w:rsid w:val="628757AD"/>
    <w:rsid w:val="628F12AD"/>
    <w:rsid w:val="62A26435"/>
    <w:rsid w:val="62BF4D98"/>
    <w:rsid w:val="6335093D"/>
    <w:rsid w:val="63530C7D"/>
    <w:rsid w:val="63550A2E"/>
    <w:rsid w:val="63C31284"/>
    <w:rsid w:val="640A0788"/>
    <w:rsid w:val="642768D6"/>
    <w:rsid w:val="659E3183"/>
    <w:rsid w:val="662129CE"/>
    <w:rsid w:val="669D5B3A"/>
    <w:rsid w:val="6723714F"/>
    <w:rsid w:val="6731231E"/>
    <w:rsid w:val="67A828D8"/>
    <w:rsid w:val="67C841BF"/>
    <w:rsid w:val="680F3D33"/>
    <w:rsid w:val="68B2385E"/>
    <w:rsid w:val="69162E31"/>
    <w:rsid w:val="69226ABC"/>
    <w:rsid w:val="6925083D"/>
    <w:rsid w:val="692C0416"/>
    <w:rsid w:val="69701FE8"/>
    <w:rsid w:val="699F6C4C"/>
    <w:rsid w:val="69AD39FE"/>
    <w:rsid w:val="69DE2E64"/>
    <w:rsid w:val="6A61375C"/>
    <w:rsid w:val="6AF031DE"/>
    <w:rsid w:val="6B2B4BE9"/>
    <w:rsid w:val="6BB27ED9"/>
    <w:rsid w:val="6BBB3D22"/>
    <w:rsid w:val="6C2424B9"/>
    <w:rsid w:val="6C3F3E5B"/>
    <w:rsid w:val="6C457C66"/>
    <w:rsid w:val="6C735005"/>
    <w:rsid w:val="6CD67F0F"/>
    <w:rsid w:val="6D246606"/>
    <w:rsid w:val="6D495D19"/>
    <w:rsid w:val="6D7340EE"/>
    <w:rsid w:val="6D9B3F45"/>
    <w:rsid w:val="6DC871E2"/>
    <w:rsid w:val="6DE74AAF"/>
    <w:rsid w:val="6E942912"/>
    <w:rsid w:val="6EB47A27"/>
    <w:rsid w:val="6EB92F69"/>
    <w:rsid w:val="6EFB257C"/>
    <w:rsid w:val="6F3460DA"/>
    <w:rsid w:val="6FB740EC"/>
    <w:rsid w:val="6FBE2FE9"/>
    <w:rsid w:val="6FCE09A7"/>
    <w:rsid w:val="70085252"/>
    <w:rsid w:val="7197499B"/>
    <w:rsid w:val="71CA0C94"/>
    <w:rsid w:val="729A009A"/>
    <w:rsid w:val="72D72F0A"/>
    <w:rsid w:val="73423AA8"/>
    <w:rsid w:val="741955DA"/>
    <w:rsid w:val="741C01A0"/>
    <w:rsid w:val="74580434"/>
    <w:rsid w:val="749172E5"/>
    <w:rsid w:val="75131BD0"/>
    <w:rsid w:val="75782183"/>
    <w:rsid w:val="75914CF0"/>
    <w:rsid w:val="76303A1B"/>
    <w:rsid w:val="76376154"/>
    <w:rsid w:val="76A52693"/>
    <w:rsid w:val="774D44F1"/>
    <w:rsid w:val="780E31FA"/>
    <w:rsid w:val="78A4263B"/>
    <w:rsid w:val="78AE249A"/>
    <w:rsid w:val="78F91E4C"/>
    <w:rsid w:val="791931B6"/>
    <w:rsid w:val="79F63EF1"/>
    <w:rsid w:val="7A0E0CEB"/>
    <w:rsid w:val="7A4E4156"/>
    <w:rsid w:val="7ABF75A2"/>
    <w:rsid w:val="7AF52EC8"/>
    <w:rsid w:val="7B2316A8"/>
    <w:rsid w:val="7B2B17F2"/>
    <w:rsid w:val="7C6D0F0E"/>
    <w:rsid w:val="7CAC67AD"/>
    <w:rsid w:val="7CD34358"/>
    <w:rsid w:val="7D4127B0"/>
    <w:rsid w:val="7D817D4B"/>
    <w:rsid w:val="7DEC5929"/>
    <w:rsid w:val="7EB512B2"/>
    <w:rsid w:val="7F9A1050"/>
    <w:rsid w:val="7FA966FF"/>
    <w:rsid w:val="7FB04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cs="Arial"/>
      <w:b/>
      <w:sz w:val="32"/>
      <w:szCs w:val="32"/>
    </w:rPr>
  </w:style>
  <w:style w:type="character" w:default="1" w:styleId="13">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4">
    <w:name w:val="annotation text"/>
    <w:basedOn w:val="1"/>
    <w:qFormat/>
    <w:uiPriority w:val="0"/>
    <w:pPr>
      <w:jc w:val="left"/>
    </w:pPr>
  </w:style>
  <w:style w:type="paragraph" w:styleId="5">
    <w:name w:val="Body Text"/>
    <w:basedOn w:val="6"/>
    <w:next w:val="6"/>
    <w:unhideWhenUsed/>
    <w:qFormat/>
    <w:uiPriority w:val="99"/>
    <w:pPr>
      <w:spacing w:after="120"/>
      <w:jc w:val="both"/>
    </w:pPr>
  </w:style>
  <w:style w:type="paragraph" w:styleId="6">
    <w:name w:val="Title"/>
    <w:basedOn w:val="1"/>
    <w:next w:val="1"/>
    <w:qFormat/>
    <w:uiPriority w:val="0"/>
    <w:pPr>
      <w:adjustRightInd w:val="0"/>
      <w:spacing w:before="240" w:after="60" w:line="420" w:lineRule="atLeast"/>
      <w:jc w:val="center"/>
      <w:textAlignment w:val="baseline"/>
      <w:outlineLvl w:val="0"/>
    </w:pPr>
    <w:rPr>
      <w:rFonts w:ascii="Arial" w:hAnsi="Arial"/>
      <w:b/>
      <w:sz w:val="32"/>
      <w:szCs w:val="20"/>
    </w:rPr>
  </w:style>
  <w:style w:type="paragraph" w:styleId="7">
    <w:name w:val="toc 3"/>
    <w:basedOn w:val="1"/>
    <w:next w:val="1"/>
    <w:qFormat/>
    <w:uiPriority w:val="39"/>
    <w:pPr>
      <w:ind w:left="840" w:leftChars="400"/>
    </w:pPr>
  </w:style>
  <w:style w:type="paragraph" w:styleId="8">
    <w:name w:val="Plain Text"/>
    <w:basedOn w:val="1"/>
    <w:next w:val="1"/>
    <w:qFormat/>
    <w:uiPriority w:val="0"/>
    <w:rPr>
      <w:rFonts w:ascii="等线" w:hAnsi="Courier New" w:eastAsia="等线"/>
      <w:szCs w:val="22"/>
    </w:rPr>
  </w:style>
  <w:style w:type="paragraph" w:styleId="9">
    <w:name w:val="footer"/>
    <w:basedOn w:val="1"/>
    <w:link w:val="19"/>
    <w:qFormat/>
    <w:uiPriority w:val="0"/>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styleId="15">
    <w:name w:val="annotation reference"/>
    <w:basedOn w:val="13"/>
    <w:qFormat/>
    <w:uiPriority w:val="0"/>
    <w:rPr>
      <w:sz w:val="21"/>
      <w:szCs w:val="21"/>
    </w:rPr>
  </w:style>
  <w:style w:type="paragraph" w:customStyle="1" w:styleId="17">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8">
    <w:name w:val="页眉 字符"/>
    <w:basedOn w:val="13"/>
    <w:link w:val="10"/>
    <w:qFormat/>
    <w:uiPriority w:val="0"/>
    <w:rPr>
      <w:sz w:val="18"/>
      <w:szCs w:val="18"/>
    </w:rPr>
  </w:style>
  <w:style w:type="character" w:customStyle="1" w:styleId="19">
    <w:name w:val="页脚 字符"/>
    <w:basedOn w:val="13"/>
    <w:link w:val="9"/>
    <w:qFormat/>
    <w:uiPriority w:val="0"/>
    <w:rPr>
      <w:sz w:val="18"/>
      <w:szCs w:val="18"/>
    </w:rPr>
  </w:style>
  <w:style w:type="paragraph" w:customStyle="1" w:styleId="20">
    <w:name w:val="Revision"/>
    <w:hidden/>
    <w:semiHidden/>
    <w:qFormat/>
    <w:uiPriority w:val="99"/>
    <w:rPr>
      <w:rFonts w:ascii="Times New Roman" w:hAnsi="Times New Roman" w:eastAsia="宋体" w:cs="Times New Roman"/>
      <w:sz w:val="21"/>
      <w:szCs w:val="22"/>
      <w:lang w:val="en-US" w:eastAsia="zh-CN" w:bidi="ar-SA"/>
    </w:rPr>
  </w:style>
  <w:style w:type="paragraph" w:customStyle="1" w:styleId="21">
    <w:name w:val="List Paragraph"/>
    <w:basedOn w:val="1"/>
    <w:qFormat/>
    <w:uiPriority w:val="99"/>
    <w:pPr>
      <w:ind w:firstLine="420" w:firstLineChars="200"/>
    </w:pPr>
  </w:style>
  <w:style w:type="paragraph" w:customStyle="1" w:styleId="22">
    <w:name w:val="章节三"/>
    <w:basedOn w:val="1"/>
    <w:next w:val="1"/>
    <w:qFormat/>
    <w:uiPriority w:val="0"/>
    <w:pPr>
      <w:topLinePunct/>
      <w:adjustRightInd w:val="0"/>
      <w:snapToGrid w:val="0"/>
      <w:spacing w:beforeLines="50" w:afterLines="50"/>
      <w:jc w:val="left"/>
      <w:outlineLvl w:val="2"/>
    </w:pPr>
    <w:rPr>
      <w:rFonts w:ascii="黑体" w:hAnsi="宋体" w:eastAsia="黑体"/>
      <w:b/>
      <w:snapToGrid w:val="0"/>
      <w:spacing w:val="4"/>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79</Pages>
  <Words>7522</Words>
  <Characters>42881</Characters>
  <Lines>357</Lines>
  <Paragraphs>100</Paragraphs>
  <TotalTime>3</TotalTime>
  <ScaleCrop>false</ScaleCrop>
  <LinksUpToDate>false</LinksUpToDate>
  <CharactersWithSpaces>50303</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2023-01-06T02:39:00Z</dcterms:created>
  <dc:creator>wangax</dc:creator>
  <cp:lastModifiedBy>张容</cp:lastModifiedBy>
  <dcterms:modified xsi:type="dcterms:W3CDTF">2023-11-01T12:14:18Z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9687EB2A382C4E6F9B0013DDB3E48E67</vt:lpwstr>
  </property>
</Properties>
</file>