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auto"/>
          <w:spacing w:val="26"/>
          <w:sz w:val="52"/>
          <w:szCs w:val="52"/>
          <w:highlight w:val="none"/>
        </w:rPr>
      </w:pPr>
    </w:p>
    <w:p>
      <w:pPr>
        <w:spacing w:line="360" w:lineRule="auto"/>
        <w:jc w:val="center"/>
        <w:rPr>
          <w:rFonts w:ascii="宋体" w:cs="宋体"/>
          <w:b/>
          <w:bCs/>
          <w:color w:val="auto"/>
          <w:spacing w:val="26"/>
          <w:sz w:val="44"/>
          <w:szCs w:val="44"/>
          <w:highlight w:val="none"/>
        </w:rPr>
      </w:pPr>
      <w:r>
        <w:rPr>
          <w:rFonts w:hint="eastAsia" w:ascii="宋体" w:hAnsi="宋体" w:cs="宋体"/>
          <w:b/>
          <w:bCs/>
          <w:color w:val="auto"/>
          <w:spacing w:val="26"/>
          <w:sz w:val="52"/>
          <w:szCs w:val="52"/>
          <w:highlight w:val="none"/>
        </w:rPr>
        <w:t>沙亭村道路沥青升级改造工程</w:t>
      </w:r>
    </w:p>
    <w:p>
      <w:pPr>
        <w:spacing w:line="360" w:lineRule="auto"/>
        <w:jc w:val="center"/>
        <w:rPr>
          <w:rFonts w:ascii="宋体" w:cs="宋体"/>
          <w:b/>
          <w:bCs/>
          <w:color w:val="auto"/>
          <w:spacing w:val="26"/>
          <w:sz w:val="44"/>
          <w:szCs w:val="44"/>
          <w:highlight w:val="none"/>
        </w:rPr>
      </w:pPr>
    </w:p>
    <w:p>
      <w:pPr>
        <w:spacing w:line="360" w:lineRule="auto"/>
        <w:jc w:val="center"/>
        <w:rPr>
          <w:rFonts w:ascii="宋体" w:cs="宋体"/>
          <w:bCs/>
          <w:color w:val="auto"/>
          <w:spacing w:val="26"/>
          <w:sz w:val="44"/>
          <w:szCs w:val="44"/>
          <w:highlight w:val="none"/>
        </w:rPr>
      </w:pPr>
    </w:p>
    <w:p>
      <w:pPr>
        <w:pStyle w:val="9"/>
        <w:rPr>
          <w:rFonts w:ascii="宋体" w:cs="宋体"/>
          <w:bCs/>
          <w:color w:val="auto"/>
          <w:spacing w:val="26"/>
          <w:sz w:val="44"/>
          <w:szCs w:val="44"/>
          <w:highlight w:val="none"/>
        </w:rPr>
      </w:pPr>
    </w:p>
    <w:p>
      <w:pPr>
        <w:pStyle w:val="9"/>
        <w:rPr>
          <w:rFonts w:ascii="宋体" w:cs="宋体"/>
          <w:bCs/>
          <w:color w:val="auto"/>
          <w:spacing w:val="26"/>
          <w:sz w:val="44"/>
          <w:szCs w:val="44"/>
          <w:highlight w:val="none"/>
        </w:rPr>
      </w:pPr>
    </w:p>
    <w:p>
      <w:pPr>
        <w:pStyle w:val="9"/>
        <w:rPr>
          <w:rFonts w:ascii="宋体" w:cs="宋体"/>
          <w:bCs/>
          <w:color w:val="auto"/>
          <w:spacing w:val="26"/>
          <w:sz w:val="44"/>
          <w:szCs w:val="44"/>
          <w:highlight w:val="none"/>
        </w:rPr>
      </w:pPr>
    </w:p>
    <w:p>
      <w:pPr>
        <w:spacing w:line="360" w:lineRule="auto"/>
        <w:jc w:val="center"/>
        <w:rPr>
          <w:rFonts w:ascii="宋体" w:cs="宋体"/>
          <w:b/>
          <w:bCs/>
          <w:color w:val="auto"/>
          <w:spacing w:val="26"/>
          <w:sz w:val="72"/>
          <w:szCs w:val="72"/>
          <w:highlight w:val="none"/>
        </w:rPr>
      </w:pPr>
      <w:r>
        <w:rPr>
          <w:rFonts w:hint="eastAsia" w:ascii="宋体" w:hAnsi="宋体" w:cs="宋体"/>
          <w:b/>
          <w:bCs/>
          <w:color w:val="auto"/>
          <w:spacing w:val="26"/>
          <w:sz w:val="72"/>
          <w:szCs w:val="72"/>
          <w:highlight w:val="none"/>
        </w:rPr>
        <w:t>招标文件</w:t>
      </w:r>
    </w:p>
    <w:p>
      <w:pPr>
        <w:spacing w:line="360" w:lineRule="auto"/>
        <w:ind w:firstLine="2560" w:firstLineChars="800"/>
        <w:rPr>
          <w:rFonts w:ascii="宋体" w:cs="宋体"/>
          <w:color w:val="auto"/>
          <w:sz w:val="32"/>
          <w:highlight w:val="none"/>
        </w:rPr>
      </w:pPr>
    </w:p>
    <w:p>
      <w:pPr>
        <w:spacing w:line="360" w:lineRule="auto"/>
        <w:ind w:firstLine="2560" w:firstLineChars="800"/>
        <w:rPr>
          <w:rFonts w:ascii="宋体" w:cs="宋体"/>
          <w:color w:val="auto"/>
          <w:sz w:val="32"/>
          <w:highlight w:val="none"/>
        </w:rPr>
      </w:pPr>
    </w:p>
    <w:p>
      <w:pPr>
        <w:spacing w:line="360" w:lineRule="auto"/>
        <w:ind w:firstLine="2560" w:firstLineChars="800"/>
        <w:rPr>
          <w:rFonts w:ascii="宋体" w:cs="宋体"/>
          <w:color w:val="auto"/>
          <w:sz w:val="32"/>
          <w:highlight w:val="none"/>
        </w:rPr>
      </w:pPr>
    </w:p>
    <w:p>
      <w:pPr>
        <w:spacing w:line="360" w:lineRule="auto"/>
        <w:ind w:firstLine="2560" w:firstLineChars="800"/>
        <w:rPr>
          <w:rFonts w:ascii="宋体" w:cs="宋体"/>
          <w:color w:val="auto"/>
          <w:sz w:val="32"/>
          <w:highlight w:val="none"/>
        </w:rPr>
      </w:pPr>
    </w:p>
    <w:p>
      <w:pPr>
        <w:spacing w:line="360" w:lineRule="auto"/>
        <w:ind w:firstLine="2560" w:firstLineChars="800"/>
        <w:rPr>
          <w:rFonts w:ascii="宋体" w:cs="宋体"/>
          <w:color w:val="auto"/>
          <w:sz w:val="32"/>
          <w:highlight w:val="none"/>
        </w:rPr>
      </w:pPr>
    </w:p>
    <w:p>
      <w:pPr>
        <w:spacing w:line="360" w:lineRule="auto"/>
        <w:ind w:firstLine="993" w:firstLineChars="331"/>
        <w:rPr>
          <w:rFonts w:ascii="宋体" w:cs="宋体"/>
          <w:color w:val="auto"/>
          <w:sz w:val="30"/>
          <w:szCs w:val="30"/>
          <w:highlight w:val="none"/>
          <w:u w:val="single"/>
        </w:rPr>
      </w:pPr>
      <w:r>
        <w:rPr>
          <w:rFonts w:hint="eastAsia" w:ascii="宋体" w:hAnsi="宋体" w:cs="宋体"/>
          <w:color w:val="auto"/>
          <w:sz w:val="30"/>
          <w:szCs w:val="30"/>
          <w:highlight w:val="none"/>
        </w:rPr>
        <w:t>招</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标</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单</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位：</w:t>
      </w:r>
      <w:r>
        <w:rPr>
          <w:rFonts w:hint="eastAsia" w:ascii="宋体" w:hAnsi="宋体" w:cs="宋体"/>
          <w:bCs/>
          <w:color w:val="auto"/>
          <w:sz w:val="30"/>
          <w:szCs w:val="30"/>
          <w:highlight w:val="none"/>
          <w:u w:val="single"/>
        </w:rPr>
        <w:t>广州市白云区太和镇人民政府</w:t>
      </w:r>
    </w:p>
    <w:p>
      <w:pPr>
        <w:spacing w:line="360" w:lineRule="auto"/>
        <w:ind w:firstLine="945"/>
        <w:rPr>
          <w:rFonts w:ascii="宋体" w:cs="宋体"/>
          <w:color w:val="auto"/>
          <w:sz w:val="30"/>
          <w:szCs w:val="30"/>
          <w:highlight w:val="none"/>
          <w:u w:val="single"/>
        </w:rPr>
      </w:pPr>
      <w:r>
        <w:rPr>
          <w:rFonts w:hint="eastAsia" w:ascii="宋体" w:hAnsi="宋体" w:cs="宋体"/>
          <w:color w:val="auto"/>
          <w:sz w:val="30"/>
          <w:szCs w:val="30"/>
          <w:highlight w:val="none"/>
        </w:rPr>
        <w:t>招标代理单位：</w:t>
      </w:r>
      <w:r>
        <w:rPr>
          <w:rFonts w:hint="eastAsia" w:ascii="宋体" w:hAnsi="宋体" w:cs="宋体"/>
          <w:bCs/>
          <w:color w:val="auto"/>
          <w:sz w:val="30"/>
          <w:szCs w:val="30"/>
          <w:highlight w:val="none"/>
          <w:u w:val="single"/>
        </w:rPr>
        <w:t>广东宏茂建设管理有限公司</w:t>
      </w:r>
    </w:p>
    <w:p>
      <w:pPr>
        <w:ind w:firstLine="900" w:firstLineChars="300"/>
        <w:rPr>
          <w:rFonts w:ascii="宋体" w:cs="宋体"/>
          <w:color w:val="auto"/>
          <w:sz w:val="30"/>
          <w:szCs w:val="30"/>
          <w:highlight w:val="none"/>
        </w:rPr>
      </w:pPr>
      <w:r>
        <w:rPr>
          <w:rFonts w:hint="eastAsia" w:ascii="宋体" w:hAnsi="宋体" w:cs="宋体"/>
          <w:color w:val="auto"/>
          <w:sz w:val="30"/>
          <w:szCs w:val="30"/>
          <w:highlight w:val="none"/>
        </w:rPr>
        <w:t>日</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期：</w:t>
      </w:r>
      <w:r>
        <w:rPr>
          <w:rFonts w:ascii="宋体" w:hAnsi="宋体" w:cs="宋体"/>
          <w:color w:val="auto"/>
          <w:sz w:val="30"/>
          <w:szCs w:val="30"/>
          <w:highlight w:val="none"/>
          <w:u w:val="single"/>
        </w:rPr>
        <w:t>202</w:t>
      </w:r>
      <w:r>
        <w:rPr>
          <w:rFonts w:hint="eastAsia" w:ascii="宋体" w:hAnsi="宋体" w:cs="宋体"/>
          <w:color w:val="auto"/>
          <w:sz w:val="30"/>
          <w:szCs w:val="30"/>
          <w:highlight w:val="none"/>
          <w:u w:val="single"/>
        </w:rPr>
        <w:t>3</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10</w:t>
      </w:r>
      <w:r>
        <w:rPr>
          <w:rFonts w:hint="eastAsia" w:ascii="宋体" w:hAnsi="宋体" w:cs="宋体"/>
          <w:color w:val="auto"/>
          <w:sz w:val="30"/>
          <w:szCs w:val="30"/>
          <w:highlight w:val="none"/>
        </w:rPr>
        <w:t>月</w:t>
      </w:r>
      <w:r>
        <w:rPr>
          <w:rFonts w:ascii="宋体" w:hAnsi="宋体" w:cs="宋体"/>
          <w:color w:val="auto"/>
          <w:sz w:val="30"/>
          <w:szCs w:val="30"/>
          <w:highlight w:val="none"/>
        </w:rPr>
        <w:t xml:space="preserve">  </w:t>
      </w:r>
    </w:p>
    <w:p>
      <w:pPr>
        <w:ind w:firstLine="900" w:firstLineChars="300"/>
        <w:rPr>
          <w:rFonts w:ascii="宋体" w:cs="宋体"/>
          <w:color w:val="auto"/>
          <w:sz w:val="30"/>
          <w:szCs w:val="30"/>
          <w:highlight w:val="none"/>
        </w:rPr>
      </w:pPr>
    </w:p>
    <w:p>
      <w:pPr>
        <w:ind w:firstLine="900" w:firstLineChars="300"/>
        <w:rPr>
          <w:rFonts w:ascii="宋体" w:cs="宋体"/>
          <w:color w:val="auto"/>
          <w:sz w:val="30"/>
          <w:szCs w:val="30"/>
          <w:highlight w:val="none"/>
        </w:rPr>
      </w:pPr>
      <w:r>
        <w:rPr>
          <w:rFonts w:ascii="宋体" w:hAnsi="宋体" w:cs="宋体"/>
          <w:color w:val="auto"/>
          <w:sz w:val="30"/>
          <w:szCs w:val="30"/>
          <w:highlight w:val="none"/>
        </w:rPr>
        <w:t xml:space="preserve">  </w:t>
      </w:r>
    </w:p>
    <w:p>
      <w:pPr>
        <w:rPr>
          <w:rFonts w:ascii="宋体" w:cs="宋体"/>
          <w:color w:val="auto"/>
          <w:sz w:val="30"/>
          <w:szCs w:val="30"/>
          <w:highlight w:val="none"/>
        </w:rPr>
      </w:pPr>
    </w:p>
    <w:p>
      <w:pPr>
        <w:rPr>
          <w:rFonts w:ascii="宋体" w:cs="宋体"/>
          <w:color w:val="auto"/>
          <w:sz w:val="30"/>
          <w:szCs w:val="30"/>
          <w:highlight w:val="none"/>
        </w:rPr>
      </w:pPr>
    </w:p>
    <w:p>
      <w:pPr>
        <w:rPr>
          <w:rStyle w:val="45"/>
          <w:b/>
          <w:bCs/>
          <w:color w:val="auto"/>
          <w:sz w:val="28"/>
          <w:szCs w:val="28"/>
          <w:highlight w:val="none"/>
        </w:rPr>
      </w:pPr>
      <w:r>
        <w:rPr>
          <w:rStyle w:val="45"/>
          <w:rFonts w:hint="eastAsia"/>
          <w:b/>
          <w:bCs/>
          <w:color w:val="auto"/>
          <w:sz w:val="28"/>
          <w:szCs w:val="28"/>
          <w:highlight w:val="none"/>
        </w:rPr>
        <w:br w:type="page"/>
      </w:r>
    </w:p>
    <w:p>
      <w:pPr>
        <w:jc w:val="center"/>
        <w:rPr>
          <w:rFonts w:ascii="宋体"/>
          <w:b/>
          <w:caps/>
          <w:color w:val="auto"/>
          <w:kern w:val="0"/>
          <w:sz w:val="28"/>
          <w:szCs w:val="28"/>
          <w:highlight w:val="none"/>
        </w:rPr>
      </w:pPr>
      <w:r>
        <w:rPr>
          <w:rStyle w:val="45"/>
          <w:rFonts w:hint="eastAsia"/>
          <w:b/>
          <w:bCs/>
          <w:color w:val="auto"/>
          <w:sz w:val="28"/>
          <w:szCs w:val="28"/>
          <w:highlight w:val="none"/>
        </w:rPr>
        <w:t>目录</w:t>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_Toc28156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_Toc28156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2"/>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_Toc19171 </w:instrText>
      </w:r>
      <w:r>
        <w:rPr>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_Toc19171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2"/>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_Toc9049 </w:instrText>
      </w:r>
      <w:r>
        <w:rPr>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_Toc9049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2"/>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_Toc10410 </w:instrText>
      </w:r>
      <w:r>
        <w:rPr>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_Toc10410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0"/>
        <w:tabs>
          <w:tab w:val="right" w:leader="dot" w:pos="9070"/>
        </w:tabs>
        <w:rPr>
          <w:color w:val="auto"/>
          <w:highlight w:val="none"/>
        </w:rPr>
      </w:pPr>
      <w:r>
        <w:rPr>
          <w:color w:val="auto"/>
          <w:highlight w:val="none"/>
        </w:rPr>
        <w:fldChar w:fldCharType="begin"/>
      </w:r>
      <w:r>
        <w:rPr>
          <w:color w:val="auto"/>
          <w:highlight w:val="none"/>
        </w:rPr>
        <w:instrText xml:space="preserve"> HYPERLINK \l _Toc6156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_Toc6156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0"/>
        <w:tabs>
          <w:tab w:val="right" w:leader="dot" w:pos="9070"/>
        </w:tabs>
        <w:rPr>
          <w:color w:val="auto"/>
          <w:highlight w:val="none"/>
        </w:rPr>
      </w:pPr>
      <w:r>
        <w:rPr>
          <w:color w:val="auto"/>
          <w:highlight w:val="none"/>
        </w:rPr>
        <w:fldChar w:fldCharType="begin"/>
      </w:r>
      <w:r>
        <w:rPr>
          <w:color w:val="auto"/>
          <w:highlight w:val="none"/>
        </w:rPr>
        <w:instrText xml:space="preserve"> HYPERLINK \l _Toc2458 </w:instrText>
      </w:r>
      <w:r>
        <w:rPr>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_Toc2458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0"/>
        <w:tabs>
          <w:tab w:val="right" w:leader="dot" w:pos="9070"/>
        </w:tabs>
        <w:rPr>
          <w:color w:val="auto"/>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_Toc31935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0"/>
        <w:tabs>
          <w:tab w:val="right" w:leader="dot" w:pos="9070"/>
        </w:tabs>
        <w:rPr>
          <w:color w:val="auto"/>
          <w:highlight w:val="none"/>
        </w:rPr>
      </w:pPr>
      <w:r>
        <w:rPr>
          <w:color w:val="auto"/>
          <w:highlight w:val="none"/>
        </w:rPr>
        <w:fldChar w:fldCharType="begin"/>
      </w:r>
      <w:r>
        <w:rPr>
          <w:color w:val="auto"/>
          <w:highlight w:val="none"/>
        </w:rPr>
        <w:instrText xml:space="preserve"> HYPERLINK \l _Toc30478 </w:instrText>
      </w:r>
      <w:r>
        <w:rPr>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_Toc30478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0"/>
        <w:tabs>
          <w:tab w:val="right" w:leader="dot" w:pos="9070"/>
        </w:tabs>
        <w:rPr>
          <w:color w:val="auto"/>
          <w:highlight w:val="none"/>
        </w:rPr>
      </w:pPr>
      <w:r>
        <w:rPr>
          <w:color w:val="auto"/>
          <w:highlight w:val="none"/>
        </w:rPr>
        <w:fldChar w:fldCharType="begin"/>
      </w:r>
      <w:r>
        <w:rPr>
          <w:color w:val="auto"/>
          <w:highlight w:val="none"/>
        </w:rPr>
        <w:instrText xml:space="preserve"> HYPERLINK \l _Toc19291 </w:instrText>
      </w:r>
      <w:r>
        <w:rPr>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_Toc19291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2"/>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_Toc2424 </w:instrText>
      </w:r>
      <w:r>
        <w:rPr>
          <w:color w:val="auto"/>
          <w:highlight w:val="none"/>
        </w:rPr>
        <w:fldChar w:fldCharType="separate"/>
      </w:r>
      <w:r>
        <w:rPr>
          <w:rFonts w:hint="eastAsia"/>
          <w:color w:val="auto"/>
          <w:szCs w:val="28"/>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_Toc2424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32"/>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_Toc20487 </w:instrText>
      </w:r>
      <w:r>
        <w:rPr>
          <w:color w:val="auto"/>
          <w:highlight w:val="none"/>
        </w:rPr>
        <w:fldChar w:fldCharType="separate"/>
      </w:r>
      <w:r>
        <w:rPr>
          <w:rFonts w:hint="eastAsia"/>
          <w:color w:val="auto"/>
          <w:szCs w:val="28"/>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_Toc20487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0"/>
        <w:tabs>
          <w:tab w:val="right" w:leader="dot" w:pos="9070"/>
        </w:tabs>
        <w:rPr>
          <w:color w:val="auto"/>
          <w:highlight w:val="none"/>
        </w:rPr>
      </w:pPr>
      <w:r>
        <w:rPr>
          <w:color w:val="auto"/>
          <w:highlight w:val="none"/>
        </w:rPr>
        <w:fldChar w:fldCharType="begin"/>
      </w:r>
      <w:r>
        <w:rPr>
          <w:color w:val="auto"/>
          <w:highlight w:val="none"/>
        </w:rPr>
        <w:instrText xml:space="preserve"> HYPERLINK \l _Toc9178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_Toc9178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0"/>
        <w:tabs>
          <w:tab w:val="right" w:leader="dot" w:pos="9070"/>
        </w:tabs>
        <w:rPr>
          <w:color w:val="auto"/>
          <w:highlight w:val="none"/>
        </w:rPr>
      </w:pPr>
      <w:r>
        <w:rPr>
          <w:color w:val="auto"/>
          <w:highlight w:val="none"/>
        </w:rPr>
        <w:fldChar w:fldCharType="begin"/>
      </w:r>
      <w:r>
        <w:rPr>
          <w:color w:val="auto"/>
          <w:highlight w:val="none"/>
        </w:rPr>
        <w:instrText xml:space="preserve"> HYPERLINK \l _Toc29515 </w:instrText>
      </w:r>
      <w:r>
        <w:rPr>
          <w:color w:val="auto"/>
          <w:highlight w:val="none"/>
        </w:rPr>
        <w:fldChar w:fldCharType="separate"/>
      </w:r>
      <w:r>
        <w:rPr>
          <w:rFonts w:hint="eastAsia"/>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_Toc29515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0"/>
        <w:tabs>
          <w:tab w:val="right" w:leader="dot" w:pos="9070"/>
        </w:tabs>
        <w:rPr>
          <w:color w:val="auto"/>
          <w:highlight w:val="none"/>
        </w:rPr>
      </w:pPr>
      <w:r>
        <w:rPr>
          <w:color w:val="auto"/>
          <w:highlight w:val="none"/>
        </w:rPr>
        <w:fldChar w:fldCharType="begin"/>
      </w:r>
      <w:r>
        <w:rPr>
          <w:color w:val="auto"/>
          <w:highlight w:val="none"/>
        </w:rPr>
        <w:instrText xml:space="preserve"> HYPERLINK \l _Toc8168 </w:instrText>
      </w:r>
      <w:r>
        <w:rPr>
          <w:color w:val="auto"/>
          <w:highlight w:val="none"/>
        </w:rPr>
        <w:fldChar w:fldCharType="separate"/>
      </w:r>
      <w:r>
        <w:rPr>
          <w:rFonts w:hint="eastAsia"/>
          <w:color w:val="auto"/>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_Toc8168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_Toc5686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_Toc5686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_Toc6158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_Toc6158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_Toc6319 </w:instrText>
      </w:r>
      <w:r>
        <w:rPr>
          <w:color w:val="auto"/>
          <w:highlight w:val="none"/>
        </w:rPr>
        <w:fldChar w:fldCharType="separate"/>
      </w:r>
      <w:r>
        <w:rPr>
          <w:rFonts w:hint="eastAsia"/>
          <w:color w:val="auto"/>
          <w:highlight w:val="none"/>
          <w:lang w:val="en-US" w:eastAsia="zh-CN"/>
        </w:rPr>
        <w:t>第五章  技术条件（工程建设标准）</w:t>
      </w:r>
      <w:r>
        <w:rPr>
          <w:color w:val="auto"/>
          <w:highlight w:val="none"/>
        </w:rPr>
        <w:tab/>
      </w:r>
      <w:r>
        <w:rPr>
          <w:color w:val="auto"/>
          <w:highlight w:val="none"/>
        </w:rPr>
        <w:fldChar w:fldCharType="begin"/>
      </w:r>
      <w:r>
        <w:rPr>
          <w:color w:val="auto"/>
          <w:highlight w:val="none"/>
        </w:rPr>
        <w:instrText xml:space="preserve"> PAGEREF _Toc6319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_Toc9984 </w:instrText>
      </w:r>
      <w:r>
        <w:rPr>
          <w:color w:val="auto"/>
          <w:highlight w:val="none"/>
        </w:rPr>
        <w:fldChar w:fldCharType="separate"/>
      </w:r>
      <w:r>
        <w:rPr>
          <w:rFonts w:hint="eastAsia"/>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_Toc9984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_Toc9055 </w:instrText>
      </w:r>
      <w:r>
        <w:rPr>
          <w:color w:val="auto"/>
          <w:highlight w:val="none"/>
        </w:rPr>
        <w:fldChar w:fldCharType="separate"/>
      </w:r>
      <w:r>
        <w:rPr>
          <w:rFonts w:hint="eastAsia" w:cs="Times New Roman"/>
          <w:color w:val="auto"/>
          <w:szCs w:val="22"/>
          <w:highlight w:val="none"/>
          <w:lang w:val="en-US" w:eastAsia="zh-CN" w:bidi="ar-SA"/>
        </w:rPr>
        <w:t>第七章  工程量清单</w:t>
      </w:r>
      <w:r>
        <w:rPr>
          <w:color w:val="auto"/>
          <w:highlight w:val="none"/>
        </w:rPr>
        <w:tab/>
      </w:r>
      <w:r>
        <w:rPr>
          <w:color w:val="auto"/>
          <w:highlight w:val="none"/>
        </w:rPr>
        <w:fldChar w:fldCharType="begin"/>
      </w:r>
      <w:r>
        <w:rPr>
          <w:color w:val="auto"/>
          <w:highlight w:val="none"/>
        </w:rPr>
        <w:instrText xml:space="preserve"> PAGEREF _Toc9055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_Toc28799 </w:instrText>
      </w:r>
      <w:r>
        <w:rPr>
          <w:color w:val="auto"/>
          <w:highlight w:val="none"/>
        </w:rPr>
        <w:fldChar w:fldCharType="separate"/>
      </w:r>
      <w:r>
        <w:rPr>
          <w:rFonts w:hint="eastAsia" w:cs="Times New Roman"/>
          <w:color w:val="auto"/>
          <w:szCs w:val="22"/>
          <w:highlight w:val="none"/>
          <w:lang w:val="en-US" w:eastAsia="zh-CN" w:bidi="ar-SA"/>
        </w:rPr>
        <w:t>第八章  最高投标限价</w:t>
      </w:r>
      <w:r>
        <w:rPr>
          <w:color w:val="auto"/>
          <w:highlight w:val="none"/>
        </w:rPr>
        <w:tab/>
      </w:r>
      <w:r>
        <w:rPr>
          <w:color w:val="auto"/>
          <w:highlight w:val="none"/>
        </w:rPr>
        <w:fldChar w:fldCharType="begin"/>
      </w:r>
      <w:r>
        <w:rPr>
          <w:color w:val="auto"/>
          <w:highlight w:val="none"/>
        </w:rPr>
        <w:instrText xml:space="preserve"> PAGEREF _Toc28799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keepNext/>
        <w:keepLines/>
        <w:tabs>
          <w:tab w:val="center" w:pos="4535"/>
          <w:tab w:val="left" w:pos="6825"/>
        </w:tabs>
        <w:rPr>
          <w:color w:val="auto"/>
          <w:highlight w:val="none"/>
        </w:rPr>
      </w:pPr>
      <w:r>
        <w:rPr>
          <w:color w:val="auto"/>
          <w:highlight w:val="none"/>
        </w:rPr>
        <w:fldChar w:fldCharType="end"/>
      </w:r>
      <w:bookmarkStart w:id="0" w:name="_Toc2272545"/>
    </w:p>
    <w:p>
      <w:pPr>
        <w:rPr>
          <w:color w:val="auto"/>
          <w:highlight w:val="none"/>
        </w:rPr>
      </w:pPr>
      <w:r>
        <w:rPr>
          <w:color w:val="auto"/>
          <w:highlight w:val="none"/>
        </w:rPr>
        <w:br w:type="page"/>
      </w:r>
    </w:p>
    <w:p>
      <w:pPr>
        <w:pStyle w:val="4"/>
        <w:tabs>
          <w:tab w:val="center" w:pos="4535"/>
          <w:tab w:val="left" w:pos="6825"/>
        </w:tabs>
        <w:jc w:val="center"/>
        <w:rPr>
          <w:color w:val="auto"/>
          <w:highlight w:val="none"/>
        </w:rPr>
      </w:pPr>
      <w:bookmarkStart w:id="1" w:name="_Toc28156"/>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p>
    <w:p>
      <w:pPr>
        <w:pStyle w:val="8"/>
        <w:rPr>
          <w:color w:val="auto"/>
          <w:highlight w:val="none"/>
        </w:rPr>
      </w:pPr>
      <w:bookmarkStart w:id="2" w:name="_Toc2272546"/>
      <w:bookmarkStart w:id="3" w:name="_Toc19171"/>
      <w:r>
        <w:rPr>
          <w:rFonts w:hint="eastAsia"/>
          <w:color w:val="auto"/>
          <w:highlight w:val="none"/>
        </w:rPr>
        <w:t>一、投标须知前附表</w:t>
      </w:r>
      <w:bookmarkEnd w:id="2"/>
      <w:bookmarkEnd w:id="3"/>
    </w:p>
    <w:p>
      <w:pPr>
        <w:pStyle w:val="9"/>
        <w:spacing w:line="360" w:lineRule="auto"/>
        <w:ind w:firstLine="0"/>
        <w:rPr>
          <w:rFonts w:ascii="宋体"/>
          <w:b/>
          <w:color w:val="auto"/>
          <w:sz w:val="24"/>
          <w:szCs w:val="24"/>
          <w:highlight w:val="none"/>
        </w:rPr>
      </w:pPr>
      <w:r>
        <w:rPr>
          <w:rFonts w:hint="eastAsia" w:ascii="宋体" w:hAnsi="宋体"/>
          <w:b/>
          <w:color w:val="auto"/>
          <w:sz w:val="24"/>
          <w:szCs w:val="24"/>
          <w:highlight w:val="none"/>
        </w:rPr>
        <w:t>声明：本投标须知前附表使用</w:t>
      </w:r>
      <w:r>
        <w:rPr>
          <w:rFonts w:ascii="宋体" w:hAnsi="宋体"/>
          <w:b/>
          <w:color w:val="auto"/>
          <w:sz w:val="24"/>
          <w:szCs w:val="24"/>
          <w:highlight w:val="none"/>
        </w:rPr>
        <w:t>GZZB2018-3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8"/>
        <w:tblW w:w="9350"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tcBorders>
            <w:vAlign w:val="center"/>
          </w:tcPr>
          <w:p>
            <w:pPr>
              <w:rPr>
                <w:rFonts w:asci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tcBorders>
            <w:vAlign w:val="center"/>
          </w:tcPr>
          <w:p>
            <w:pPr>
              <w:rPr>
                <w:rFonts w:asci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tcBorders>
            <w:vAlign w:val="center"/>
          </w:tcPr>
          <w:p>
            <w:pPr>
              <w:ind w:firstLine="458"/>
              <w:rPr>
                <w:rFonts w:asci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tcBorders>
            <w:vAlign w:val="center"/>
          </w:tcPr>
          <w:p>
            <w:pPr>
              <w:pStyle w:val="22"/>
              <w:ind w:firstLine="458"/>
              <w:jc w:val="center"/>
              <w:rPr>
                <w:rFonts w:ascii="宋体"/>
                <w:color w:val="auto"/>
                <w:szCs w:val="21"/>
                <w:highlight w:val="none"/>
              </w:rPr>
            </w:pPr>
            <w:r>
              <w:rPr>
                <w:rFonts w:hint="eastAsia" w:ascii="宋体" w:hAnsi="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w:t>
            </w:r>
          </w:p>
        </w:tc>
        <w:tc>
          <w:tcPr>
            <w:tcW w:w="981" w:type="dxa"/>
            <w:vAlign w:val="center"/>
          </w:tcPr>
          <w:p>
            <w:pPr>
              <w:rPr>
                <w:rFonts w:ascii="宋体" w:hAnsi="宋体"/>
                <w:color w:val="auto"/>
                <w:szCs w:val="21"/>
                <w:highlight w:val="none"/>
              </w:rPr>
            </w:pPr>
            <w:r>
              <w:rPr>
                <w:rFonts w:ascii="宋体" w:hAnsi="宋体"/>
                <w:color w:val="auto"/>
                <w:szCs w:val="21"/>
                <w:highlight w:val="none"/>
              </w:rPr>
              <w:t>1</w:t>
            </w:r>
          </w:p>
        </w:tc>
        <w:tc>
          <w:tcPr>
            <w:tcW w:w="1810" w:type="dxa"/>
            <w:vAlign w:val="center"/>
          </w:tcPr>
          <w:p>
            <w:pPr>
              <w:rPr>
                <w:rFonts w:ascii="宋体"/>
                <w:color w:val="auto"/>
                <w:szCs w:val="21"/>
                <w:highlight w:val="none"/>
              </w:rPr>
            </w:pPr>
            <w:r>
              <w:rPr>
                <w:rFonts w:hint="eastAsia" w:ascii="宋体" w:hAnsi="宋体"/>
                <w:color w:val="auto"/>
                <w:szCs w:val="21"/>
                <w:highlight w:val="none"/>
              </w:rPr>
              <w:t>定义</w:t>
            </w:r>
          </w:p>
        </w:tc>
        <w:tc>
          <w:tcPr>
            <w:tcW w:w="5857" w:type="dxa"/>
            <w:vAlign w:val="center"/>
          </w:tcPr>
          <w:p>
            <w:pPr>
              <w:rPr>
                <w:rFonts w:ascii="宋体" w:hAnsi="宋体"/>
                <w:color w:val="auto"/>
                <w:szCs w:val="21"/>
                <w:highlight w:val="none"/>
                <w:u w:val="single"/>
              </w:rPr>
            </w:pPr>
            <w:r>
              <w:rPr>
                <w:rFonts w:hint="eastAsia" w:ascii="宋体" w:hAnsi="宋体"/>
                <w:color w:val="auto"/>
                <w:szCs w:val="21"/>
                <w:highlight w:val="none"/>
              </w:rPr>
              <w:t>招标人（即发包人）：</w:t>
            </w:r>
            <w:r>
              <w:rPr>
                <w:rFonts w:hint="eastAsia" w:ascii="宋体" w:hAnsi="宋体"/>
                <w:color w:val="auto"/>
                <w:szCs w:val="21"/>
                <w:highlight w:val="none"/>
                <w:u w:val="single"/>
              </w:rPr>
              <w:t>广州市白云区太和镇人民政府</w:t>
            </w:r>
          </w:p>
          <w:p>
            <w:pPr>
              <w:rPr>
                <w:color w:val="auto"/>
                <w:highlight w:val="none"/>
              </w:rPr>
            </w:pPr>
            <w:r>
              <w:rPr>
                <w:rFonts w:hint="eastAsia" w:ascii="宋体" w:hAnsi="宋体" w:cs="宋体"/>
                <w:color w:val="auto"/>
                <w:szCs w:val="21"/>
                <w:highlight w:val="none"/>
              </w:rPr>
              <w:t>项目建设管理单位：</w:t>
            </w:r>
            <w:r>
              <w:rPr>
                <w:rFonts w:hint="eastAsia" w:ascii="宋体" w:hAnsi="宋体" w:cs="宋体"/>
                <w:color w:val="auto"/>
                <w:szCs w:val="21"/>
                <w:highlight w:val="none"/>
                <w:u w:val="single"/>
              </w:rPr>
              <w:t xml:space="preserve">      /       </w:t>
            </w:r>
          </w:p>
          <w:p>
            <w:pPr>
              <w:rPr>
                <w:rFonts w:ascii="宋体" w:hAnsi="宋体"/>
                <w:color w:val="auto"/>
                <w:szCs w:val="21"/>
                <w:highlight w:val="none"/>
                <w:u w:val="single"/>
              </w:rPr>
            </w:pPr>
            <w:r>
              <w:rPr>
                <w:rFonts w:hint="eastAsia" w:ascii="宋体" w:hAnsi="宋体"/>
                <w:color w:val="auto"/>
                <w:szCs w:val="21"/>
                <w:highlight w:val="none"/>
              </w:rPr>
              <w:t>招标代理：</w:t>
            </w:r>
            <w:r>
              <w:rPr>
                <w:rFonts w:hint="eastAsia" w:ascii="宋体" w:hAnsi="宋体"/>
                <w:color w:val="auto"/>
                <w:szCs w:val="21"/>
                <w:highlight w:val="none"/>
                <w:u w:val="single"/>
              </w:rPr>
              <w:t>广东宏茂建设管理有限公司</w:t>
            </w:r>
          </w:p>
          <w:p>
            <w:pPr>
              <w:rPr>
                <w:rFonts w:ascii="宋体" w:hAnsi="宋体"/>
                <w:color w:val="auto"/>
                <w:szCs w:val="21"/>
                <w:highlight w:val="none"/>
                <w:u w:val="single"/>
              </w:rPr>
            </w:pPr>
            <w:r>
              <w:rPr>
                <w:rFonts w:hint="eastAsia" w:ascii="宋体" w:hAnsi="宋体"/>
                <w:color w:val="auto"/>
                <w:szCs w:val="21"/>
                <w:highlight w:val="none"/>
              </w:rPr>
              <w:t>设计单位：</w:t>
            </w:r>
            <w:r>
              <w:rPr>
                <w:rFonts w:hint="eastAsia" w:ascii="宋体" w:hAnsi="宋体"/>
                <w:color w:val="auto"/>
                <w:szCs w:val="21"/>
                <w:highlight w:val="none"/>
                <w:u w:val="single"/>
              </w:rPr>
              <w:t>广州市市政集团设计院有限公司</w:t>
            </w:r>
          </w:p>
          <w:p>
            <w:pPr>
              <w:rPr>
                <w:rFonts w:ascii="宋体"/>
                <w:color w:val="auto"/>
                <w:szCs w:val="21"/>
                <w:highlight w:val="none"/>
                <w:u w:val="single"/>
              </w:rPr>
            </w:pPr>
            <w:r>
              <w:rPr>
                <w:rFonts w:hint="eastAsia" w:ascii="宋体" w:hAnsi="宋体"/>
                <w:color w:val="auto"/>
                <w:szCs w:val="21"/>
                <w:highlight w:val="none"/>
              </w:rPr>
              <w:t>监理单位：</w:t>
            </w:r>
            <w:r>
              <w:rPr>
                <w:rFonts w:hint="eastAsia" w:ascii="宋体" w:hAnsi="宋体"/>
                <w:color w:val="auto"/>
                <w:szCs w:val="21"/>
                <w:highlight w:val="none"/>
                <w:u w:val="single"/>
              </w:rPr>
              <w:t xml:space="preserve">    /        </w:t>
            </w:r>
          </w:p>
          <w:p>
            <w:pPr>
              <w:rPr>
                <w:rFonts w:ascii="宋体"/>
                <w:color w:val="auto"/>
                <w:szCs w:val="21"/>
                <w:highlight w:val="none"/>
              </w:rPr>
            </w:pPr>
            <w:r>
              <w:rPr>
                <w:rFonts w:hint="eastAsia" w:ascii="宋体" w:hAnsi="宋体"/>
                <w:color w:val="auto"/>
                <w:szCs w:val="21"/>
                <w:highlight w:val="none"/>
              </w:rPr>
              <w:t>检测机构：</w:t>
            </w:r>
            <w:r>
              <w:rPr>
                <w:rFonts w:ascii="宋体" w:hAnsi="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2</w:t>
            </w:r>
          </w:p>
        </w:tc>
        <w:tc>
          <w:tcPr>
            <w:tcW w:w="981" w:type="dxa"/>
            <w:vAlign w:val="center"/>
          </w:tcPr>
          <w:p>
            <w:pPr>
              <w:rPr>
                <w:rFonts w:ascii="宋体" w:hAnsi="宋体"/>
                <w:color w:val="auto"/>
                <w:szCs w:val="21"/>
                <w:highlight w:val="none"/>
              </w:rPr>
            </w:pPr>
            <w:r>
              <w:rPr>
                <w:rFonts w:ascii="宋体" w:hAnsi="宋体"/>
                <w:color w:val="auto"/>
                <w:szCs w:val="21"/>
                <w:highlight w:val="none"/>
              </w:rPr>
              <w:t>2.2</w:t>
            </w:r>
          </w:p>
        </w:tc>
        <w:tc>
          <w:tcPr>
            <w:tcW w:w="1810" w:type="dxa"/>
            <w:vAlign w:val="center"/>
          </w:tcPr>
          <w:p>
            <w:pPr>
              <w:rPr>
                <w:rFonts w:ascii="宋体"/>
                <w:color w:val="auto"/>
                <w:szCs w:val="21"/>
                <w:highlight w:val="none"/>
              </w:rPr>
            </w:pPr>
            <w:r>
              <w:rPr>
                <w:rFonts w:hint="eastAsia" w:ascii="宋体" w:hAnsi="宋体"/>
                <w:color w:val="auto"/>
                <w:szCs w:val="21"/>
                <w:highlight w:val="none"/>
              </w:rPr>
              <w:t>工程名称</w:t>
            </w:r>
          </w:p>
        </w:tc>
        <w:tc>
          <w:tcPr>
            <w:tcW w:w="5857" w:type="dxa"/>
            <w:vAlign w:val="center"/>
          </w:tcPr>
          <w:p>
            <w:pPr>
              <w:rPr>
                <w:rFonts w:ascii="宋体"/>
                <w:color w:val="auto"/>
                <w:szCs w:val="21"/>
                <w:highlight w:val="none"/>
                <w:u w:val="single"/>
              </w:rPr>
            </w:pPr>
            <w:r>
              <w:rPr>
                <w:rFonts w:hint="eastAsia" w:ascii="宋体" w:hAnsi="宋体"/>
                <w:color w:val="auto"/>
                <w:szCs w:val="21"/>
                <w:highlight w:val="none"/>
                <w:u w:val="single"/>
              </w:rPr>
              <w:t>沙亭村道路沥青升级改造工程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3</w:t>
            </w:r>
          </w:p>
        </w:tc>
        <w:tc>
          <w:tcPr>
            <w:tcW w:w="981" w:type="dxa"/>
            <w:vAlign w:val="center"/>
          </w:tcPr>
          <w:p>
            <w:pPr>
              <w:rPr>
                <w:rFonts w:ascii="宋体" w:hAnsi="宋体"/>
                <w:color w:val="auto"/>
                <w:szCs w:val="21"/>
                <w:highlight w:val="none"/>
              </w:rPr>
            </w:pPr>
            <w:r>
              <w:rPr>
                <w:rFonts w:ascii="宋体" w:hAnsi="宋体"/>
                <w:color w:val="auto"/>
                <w:szCs w:val="21"/>
                <w:highlight w:val="none"/>
              </w:rPr>
              <w:t>2.2</w:t>
            </w:r>
          </w:p>
        </w:tc>
        <w:tc>
          <w:tcPr>
            <w:tcW w:w="1810" w:type="dxa"/>
            <w:vAlign w:val="center"/>
          </w:tcPr>
          <w:p>
            <w:pPr>
              <w:rPr>
                <w:rFonts w:ascii="宋体"/>
                <w:color w:val="auto"/>
                <w:szCs w:val="21"/>
                <w:highlight w:val="none"/>
              </w:rPr>
            </w:pPr>
            <w:r>
              <w:rPr>
                <w:rFonts w:hint="eastAsia" w:ascii="宋体" w:hAnsi="宋体"/>
                <w:color w:val="auto"/>
                <w:szCs w:val="21"/>
                <w:highlight w:val="none"/>
              </w:rPr>
              <w:t>建设地点</w:t>
            </w:r>
          </w:p>
        </w:tc>
        <w:tc>
          <w:tcPr>
            <w:tcW w:w="5857" w:type="dxa"/>
            <w:vAlign w:val="center"/>
          </w:tcPr>
          <w:p>
            <w:pPr>
              <w:rPr>
                <w:rFonts w:ascii="宋体"/>
                <w:color w:val="auto"/>
                <w:szCs w:val="21"/>
                <w:highlight w:val="none"/>
                <w:u w:val="single"/>
              </w:rPr>
            </w:pPr>
            <w:r>
              <w:rPr>
                <w:rFonts w:hint="eastAsia" w:ascii="宋体" w:hAnsi="宋体" w:cs="宋体"/>
                <w:color w:val="auto"/>
                <w:highlight w:val="none"/>
                <w:u w:val="single"/>
              </w:rPr>
              <w:t>详见</w:t>
            </w:r>
            <w:r>
              <w:rPr>
                <w:rFonts w:hint="eastAsia" w:ascii="宋体" w:hAnsi="宋体"/>
                <w:color w:val="auto"/>
                <w:szCs w:val="21"/>
                <w:highlight w:val="none"/>
                <w:u w:val="single"/>
              </w:rPr>
              <w:t>本工程</w:t>
            </w:r>
            <w:r>
              <w:rPr>
                <w:rFonts w:hint="eastAsia" w:ascii="宋体" w:hAnsi="宋体" w:cs="宋体"/>
                <w:color w:val="auto"/>
                <w:highlight w:val="none"/>
                <w:u w:val="single"/>
              </w:rPr>
              <w:t>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4</w:t>
            </w:r>
          </w:p>
        </w:tc>
        <w:tc>
          <w:tcPr>
            <w:tcW w:w="981" w:type="dxa"/>
            <w:vAlign w:val="center"/>
          </w:tcPr>
          <w:p>
            <w:pPr>
              <w:rPr>
                <w:rFonts w:ascii="宋体" w:hAnsi="宋体"/>
                <w:color w:val="auto"/>
                <w:szCs w:val="21"/>
                <w:highlight w:val="none"/>
              </w:rPr>
            </w:pPr>
            <w:r>
              <w:rPr>
                <w:rFonts w:ascii="宋体" w:hAnsi="宋体"/>
                <w:color w:val="auto"/>
                <w:szCs w:val="21"/>
                <w:highlight w:val="none"/>
              </w:rPr>
              <w:t>2.2</w:t>
            </w:r>
          </w:p>
        </w:tc>
        <w:tc>
          <w:tcPr>
            <w:tcW w:w="1810" w:type="dxa"/>
            <w:vAlign w:val="center"/>
          </w:tcPr>
          <w:p>
            <w:pPr>
              <w:rPr>
                <w:rFonts w:ascii="宋体"/>
                <w:color w:val="auto"/>
                <w:szCs w:val="21"/>
                <w:highlight w:val="none"/>
              </w:rPr>
            </w:pPr>
            <w:r>
              <w:rPr>
                <w:rFonts w:hint="eastAsia" w:ascii="宋体" w:hAnsi="宋体"/>
                <w:color w:val="auto"/>
                <w:szCs w:val="21"/>
                <w:highlight w:val="none"/>
              </w:rPr>
              <w:t>建设规模</w:t>
            </w:r>
          </w:p>
        </w:tc>
        <w:tc>
          <w:tcPr>
            <w:tcW w:w="5857" w:type="dxa"/>
            <w:vAlign w:val="center"/>
          </w:tcPr>
          <w:p>
            <w:pPr>
              <w:rPr>
                <w:rFonts w:asci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5</w:t>
            </w:r>
          </w:p>
        </w:tc>
        <w:tc>
          <w:tcPr>
            <w:tcW w:w="981" w:type="dxa"/>
            <w:vAlign w:val="center"/>
          </w:tcPr>
          <w:p>
            <w:pPr>
              <w:rPr>
                <w:rFonts w:ascii="宋体" w:hAnsi="宋体"/>
                <w:color w:val="auto"/>
                <w:szCs w:val="21"/>
                <w:highlight w:val="none"/>
              </w:rPr>
            </w:pPr>
            <w:r>
              <w:rPr>
                <w:rFonts w:ascii="宋体" w:hAnsi="宋体"/>
                <w:color w:val="auto"/>
                <w:szCs w:val="21"/>
                <w:highlight w:val="none"/>
              </w:rPr>
              <w:t>2.2</w:t>
            </w:r>
          </w:p>
        </w:tc>
        <w:tc>
          <w:tcPr>
            <w:tcW w:w="1810" w:type="dxa"/>
            <w:vAlign w:val="center"/>
          </w:tcPr>
          <w:p>
            <w:pPr>
              <w:rPr>
                <w:rFonts w:ascii="宋体"/>
                <w:color w:val="auto"/>
                <w:szCs w:val="21"/>
                <w:highlight w:val="none"/>
              </w:rPr>
            </w:pPr>
            <w:r>
              <w:rPr>
                <w:rFonts w:hint="eastAsia" w:ascii="宋体" w:hAnsi="宋体"/>
                <w:color w:val="auto"/>
                <w:szCs w:val="21"/>
                <w:highlight w:val="none"/>
              </w:rPr>
              <w:t>承包方式</w:t>
            </w:r>
          </w:p>
        </w:tc>
        <w:tc>
          <w:tcPr>
            <w:tcW w:w="5857" w:type="dxa"/>
            <w:vAlign w:val="center"/>
          </w:tcPr>
          <w:p>
            <w:pPr>
              <w:rPr>
                <w:rFonts w:ascii="宋体"/>
                <w:color w:val="auto"/>
                <w:szCs w:val="21"/>
                <w:highlight w:val="none"/>
                <w:u w:val="single"/>
              </w:rPr>
            </w:pPr>
            <w:r>
              <w:rPr>
                <w:rFonts w:hint="eastAsia" w:ascii="宋体" w:hAnsi="宋体"/>
                <w:color w:val="auto"/>
                <w:szCs w:val="21"/>
                <w:highlight w:val="none"/>
                <w:u w:val="single"/>
              </w:rPr>
              <w:t>包工、包料、包工期、包质量、包安全生产、包文明施工、包验收、包保修的承包方式。本工程为综合单价包干，工程量按实结算，</w:t>
            </w:r>
            <w:r>
              <w:rPr>
                <w:rFonts w:hint="eastAsia" w:hAnsi="宋体" w:cs="宋体"/>
                <w:color w:val="auto"/>
                <w:szCs w:val="21"/>
                <w:highlight w:val="none"/>
                <w:u w:val="single"/>
              </w:rPr>
              <w:t>绿色施工</w:t>
            </w:r>
            <w:r>
              <w:rPr>
                <w:rFonts w:hint="eastAsia" w:ascii="宋体" w:hAnsi="宋体" w:cs="宋体"/>
                <w:color w:val="auto"/>
                <w:szCs w:val="21"/>
                <w:highlight w:val="none"/>
                <w:u w:val="single"/>
              </w:rPr>
              <w:t>安全</w:t>
            </w:r>
            <w:r>
              <w:rPr>
                <w:rFonts w:hint="eastAsia" w:hAnsi="宋体" w:cs="宋体"/>
                <w:color w:val="auto"/>
                <w:szCs w:val="21"/>
                <w:highlight w:val="none"/>
                <w:u w:val="single"/>
              </w:rPr>
              <w:t>防护措施</w:t>
            </w:r>
            <w:r>
              <w:rPr>
                <w:rFonts w:hint="eastAsia" w:ascii="宋体" w:hAnsi="宋体" w:cs="宋体"/>
                <w:color w:val="auto"/>
                <w:szCs w:val="21"/>
                <w:highlight w:val="none"/>
                <w:u w:val="single"/>
              </w:rPr>
              <w:t>费总价包干形式</w:t>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6</w:t>
            </w:r>
          </w:p>
        </w:tc>
        <w:tc>
          <w:tcPr>
            <w:tcW w:w="981" w:type="dxa"/>
            <w:vAlign w:val="center"/>
          </w:tcPr>
          <w:p>
            <w:pPr>
              <w:rPr>
                <w:rFonts w:ascii="宋体" w:hAnsi="宋体"/>
                <w:color w:val="auto"/>
                <w:szCs w:val="21"/>
                <w:highlight w:val="none"/>
              </w:rPr>
            </w:pPr>
            <w:r>
              <w:rPr>
                <w:rFonts w:ascii="宋体" w:hAnsi="宋体"/>
                <w:color w:val="auto"/>
                <w:szCs w:val="21"/>
                <w:highlight w:val="none"/>
              </w:rPr>
              <w:t>2.2</w:t>
            </w:r>
          </w:p>
        </w:tc>
        <w:tc>
          <w:tcPr>
            <w:tcW w:w="1810" w:type="dxa"/>
            <w:vAlign w:val="center"/>
          </w:tcPr>
          <w:p>
            <w:pPr>
              <w:rPr>
                <w:rFonts w:ascii="宋体"/>
                <w:color w:val="auto"/>
                <w:szCs w:val="21"/>
                <w:highlight w:val="none"/>
              </w:rPr>
            </w:pPr>
            <w:r>
              <w:rPr>
                <w:rFonts w:hint="eastAsia" w:ascii="宋体" w:hAnsi="宋体"/>
                <w:color w:val="auto"/>
                <w:szCs w:val="21"/>
                <w:highlight w:val="none"/>
              </w:rPr>
              <w:t>质量标准</w:t>
            </w:r>
          </w:p>
        </w:tc>
        <w:tc>
          <w:tcPr>
            <w:tcW w:w="5857" w:type="dxa"/>
            <w:vAlign w:val="center"/>
          </w:tcPr>
          <w:p>
            <w:pPr>
              <w:rPr>
                <w:rFonts w:ascii="宋体"/>
                <w:color w:val="auto"/>
                <w:szCs w:val="21"/>
                <w:highlight w:val="none"/>
                <w:u w:val="single"/>
              </w:rPr>
            </w:pPr>
            <w:r>
              <w:rPr>
                <w:rFonts w:hint="eastAsia" w:ascii="宋体" w:hAnsi="宋体"/>
                <w:color w:val="auto"/>
                <w:szCs w:val="21"/>
                <w:highlight w:val="none"/>
                <w:u w:val="single"/>
              </w:rPr>
              <w:t>合格，具体要求详见合同。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7</w:t>
            </w:r>
          </w:p>
        </w:tc>
        <w:tc>
          <w:tcPr>
            <w:tcW w:w="981" w:type="dxa"/>
            <w:vAlign w:val="center"/>
          </w:tcPr>
          <w:p>
            <w:pPr>
              <w:rPr>
                <w:rFonts w:ascii="宋体" w:hAnsi="宋体"/>
                <w:color w:val="auto"/>
                <w:szCs w:val="21"/>
                <w:highlight w:val="none"/>
              </w:rPr>
            </w:pPr>
            <w:r>
              <w:rPr>
                <w:rFonts w:ascii="宋体" w:hAnsi="宋体"/>
                <w:color w:val="auto"/>
                <w:szCs w:val="21"/>
                <w:highlight w:val="none"/>
              </w:rPr>
              <w:t>2.2</w:t>
            </w:r>
          </w:p>
        </w:tc>
        <w:tc>
          <w:tcPr>
            <w:tcW w:w="1810" w:type="dxa"/>
            <w:vAlign w:val="center"/>
          </w:tcPr>
          <w:p>
            <w:pPr>
              <w:rPr>
                <w:rFonts w:ascii="宋体"/>
                <w:color w:val="auto"/>
                <w:szCs w:val="21"/>
                <w:highlight w:val="none"/>
              </w:rPr>
            </w:pPr>
            <w:r>
              <w:rPr>
                <w:rFonts w:hint="eastAsia" w:ascii="宋体" w:hAnsi="宋体"/>
                <w:color w:val="auto"/>
                <w:szCs w:val="21"/>
                <w:highlight w:val="none"/>
              </w:rPr>
              <w:t>招标范围</w:t>
            </w:r>
          </w:p>
        </w:tc>
        <w:tc>
          <w:tcPr>
            <w:tcW w:w="5857" w:type="dxa"/>
            <w:vAlign w:val="center"/>
          </w:tcPr>
          <w:p>
            <w:pPr>
              <w:rPr>
                <w:rFonts w:asci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8</w:t>
            </w:r>
          </w:p>
        </w:tc>
        <w:tc>
          <w:tcPr>
            <w:tcW w:w="981" w:type="dxa"/>
            <w:vAlign w:val="center"/>
          </w:tcPr>
          <w:p>
            <w:pPr>
              <w:rPr>
                <w:rFonts w:ascii="宋体" w:hAnsi="宋体"/>
                <w:color w:val="auto"/>
                <w:szCs w:val="21"/>
                <w:highlight w:val="none"/>
              </w:rPr>
            </w:pPr>
            <w:r>
              <w:rPr>
                <w:rFonts w:ascii="宋体" w:hAnsi="宋体"/>
                <w:color w:val="auto"/>
                <w:szCs w:val="21"/>
                <w:highlight w:val="none"/>
              </w:rPr>
              <w:t>2.2</w:t>
            </w:r>
          </w:p>
        </w:tc>
        <w:tc>
          <w:tcPr>
            <w:tcW w:w="1810" w:type="dxa"/>
            <w:vAlign w:val="center"/>
          </w:tcPr>
          <w:p>
            <w:pPr>
              <w:rPr>
                <w:rFonts w:ascii="宋体"/>
                <w:color w:val="auto"/>
                <w:szCs w:val="21"/>
                <w:highlight w:val="none"/>
              </w:rPr>
            </w:pPr>
            <w:r>
              <w:rPr>
                <w:rFonts w:hint="eastAsia" w:ascii="宋体" w:hAnsi="宋体"/>
                <w:color w:val="auto"/>
                <w:szCs w:val="21"/>
                <w:highlight w:val="none"/>
              </w:rPr>
              <w:t>工期要求</w:t>
            </w:r>
          </w:p>
        </w:tc>
        <w:tc>
          <w:tcPr>
            <w:tcW w:w="5857" w:type="dxa"/>
            <w:vAlign w:val="center"/>
          </w:tcPr>
          <w:p>
            <w:pPr>
              <w:rPr>
                <w:color w:val="auto"/>
                <w:highlight w:val="none"/>
              </w:rPr>
            </w:pPr>
            <w:r>
              <w:rPr>
                <w:rFonts w:hint="eastAsia" w:ascii="宋体" w:hAnsi="宋体"/>
                <w:color w:val="auto"/>
                <w:szCs w:val="21"/>
                <w:highlight w:val="none"/>
              </w:rPr>
              <w:t>计划施工工期：100日历天，开工日期以开工令为准。</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9</w:t>
            </w:r>
          </w:p>
        </w:tc>
        <w:tc>
          <w:tcPr>
            <w:tcW w:w="981" w:type="dxa"/>
            <w:vAlign w:val="center"/>
          </w:tcPr>
          <w:p>
            <w:pPr>
              <w:rPr>
                <w:rFonts w:ascii="宋体" w:hAnsi="宋体"/>
                <w:color w:val="auto"/>
                <w:szCs w:val="21"/>
                <w:highlight w:val="none"/>
              </w:rPr>
            </w:pPr>
            <w:r>
              <w:rPr>
                <w:rFonts w:ascii="宋体" w:hAnsi="宋体"/>
                <w:color w:val="auto"/>
                <w:szCs w:val="21"/>
                <w:highlight w:val="none"/>
              </w:rPr>
              <w:t>3.1</w:t>
            </w:r>
          </w:p>
        </w:tc>
        <w:tc>
          <w:tcPr>
            <w:tcW w:w="1810" w:type="dxa"/>
            <w:vAlign w:val="center"/>
          </w:tcPr>
          <w:p>
            <w:pPr>
              <w:rPr>
                <w:rFonts w:ascii="宋体"/>
                <w:color w:val="auto"/>
                <w:szCs w:val="21"/>
                <w:highlight w:val="none"/>
              </w:rPr>
            </w:pPr>
            <w:r>
              <w:rPr>
                <w:rFonts w:hint="eastAsia" w:ascii="宋体" w:hAnsi="宋体"/>
                <w:color w:val="auto"/>
                <w:szCs w:val="21"/>
                <w:highlight w:val="none"/>
              </w:rPr>
              <w:t>资金来源</w:t>
            </w:r>
          </w:p>
        </w:tc>
        <w:tc>
          <w:tcPr>
            <w:tcW w:w="5857" w:type="dxa"/>
            <w:vAlign w:val="center"/>
          </w:tcPr>
          <w:p>
            <w:pPr>
              <w:rPr>
                <w:rFonts w:ascii="宋体"/>
                <w:color w:val="auto"/>
                <w:szCs w:val="21"/>
                <w:highlight w:val="none"/>
              </w:rPr>
            </w:pPr>
            <w:r>
              <w:rPr>
                <w:rFonts w:hint="eastAsia" w:ascii="宋体" w:hAnsi="宋体"/>
                <w:color w:val="auto"/>
                <w:szCs w:val="21"/>
                <w:highlight w:val="none"/>
              </w:rPr>
              <w:t>区财政资金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10</w:t>
            </w:r>
          </w:p>
        </w:tc>
        <w:tc>
          <w:tcPr>
            <w:tcW w:w="981" w:type="dxa"/>
            <w:vAlign w:val="center"/>
          </w:tcPr>
          <w:p>
            <w:pPr>
              <w:rPr>
                <w:rFonts w:ascii="宋体" w:hAnsi="宋体"/>
                <w:color w:val="auto"/>
                <w:szCs w:val="21"/>
                <w:highlight w:val="none"/>
              </w:rPr>
            </w:pPr>
            <w:r>
              <w:rPr>
                <w:rFonts w:ascii="宋体" w:hAnsi="宋体"/>
                <w:color w:val="auto"/>
                <w:szCs w:val="21"/>
                <w:highlight w:val="none"/>
              </w:rPr>
              <w:t>4.1</w:t>
            </w:r>
          </w:p>
        </w:tc>
        <w:tc>
          <w:tcPr>
            <w:tcW w:w="1810" w:type="dxa"/>
            <w:vAlign w:val="center"/>
          </w:tcPr>
          <w:p>
            <w:pPr>
              <w:rPr>
                <w:rFonts w:ascii="宋体"/>
                <w:color w:val="auto"/>
                <w:szCs w:val="21"/>
                <w:highlight w:val="none"/>
              </w:rPr>
            </w:pPr>
            <w:r>
              <w:rPr>
                <w:rFonts w:hint="eastAsia" w:ascii="宋体" w:hAnsi="宋体"/>
                <w:color w:val="auto"/>
                <w:szCs w:val="21"/>
                <w:highlight w:val="none"/>
              </w:rPr>
              <w:t>投标人资质等级及项目负责人等级要求</w:t>
            </w:r>
          </w:p>
        </w:tc>
        <w:tc>
          <w:tcPr>
            <w:tcW w:w="5857" w:type="dxa"/>
            <w:vAlign w:val="center"/>
          </w:tcPr>
          <w:p>
            <w:pPr>
              <w:rPr>
                <w:rFonts w:asci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11</w:t>
            </w:r>
          </w:p>
        </w:tc>
        <w:tc>
          <w:tcPr>
            <w:tcW w:w="981" w:type="dxa"/>
            <w:vAlign w:val="center"/>
          </w:tcPr>
          <w:p>
            <w:pPr>
              <w:ind w:firstLine="458"/>
              <w:rPr>
                <w:rFonts w:ascii="宋体"/>
                <w:color w:val="auto"/>
                <w:szCs w:val="21"/>
                <w:highlight w:val="none"/>
              </w:rPr>
            </w:pPr>
          </w:p>
        </w:tc>
        <w:tc>
          <w:tcPr>
            <w:tcW w:w="1810" w:type="dxa"/>
            <w:vAlign w:val="center"/>
          </w:tcPr>
          <w:p>
            <w:pPr>
              <w:rPr>
                <w:rFonts w:ascii="宋体"/>
                <w:color w:val="auto"/>
                <w:szCs w:val="21"/>
                <w:highlight w:val="none"/>
              </w:rPr>
            </w:pPr>
            <w:r>
              <w:rPr>
                <w:rFonts w:hint="eastAsia" w:ascii="宋体" w:hAnsi="宋体"/>
                <w:color w:val="auto"/>
                <w:szCs w:val="21"/>
                <w:highlight w:val="none"/>
              </w:rPr>
              <w:t>资格审查方式</w:t>
            </w:r>
          </w:p>
        </w:tc>
        <w:tc>
          <w:tcPr>
            <w:tcW w:w="5857" w:type="dxa"/>
            <w:vAlign w:val="center"/>
          </w:tcPr>
          <w:p>
            <w:pPr>
              <w:rPr>
                <w:rFonts w:asci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12</w:t>
            </w:r>
          </w:p>
        </w:tc>
        <w:tc>
          <w:tcPr>
            <w:tcW w:w="981" w:type="dxa"/>
            <w:vAlign w:val="center"/>
          </w:tcPr>
          <w:p>
            <w:pPr>
              <w:rPr>
                <w:rFonts w:ascii="宋体" w:hAnsi="宋体"/>
                <w:color w:val="auto"/>
                <w:szCs w:val="21"/>
                <w:highlight w:val="none"/>
              </w:rPr>
            </w:pPr>
            <w:r>
              <w:rPr>
                <w:rFonts w:ascii="宋体" w:hAnsi="宋体"/>
                <w:color w:val="auto"/>
                <w:szCs w:val="21"/>
                <w:highlight w:val="none"/>
              </w:rPr>
              <w:t>13.1</w:t>
            </w:r>
          </w:p>
        </w:tc>
        <w:tc>
          <w:tcPr>
            <w:tcW w:w="1810" w:type="dxa"/>
            <w:vAlign w:val="center"/>
          </w:tcPr>
          <w:p>
            <w:pPr>
              <w:rPr>
                <w:rFonts w:ascii="宋体"/>
                <w:color w:val="auto"/>
                <w:szCs w:val="21"/>
                <w:highlight w:val="none"/>
              </w:rPr>
            </w:pPr>
            <w:r>
              <w:rPr>
                <w:rFonts w:hint="eastAsia" w:ascii="宋体" w:hAnsi="宋体"/>
                <w:color w:val="auto"/>
                <w:szCs w:val="21"/>
                <w:highlight w:val="none"/>
              </w:rPr>
              <w:t>报价以及单价和总价计算方式</w:t>
            </w:r>
          </w:p>
        </w:tc>
        <w:tc>
          <w:tcPr>
            <w:tcW w:w="5857" w:type="dxa"/>
            <w:vAlign w:val="center"/>
          </w:tcPr>
          <w:p>
            <w:pPr>
              <w:rPr>
                <w:rFonts w:ascii="宋体" w:hAnsi="宋体" w:cs="宋体"/>
                <w:color w:val="auto"/>
                <w:szCs w:val="21"/>
                <w:highlight w:val="none"/>
              </w:rPr>
            </w:pPr>
            <w:r>
              <w:rPr>
                <w:rFonts w:hint="eastAsia"/>
                <w:color w:val="auto"/>
                <w:highlight w:val="none"/>
              </w:rPr>
              <w:t>工程量清单计价，按国家、省有关计价规范执行。纳入年度审计项目计划的政府投资项目，审计机关出具的审计结果应当作为该政府投资项目价款结算的依据（适用于纳入年度审计项目计划的项目）</w:t>
            </w:r>
            <w:r>
              <w:rPr>
                <w:rFonts w:hint="eastAsia" w:ascii="宋体" w:hAnsi="宋体" w:cs="宋体"/>
                <w:color w:val="auto"/>
                <w:szCs w:val="21"/>
                <w:highlight w:val="none"/>
              </w:rPr>
              <w:t>。</w:t>
            </w:r>
          </w:p>
          <w:p>
            <w:pPr>
              <w:pStyle w:val="24"/>
              <w:rPr>
                <w:color w:val="auto"/>
                <w:highlight w:val="none"/>
              </w:rPr>
            </w:pPr>
            <w:r>
              <w:rPr>
                <w:rFonts w:hint="eastAsia"/>
                <w:color w:val="auto"/>
                <w:szCs w:val="21"/>
                <w:highlight w:val="none"/>
              </w:rPr>
              <w:t>注：投标人应按照发布的《最高投标限价公布函》（含相关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13</w:t>
            </w:r>
          </w:p>
        </w:tc>
        <w:tc>
          <w:tcPr>
            <w:tcW w:w="981" w:type="dxa"/>
            <w:vAlign w:val="center"/>
          </w:tcPr>
          <w:p>
            <w:pPr>
              <w:rPr>
                <w:rFonts w:ascii="宋体" w:hAnsi="宋体"/>
                <w:color w:val="auto"/>
                <w:szCs w:val="21"/>
                <w:highlight w:val="none"/>
              </w:rPr>
            </w:pPr>
            <w:r>
              <w:rPr>
                <w:rFonts w:ascii="宋体" w:hAnsi="宋体"/>
                <w:color w:val="auto"/>
                <w:szCs w:val="21"/>
                <w:highlight w:val="none"/>
              </w:rPr>
              <w:t>15.1</w:t>
            </w:r>
          </w:p>
        </w:tc>
        <w:tc>
          <w:tcPr>
            <w:tcW w:w="1810" w:type="dxa"/>
            <w:vAlign w:val="center"/>
          </w:tcPr>
          <w:p>
            <w:pPr>
              <w:rPr>
                <w:rFonts w:ascii="宋体"/>
                <w:color w:val="auto"/>
                <w:szCs w:val="21"/>
                <w:highlight w:val="none"/>
              </w:rPr>
            </w:pPr>
            <w:r>
              <w:rPr>
                <w:rFonts w:hint="eastAsia" w:ascii="宋体" w:hAnsi="宋体"/>
                <w:color w:val="auto"/>
                <w:szCs w:val="21"/>
                <w:highlight w:val="none"/>
              </w:rPr>
              <w:t>投标有效期</w:t>
            </w:r>
          </w:p>
        </w:tc>
        <w:tc>
          <w:tcPr>
            <w:tcW w:w="5857" w:type="dxa"/>
            <w:vAlign w:val="center"/>
          </w:tcPr>
          <w:p>
            <w:pPr>
              <w:rPr>
                <w:rFonts w:ascii="宋体"/>
                <w:color w:val="auto"/>
                <w:szCs w:val="21"/>
                <w:highlight w:val="none"/>
                <w:u w:val="single"/>
              </w:rPr>
            </w:pPr>
            <w:r>
              <w:rPr>
                <w:rFonts w:ascii="宋体" w:hAnsi="宋体"/>
                <w:color w:val="auto"/>
                <w:szCs w:val="21"/>
                <w:highlight w:val="none"/>
                <w:u w:val="single"/>
              </w:rPr>
              <w:t>120</w:t>
            </w:r>
            <w:r>
              <w:rPr>
                <w:rFonts w:hint="eastAsia" w:ascii="宋体" w:hAnsi="宋体"/>
                <w:color w:val="auto"/>
                <w:szCs w:val="21"/>
                <w:highlight w:val="none"/>
              </w:rPr>
              <w:t>日历天。（</w:t>
            </w:r>
            <w:r>
              <w:rPr>
                <w:rFonts w:hint="eastAsia" w:ascii="宋体" w:hAnsi="宋体"/>
                <w:color w:val="auto"/>
                <w:szCs w:val="21"/>
                <w:highlight w:val="none"/>
                <w:u w:val="single"/>
              </w:rPr>
              <w:t>从递交投标文件截止之日计起</w:t>
            </w: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14</w:t>
            </w:r>
          </w:p>
        </w:tc>
        <w:tc>
          <w:tcPr>
            <w:tcW w:w="981" w:type="dxa"/>
            <w:vAlign w:val="center"/>
          </w:tcPr>
          <w:p>
            <w:pPr>
              <w:rPr>
                <w:rFonts w:ascii="宋体" w:hAnsi="宋体"/>
                <w:color w:val="auto"/>
                <w:szCs w:val="21"/>
                <w:highlight w:val="none"/>
              </w:rPr>
            </w:pPr>
            <w:r>
              <w:rPr>
                <w:rFonts w:ascii="宋体" w:hAnsi="宋体"/>
                <w:color w:val="auto"/>
                <w:szCs w:val="21"/>
                <w:highlight w:val="none"/>
              </w:rPr>
              <w:t>16.1</w:t>
            </w:r>
          </w:p>
        </w:tc>
        <w:tc>
          <w:tcPr>
            <w:tcW w:w="1810" w:type="dxa"/>
            <w:vAlign w:val="center"/>
          </w:tcPr>
          <w:p>
            <w:pPr>
              <w:rPr>
                <w:rFonts w:ascii="宋体"/>
                <w:color w:val="auto"/>
                <w:szCs w:val="21"/>
                <w:highlight w:val="none"/>
              </w:rPr>
            </w:pPr>
            <w:r>
              <w:rPr>
                <w:rFonts w:hint="eastAsia" w:ascii="宋体" w:hAnsi="宋体"/>
                <w:color w:val="auto"/>
                <w:szCs w:val="21"/>
                <w:highlight w:val="none"/>
              </w:rPr>
              <w:t>投标保证金</w:t>
            </w:r>
          </w:p>
        </w:tc>
        <w:tc>
          <w:tcPr>
            <w:tcW w:w="5857" w:type="dxa"/>
            <w:vAlign w:val="center"/>
          </w:tcPr>
          <w:p>
            <w:pPr>
              <w:jc w:val="left"/>
              <w:rPr>
                <w:rFonts w:ascii="宋体" w:hAnsi="宋体"/>
                <w:color w:val="auto"/>
                <w:szCs w:val="21"/>
                <w:highlight w:val="none"/>
              </w:rPr>
            </w:pPr>
            <w:r>
              <w:rPr>
                <w:rFonts w:hint="eastAsia" w:ascii="宋体" w:hAnsi="宋体"/>
                <w:color w:val="auto"/>
                <w:szCs w:val="21"/>
                <w:highlight w:val="none"/>
              </w:rPr>
              <w:t>是否要求投标人递交投标保证金：</w:t>
            </w:r>
          </w:p>
          <w:p>
            <w:pPr>
              <w:jc w:val="left"/>
              <w:rPr>
                <w:rFonts w:ascii="宋体" w:hAnsi="宋体"/>
                <w:color w:val="auto"/>
                <w:szCs w:val="21"/>
                <w:highlight w:val="none"/>
              </w:rPr>
            </w:pPr>
            <w:r>
              <w:rPr>
                <w:rFonts w:hint="eastAsia" w:ascii="宋体" w:hAnsi="宋体"/>
                <w:color w:val="auto"/>
                <w:szCs w:val="21"/>
                <w:highlight w:val="none"/>
              </w:rPr>
              <w:t>□要求，投标保证金的形式：</w:t>
            </w:r>
          </w:p>
          <w:p>
            <w:pPr>
              <w:jc w:val="left"/>
              <w:rPr>
                <w:rFonts w:ascii="宋体" w:hAnsi="宋体"/>
                <w:color w:val="auto"/>
                <w:szCs w:val="21"/>
                <w:highlight w:val="none"/>
              </w:rPr>
            </w:pPr>
            <w:r>
              <w:rPr>
                <w:rFonts w:hint="eastAsia" w:ascii="宋体" w:hAnsi="宋体"/>
                <w:color w:val="auto"/>
                <w:szCs w:val="21"/>
                <w:highlight w:val="none"/>
              </w:rPr>
              <w:t>投标保证金的金额：</w:t>
            </w:r>
          </w:p>
          <w:p>
            <w:pPr>
              <w:jc w:val="left"/>
              <w:rPr>
                <w:rFonts w:ascii="宋体"/>
                <w:color w:val="auto"/>
                <w:szCs w:val="21"/>
                <w:highlight w:val="none"/>
                <w:u w:val="single"/>
              </w:rPr>
            </w:pPr>
            <w:r>
              <w:rPr>
                <w:rFonts w:hint="eastAsia" w:ascii="宋体" w:hAnsi="宋体"/>
                <w:color w:val="auto"/>
                <w:szCs w:val="21"/>
                <w:highlight w:val="none"/>
              </w:rPr>
              <w:t>■不要求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15</w:t>
            </w:r>
          </w:p>
        </w:tc>
        <w:tc>
          <w:tcPr>
            <w:tcW w:w="981" w:type="dxa"/>
            <w:vAlign w:val="center"/>
          </w:tcPr>
          <w:p>
            <w:pPr>
              <w:rPr>
                <w:rFonts w:ascii="宋体" w:hAnsi="宋体"/>
                <w:color w:val="auto"/>
                <w:szCs w:val="21"/>
                <w:highlight w:val="none"/>
              </w:rPr>
            </w:pPr>
            <w:r>
              <w:rPr>
                <w:rFonts w:ascii="宋体" w:hAnsi="宋体"/>
                <w:color w:val="auto"/>
                <w:szCs w:val="21"/>
                <w:highlight w:val="none"/>
              </w:rPr>
              <w:t>5</w:t>
            </w:r>
          </w:p>
        </w:tc>
        <w:tc>
          <w:tcPr>
            <w:tcW w:w="1810" w:type="dxa"/>
            <w:vAlign w:val="center"/>
          </w:tcPr>
          <w:p>
            <w:pPr>
              <w:rPr>
                <w:rFonts w:ascii="宋体"/>
                <w:color w:val="auto"/>
                <w:szCs w:val="21"/>
                <w:highlight w:val="none"/>
              </w:rPr>
            </w:pPr>
            <w:r>
              <w:rPr>
                <w:rFonts w:hint="eastAsia" w:ascii="宋体" w:hAnsi="宋体"/>
                <w:color w:val="auto"/>
                <w:szCs w:val="21"/>
                <w:highlight w:val="none"/>
              </w:rPr>
              <w:t>踏勘现场</w:t>
            </w:r>
          </w:p>
        </w:tc>
        <w:tc>
          <w:tcPr>
            <w:tcW w:w="5857" w:type="dxa"/>
            <w:vAlign w:val="center"/>
          </w:tcPr>
          <w:p>
            <w:pPr>
              <w:pStyle w:val="22"/>
              <w:widowControl/>
              <w:jc w:val="left"/>
              <w:rPr>
                <w:rFonts w:ascii="宋体" w:hAnsi="宋体"/>
                <w:color w:val="auto"/>
                <w:szCs w:val="21"/>
                <w:highlight w:val="none"/>
                <w:u w:val="single"/>
              </w:rPr>
            </w:pPr>
            <w:r>
              <w:rPr>
                <w:rFonts w:hint="eastAsia" w:ascii="宋体" w:hAnsi="宋体"/>
                <w:color w:val="auto"/>
                <w:szCs w:val="21"/>
                <w:highlight w:val="none"/>
                <w:u w:val="single"/>
              </w:rPr>
              <w:t>招标人不集中组织，由投标人自行踏勘。</w:t>
            </w:r>
            <w:r>
              <w:rPr>
                <w:rFonts w:ascii="宋体" w:hAnsi="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16</w:t>
            </w:r>
          </w:p>
        </w:tc>
        <w:tc>
          <w:tcPr>
            <w:tcW w:w="981" w:type="dxa"/>
            <w:vAlign w:val="center"/>
          </w:tcPr>
          <w:p>
            <w:pPr>
              <w:rPr>
                <w:rFonts w:ascii="宋体" w:hAnsi="宋体"/>
                <w:color w:val="auto"/>
                <w:szCs w:val="21"/>
                <w:highlight w:val="none"/>
              </w:rPr>
            </w:pPr>
            <w:r>
              <w:rPr>
                <w:rFonts w:ascii="宋体" w:hAnsi="宋体"/>
                <w:color w:val="auto"/>
                <w:szCs w:val="21"/>
                <w:highlight w:val="none"/>
              </w:rPr>
              <w:t>8</w:t>
            </w:r>
          </w:p>
        </w:tc>
        <w:tc>
          <w:tcPr>
            <w:tcW w:w="1810" w:type="dxa"/>
            <w:vAlign w:val="center"/>
          </w:tcPr>
          <w:p>
            <w:pPr>
              <w:rPr>
                <w:rFonts w:ascii="宋体"/>
                <w:color w:val="auto"/>
                <w:szCs w:val="21"/>
                <w:highlight w:val="none"/>
              </w:rPr>
            </w:pPr>
            <w:r>
              <w:rPr>
                <w:rFonts w:hint="eastAsia" w:ascii="宋体" w:hAnsi="宋体"/>
                <w:color w:val="auto"/>
                <w:szCs w:val="21"/>
                <w:highlight w:val="none"/>
              </w:rPr>
              <w:t>投标答疑</w:t>
            </w:r>
          </w:p>
        </w:tc>
        <w:tc>
          <w:tcPr>
            <w:tcW w:w="5857" w:type="dxa"/>
            <w:vAlign w:val="center"/>
          </w:tcPr>
          <w:p>
            <w:pPr>
              <w:rPr>
                <w:rFonts w:asci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r>
              <w:rPr>
                <w:rFonts w:hint="eastAsia" w:ascii="宋体" w:hAnsi="宋体"/>
                <w:color w:val="auto"/>
                <w:szCs w:val="21"/>
                <w:highlight w:val="none"/>
                <w:u w:val="single"/>
              </w:rPr>
              <w:t>（递交投标文件截止日期前</w:t>
            </w:r>
            <w:r>
              <w:rPr>
                <w:rFonts w:ascii="宋体" w:hAnsi="宋体"/>
                <w:color w:val="auto"/>
                <w:szCs w:val="21"/>
                <w:highlight w:val="none"/>
                <w:u w:val="single"/>
              </w:rPr>
              <w:t>18</w:t>
            </w:r>
            <w:r>
              <w:rPr>
                <w:rFonts w:hint="eastAsia" w:ascii="宋体" w:hAnsi="宋体"/>
                <w:color w:val="auto"/>
                <w:szCs w:val="21"/>
                <w:highlight w:val="none"/>
                <w:u w:val="single"/>
              </w:rPr>
              <w:t>天）</w:t>
            </w:r>
            <w:r>
              <w:rPr>
                <w:rFonts w:hint="eastAsia" w:ascii="宋体" w:hAnsi="宋体"/>
                <w:color w:val="auto"/>
                <w:szCs w:val="21"/>
                <w:highlight w:val="none"/>
              </w:rPr>
              <w:t>；</w:t>
            </w:r>
            <w:r>
              <w:rPr>
                <w:rFonts w:ascii="宋体" w:hAnsi="宋体"/>
                <w:color w:val="auto"/>
                <w:szCs w:val="21"/>
                <w:highlight w:val="none"/>
              </w:rPr>
              <w:t xml:space="preserve"> </w:t>
            </w:r>
          </w:p>
          <w:p>
            <w:pPr>
              <w:rPr>
                <w:rFonts w:ascii="宋体"/>
                <w:color w:val="auto"/>
                <w:szCs w:val="21"/>
                <w:highlight w:val="none"/>
              </w:rPr>
            </w:pPr>
            <w:r>
              <w:rPr>
                <w:rFonts w:hint="eastAsia" w:ascii="宋体" w:hAnsi="宋体"/>
                <w:color w:val="auto"/>
                <w:szCs w:val="21"/>
                <w:highlight w:val="none"/>
              </w:rPr>
              <w:t>形式：投标人的疑问通过</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交易平台提交。</w:t>
            </w:r>
          </w:p>
          <w:p>
            <w:pPr>
              <w:rPr>
                <w:rFonts w:ascii="宋体"/>
                <w:color w:val="auto"/>
                <w:szCs w:val="21"/>
                <w:highlight w:val="none"/>
                <w:u w:val="single"/>
              </w:rPr>
            </w:pPr>
            <w:r>
              <w:rPr>
                <w:rFonts w:hint="eastAsia" w:ascii="宋体" w:hAnsi="宋体"/>
                <w:color w:val="auto"/>
                <w:szCs w:val="21"/>
                <w:highlight w:val="none"/>
                <w:u w:val="single"/>
              </w:rPr>
              <w:t>招标人澄清、修补或答疑期限：在递交投标文件截止日期前</w:t>
            </w:r>
            <w:r>
              <w:rPr>
                <w:rFonts w:ascii="宋体" w:hAnsi="宋体"/>
                <w:color w:val="auto"/>
                <w:szCs w:val="21"/>
                <w:highlight w:val="none"/>
                <w:u w:val="single"/>
              </w:rPr>
              <w:t xml:space="preserve">15 </w:t>
            </w:r>
            <w:r>
              <w:rPr>
                <w:rFonts w:hint="eastAsia" w:ascii="宋体" w:hAnsi="宋体"/>
                <w:color w:val="auto"/>
                <w:szCs w:val="21"/>
                <w:highlight w:val="none"/>
                <w:u w:val="single"/>
              </w:rPr>
              <w:t>日</w:t>
            </w:r>
          </w:p>
          <w:p>
            <w:pPr>
              <w:rPr>
                <w:rFonts w:asci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rPr>
              <w:t>广州交易集团有限公司（广州公共资源交易中心）网站</w:t>
            </w:r>
            <w:r>
              <w:rPr>
                <w:rFonts w:ascii="宋体" w:hAnsi="宋体"/>
                <w:color w:val="auto"/>
                <w:szCs w:val="21"/>
                <w:highlight w:val="none"/>
                <w:u w:val="single"/>
              </w:rPr>
              <w:t>(http:/ www.gzggzy.cn)</w:t>
            </w:r>
            <w:r>
              <w:rPr>
                <w:rFonts w:hint="eastAsia" w:ascii="宋体" w:hAnsi="宋体"/>
                <w:color w:val="auto"/>
                <w:szCs w:val="21"/>
                <w:highlight w:val="none"/>
                <w:u w:val="single"/>
              </w:rPr>
              <w:t>服务指南栏目</w:t>
            </w:r>
            <w:r>
              <w:rPr>
                <w:rFonts w:hint="eastAsia" w:ascii="宋体" w:hAnsi="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17</w:t>
            </w:r>
          </w:p>
        </w:tc>
        <w:tc>
          <w:tcPr>
            <w:tcW w:w="981" w:type="dxa"/>
            <w:vAlign w:val="center"/>
          </w:tcPr>
          <w:p>
            <w:pPr>
              <w:rPr>
                <w:rFonts w:ascii="宋体" w:hAnsi="宋体"/>
                <w:color w:val="auto"/>
                <w:szCs w:val="21"/>
                <w:highlight w:val="none"/>
              </w:rPr>
            </w:pPr>
            <w:r>
              <w:rPr>
                <w:rFonts w:ascii="宋体" w:hAnsi="宋体"/>
                <w:color w:val="auto"/>
                <w:szCs w:val="21"/>
                <w:highlight w:val="none"/>
              </w:rPr>
              <w:t>20.1</w:t>
            </w:r>
          </w:p>
        </w:tc>
        <w:tc>
          <w:tcPr>
            <w:tcW w:w="1810" w:type="dxa"/>
            <w:vAlign w:val="center"/>
          </w:tcPr>
          <w:p>
            <w:pPr>
              <w:rPr>
                <w:rFonts w:ascii="宋体"/>
                <w:color w:val="auto"/>
                <w:szCs w:val="21"/>
                <w:highlight w:val="none"/>
              </w:rPr>
            </w:pPr>
            <w:r>
              <w:rPr>
                <w:rFonts w:hint="eastAsia" w:ascii="宋体" w:hAnsi="宋体"/>
                <w:color w:val="auto"/>
                <w:szCs w:val="21"/>
                <w:highlight w:val="none"/>
              </w:rPr>
              <w:t>投标截止时间</w:t>
            </w:r>
          </w:p>
        </w:tc>
        <w:tc>
          <w:tcPr>
            <w:tcW w:w="5857" w:type="dxa"/>
            <w:vAlign w:val="center"/>
          </w:tcPr>
          <w:p>
            <w:pPr>
              <w:rPr>
                <w:rFonts w:ascii="宋体"/>
                <w:strike/>
                <w:color w:val="auto"/>
                <w:szCs w:val="21"/>
                <w:highlight w:val="none"/>
              </w:rPr>
            </w:pPr>
            <w:r>
              <w:rPr>
                <w:rFonts w:hint="eastAsia" w:ascii="宋体" w:hAnsi="宋体"/>
                <w:color w:val="auto"/>
                <w:kern w:val="0"/>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18</w:t>
            </w:r>
          </w:p>
        </w:tc>
        <w:tc>
          <w:tcPr>
            <w:tcW w:w="981" w:type="dxa"/>
            <w:vAlign w:val="center"/>
          </w:tcPr>
          <w:p>
            <w:pPr>
              <w:rPr>
                <w:rFonts w:ascii="宋体" w:hAnsi="宋体"/>
                <w:color w:val="auto"/>
                <w:szCs w:val="21"/>
                <w:highlight w:val="none"/>
              </w:rPr>
            </w:pPr>
            <w:r>
              <w:rPr>
                <w:rFonts w:ascii="宋体" w:hAnsi="宋体"/>
                <w:color w:val="auto"/>
                <w:szCs w:val="21"/>
                <w:highlight w:val="none"/>
              </w:rPr>
              <w:t>20.1</w:t>
            </w:r>
          </w:p>
        </w:tc>
        <w:tc>
          <w:tcPr>
            <w:tcW w:w="1810" w:type="dxa"/>
            <w:vAlign w:val="center"/>
          </w:tcPr>
          <w:p>
            <w:pPr>
              <w:rPr>
                <w:rFonts w:ascii="宋体"/>
                <w:color w:val="auto"/>
                <w:szCs w:val="21"/>
                <w:highlight w:val="none"/>
              </w:rPr>
            </w:pPr>
            <w:r>
              <w:rPr>
                <w:rFonts w:hint="eastAsia" w:ascii="宋体" w:hAnsi="宋体"/>
                <w:color w:val="auto"/>
                <w:szCs w:val="21"/>
                <w:highlight w:val="none"/>
              </w:rPr>
              <w:t>开标开始时间和地点</w:t>
            </w:r>
          </w:p>
        </w:tc>
        <w:tc>
          <w:tcPr>
            <w:tcW w:w="5857" w:type="dxa"/>
            <w:vAlign w:val="center"/>
          </w:tcPr>
          <w:p>
            <w:pPr>
              <w:rPr>
                <w:rFonts w:ascii="宋体"/>
                <w:color w:val="auto"/>
                <w:szCs w:val="21"/>
                <w:highlight w:val="none"/>
              </w:rPr>
            </w:pPr>
            <w:r>
              <w:rPr>
                <w:rFonts w:hint="eastAsia" w:ascii="宋体" w:hAnsi="宋体"/>
                <w:color w:val="auto"/>
                <w:szCs w:val="21"/>
                <w:highlight w:val="none"/>
              </w:rPr>
              <w:t>（技术标和经济标同时开标）</w:t>
            </w:r>
          </w:p>
          <w:p>
            <w:pPr>
              <w:rPr>
                <w:rFonts w:ascii="宋体"/>
                <w:color w:val="auto"/>
                <w:szCs w:val="21"/>
                <w:highlight w:val="none"/>
                <w:u w:val="single"/>
              </w:rPr>
            </w:pPr>
            <w:r>
              <w:rPr>
                <w:rFonts w:ascii="宋体" w:hAnsi="宋体"/>
                <w:color w:val="auto"/>
                <w:szCs w:val="21"/>
                <w:highlight w:val="none"/>
              </w:rPr>
              <w:t>1</w:t>
            </w:r>
            <w:r>
              <w:rPr>
                <w:rFonts w:hint="eastAsia" w:ascii="宋体" w:hAnsi="宋体"/>
                <w:color w:val="auto"/>
                <w:szCs w:val="21"/>
                <w:highlight w:val="none"/>
              </w:rPr>
              <w:t>、开标开始时间：</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分（与投标截止时间为同一时间），地点：</w:t>
            </w:r>
            <w:r>
              <w:rPr>
                <w:rFonts w:hint="eastAsia" w:ascii="宋体" w:hAnsi="宋体"/>
                <w:color w:val="auto"/>
                <w:szCs w:val="21"/>
                <w:highlight w:val="none"/>
                <w:u w:val="single"/>
              </w:rPr>
              <w:t>广州交易集团有限公司（广州公共资源交易中心）</w:t>
            </w:r>
            <w:r>
              <w:rPr>
                <w:rFonts w:ascii="宋体" w:hAnsi="宋体"/>
                <w:color w:val="auto"/>
                <w:szCs w:val="21"/>
                <w:highlight w:val="none"/>
                <w:u w:val="single"/>
              </w:rPr>
              <w:t xml:space="preserve">   </w:t>
            </w:r>
            <w:r>
              <w:rPr>
                <w:rFonts w:hint="eastAsia" w:ascii="宋体" w:hAnsi="宋体"/>
                <w:color w:val="auto"/>
                <w:szCs w:val="21"/>
                <w:highlight w:val="none"/>
                <w:u w:val="single"/>
              </w:rPr>
              <w:t>室。投标人也可选择参加在线开标，具体按照交易平台相关指南进行操作。详见：广州交易集团有限公司（广州公共资源交易中心）网站(http:/ www.gzggzy.cn)服务指南栏目。</w:t>
            </w:r>
          </w:p>
          <w:p>
            <w:pPr>
              <w:rPr>
                <w:rFonts w:ascii="宋体"/>
                <w:color w:val="auto"/>
                <w:szCs w:val="21"/>
                <w:highlight w:val="none"/>
              </w:rPr>
            </w:pPr>
            <w:r>
              <w:rPr>
                <w:rFonts w:hint="eastAsia" w:ascii="宋体" w:hAnsi="宋体"/>
                <w:color w:val="auto"/>
                <w:szCs w:val="21"/>
                <w:highlight w:val="none"/>
              </w:rPr>
              <w:t>注：投标文件解密问题。投标人只用执行一次解密，招标人执行解密次数根据招标文件开标次数确定。</w:t>
            </w:r>
          </w:p>
          <w:p>
            <w:pPr>
              <w:rPr>
                <w:rFonts w:ascii="宋体"/>
                <w:color w:val="auto"/>
                <w:highlight w:val="none"/>
              </w:rPr>
            </w:pPr>
            <w:r>
              <w:rPr>
                <w:rFonts w:ascii="宋体" w:hAnsi="宋体"/>
                <w:color w:val="auto"/>
                <w:szCs w:val="21"/>
                <w:highlight w:val="none"/>
              </w:rPr>
              <w:t>2</w:t>
            </w:r>
            <w:r>
              <w:rPr>
                <w:rFonts w:hint="eastAsia" w:ascii="宋体" w:hAnsi="宋体"/>
                <w:color w:val="auto"/>
                <w:szCs w:val="21"/>
                <w:highlight w:val="none"/>
              </w:rPr>
              <w:t>、递交投标文件备用光盘时间：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分至</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分；递交地点：</w:t>
            </w:r>
            <w:r>
              <w:rPr>
                <w:rFonts w:hint="eastAsia" w:ascii="宋体" w:hAnsi="宋体"/>
                <w:color w:val="auto"/>
                <w:highlight w:val="none"/>
                <w:u w:val="single"/>
              </w:rPr>
              <w:t>广州交易集团有限公司（广州公共资源交易中心）</w:t>
            </w:r>
            <w:r>
              <w:rPr>
                <w:rFonts w:ascii="宋体" w:hAnsi="宋体"/>
                <w:color w:val="auto"/>
                <w:highlight w:val="none"/>
                <w:u w:val="single"/>
              </w:rPr>
              <w:t xml:space="preserve">   </w:t>
            </w:r>
            <w:r>
              <w:rPr>
                <w:rFonts w:hint="eastAsia" w:ascii="宋体" w:hAnsi="宋体"/>
                <w:color w:val="auto"/>
                <w:highlight w:val="none"/>
                <w:u w:val="single"/>
              </w:rPr>
              <w:t>室</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建议安排在投标文件截止时间前</w:t>
            </w:r>
            <w:r>
              <w:rPr>
                <w:rFonts w:ascii="宋体" w:hAnsi="宋体"/>
                <w:color w:val="auto"/>
                <w:highlight w:val="none"/>
              </w:rPr>
              <w:t>15</w:t>
            </w:r>
            <w:r>
              <w:rPr>
                <w:rFonts w:hint="eastAsia" w:ascii="宋体" w:hAnsi="宋体"/>
                <w:color w:val="auto"/>
                <w:highlight w:val="none"/>
              </w:rPr>
              <w:t>分钟至投标文件截止时间）</w:t>
            </w:r>
          </w:p>
          <w:p>
            <w:pPr>
              <w:rPr>
                <w:rFonts w:ascii="宋体"/>
                <w:color w:val="auto"/>
                <w:szCs w:val="21"/>
                <w:highlight w:val="none"/>
              </w:rPr>
            </w:pPr>
            <w:r>
              <w:rPr>
                <w:rFonts w:hint="eastAsia" w:ascii="宋体" w:hAnsi="宋体" w:cs="仿宋_GB2312"/>
                <w:color w:val="auto"/>
                <w:highlight w:val="none"/>
              </w:rPr>
              <w:t>上述时间及地点是否有改变，请密切留意补充公告和招标答疑纪要的相关信息。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19</w:t>
            </w:r>
          </w:p>
        </w:tc>
        <w:tc>
          <w:tcPr>
            <w:tcW w:w="981" w:type="dxa"/>
            <w:vAlign w:val="center"/>
          </w:tcPr>
          <w:p>
            <w:pPr>
              <w:rPr>
                <w:rFonts w:ascii="宋体" w:hAnsi="宋体"/>
                <w:color w:val="auto"/>
                <w:szCs w:val="21"/>
                <w:highlight w:val="none"/>
              </w:rPr>
            </w:pPr>
            <w:r>
              <w:rPr>
                <w:rFonts w:ascii="宋体" w:hAnsi="宋体"/>
                <w:color w:val="auto"/>
                <w:szCs w:val="21"/>
                <w:highlight w:val="none"/>
              </w:rPr>
              <w:t>26</w:t>
            </w:r>
          </w:p>
        </w:tc>
        <w:tc>
          <w:tcPr>
            <w:tcW w:w="1810" w:type="dxa"/>
            <w:vAlign w:val="center"/>
          </w:tcPr>
          <w:p>
            <w:pPr>
              <w:rPr>
                <w:rFonts w:ascii="宋体"/>
                <w:color w:val="auto"/>
                <w:szCs w:val="21"/>
                <w:highlight w:val="none"/>
              </w:rPr>
            </w:pPr>
            <w:r>
              <w:rPr>
                <w:rFonts w:hint="eastAsia" w:ascii="宋体" w:hAnsi="宋体"/>
                <w:color w:val="auto"/>
                <w:szCs w:val="21"/>
                <w:highlight w:val="none"/>
              </w:rPr>
              <w:t>开标评标办法</w:t>
            </w:r>
          </w:p>
        </w:tc>
        <w:tc>
          <w:tcPr>
            <w:tcW w:w="5857" w:type="dxa"/>
            <w:vAlign w:val="center"/>
          </w:tcPr>
          <w:p>
            <w:pPr>
              <w:pStyle w:val="6"/>
              <w:ind w:firstLine="0"/>
              <w:rPr>
                <w:rFonts w:ascii="宋体" w:hAnsi="宋体" w:eastAsia="宋体"/>
                <w:color w:val="auto"/>
                <w:highlight w:val="none"/>
                <w:u w:val="single"/>
              </w:rPr>
            </w:pPr>
            <w:r>
              <w:rPr>
                <w:rFonts w:hint="eastAsia" w:ascii="宋体" w:hAnsi="宋体" w:eastAsia="宋体"/>
                <w:color w:val="auto"/>
                <w:highlight w:val="none"/>
              </w:rPr>
              <w:t>方式一：</w:t>
            </w:r>
            <w:r>
              <w:rPr>
                <w:rFonts w:hint="eastAsia" w:ascii="宋体" w:hAnsi="宋体" w:eastAsia="宋体"/>
                <w:color w:val="auto"/>
                <w:highlight w:val="none"/>
                <w:u w:val="single"/>
              </w:rPr>
              <w:t>选取方法办法七（适合综合评分法四，技术标与经济标同时开启）；</w:t>
            </w:r>
          </w:p>
          <w:p>
            <w:pPr>
              <w:pStyle w:val="6"/>
              <w:ind w:firstLine="0"/>
              <w:rPr>
                <w:rFonts w:ascii="宋体" w:eastAsia="宋体"/>
                <w:color w:val="auto"/>
                <w:szCs w:val="21"/>
                <w:highlight w:val="none"/>
                <w:u w:val="single"/>
              </w:rPr>
            </w:pPr>
            <w:r>
              <w:rPr>
                <w:rFonts w:hint="eastAsia" w:ascii="宋体" w:hAnsi="宋体" w:eastAsia="宋体" w:cs="宋体"/>
                <w:color w:val="auto"/>
                <w:szCs w:val="21"/>
                <w:highlight w:val="none"/>
                <w:u w:val="single"/>
              </w:rPr>
              <w:t>投标人总得分=（技术得分（100分）×技术得分权重（20%）＋经济得分（100分）×经济得分权重（80%）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20</w:t>
            </w:r>
          </w:p>
        </w:tc>
        <w:tc>
          <w:tcPr>
            <w:tcW w:w="981" w:type="dxa"/>
            <w:vAlign w:val="center"/>
          </w:tcPr>
          <w:p>
            <w:pPr>
              <w:rPr>
                <w:rFonts w:ascii="宋体" w:hAnsi="宋体"/>
                <w:color w:val="auto"/>
                <w:szCs w:val="21"/>
                <w:highlight w:val="none"/>
              </w:rPr>
            </w:pPr>
            <w:r>
              <w:rPr>
                <w:rFonts w:ascii="宋体" w:hAnsi="宋体"/>
                <w:color w:val="auto"/>
                <w:szCs w:val="21"/>
                <w:highlight w:val="none"/>
              </w:rPr>
              <w:t>29.1</w:t>
            </w:r>
          </w:p>
        </w:tc>
        <w:tc>
          <w:tcPr>
            <w:tcW w:w="1810" w:type="dxa"/>
            <w:vAlign w:val="center"/>
          </w:tcPr>
          <w:p>
            <w:pPr>
              <w:rPr>
                <w:rFonts w:ascii="宋体"/>
                <w:color w:val="auto"/>
                <w:szCs w:val="21"/>
                <w:highlight w:val="none"/>
              </w:rPr>
            </w:pPr>
            <w:r>
              <w:rPr>
                <w:rFonts w:hint="eastAsia" w:ascii="宋体" w:hAnsi="宋体"/>
                <w:color w:val="auto"/>
                <w:szCs w:val="21"/>
                <w:highlight w:val="none"/>
              </w:rPr>
              <w:t>履约担保</w:t>
            </w:r>
          </w:p>
        </w:tc>
        <w:tc>
          <w:tcPr>
            <w:tcW w:w="5857" w:type="dxa"/>
            <w:vAlign w:val="center"/>
          </w:tcPr>
          <w:p>
            <w:pPr>
              <w:pStyle w:val="6"/>
              <w:spacing w:after="0"/>
              <w:ind w:firstLine="0"/>
              <w:rPr>
                <w:rFonts w:ascii="宋体" w:hAnsi="宋体" w:eastAsia="宋体"/>
                <w:color w:val="auto"/>
                <w:szCs w:val="21"/>
                <w:highlight w:val="none"/>
              </w:rPr>
            </w:pPr>
            <w:r>
              <w:rPr>
                <w:rFonts w:hint="eastAsia" w:ascii="宋体" w:hAnsi="宋体" w:eastAsia="宋体"/>
                <w:color w:val="auto"/>
                <w:szCs w:val="21"/>
                <w:highlight w:val="none"/>
              </w:rPr>
              <w:t>方式一：中标人提供的履约保证金为中标价款的</w:t>
            </w:r>
            <w:r>
              <w:rPr>
                <w:rFonts w:ascii="宋体" w:hAnsi="宋体" w:eastAsia="宋体"/>
                <w:color w:val="auto"/>
                <w:szCs w:val="21"/>
                <w:highlight w:val="none"/>
              </w:rPr>
              <w:t>10%</w:t>
            </w:r>
            <w:r>
              <w:rPr>
                <w:rFonts w:hint="eastAsia" w:ascii="宋体" w:hAnsi="宋体" w:eastAsia="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21</w:t>
            </w:r>
          </w:p>
        </w:tc>
        <w:tc>
          <w:tcPr>
            <w:tcW w:w="981" w:type="dxa"/>
            <w:vAlign w:val="center"/>
          </w:tcPr>
          <w:p>
            <w:pPr>
              <w:rPr>
                <w:rFonts w:ascii="宋体" w:hAnsi="宋体"/>
                <w:color w:val="auto"/>
                <w:szCs w:val="21"/>
                <w:highlight w:val="none"/>
              </w:rPr>
            </w:pPr>
          </w:p>
        </w:tc>
        <w:tc>
          <w:tcPr>
            <w:tcW w:w="1810" w:type="dxa"/>
            <w:vAlign w:val="center"/>
          </w:tcPr>
          <w:p>
            <w:pPr>
              <w:rPr>
                <w:rFonts w:ascii="宋体"/>
                <w:color w:val="auto"/>
                <w:szCs w:val="21"/>
                <w:highlight w:val="none"/>
              </w:rPr>
            </w:pPr>
            <w:r>
              <w:rPr>
                <w:rFonts w:hint="eastAsia" w:ascii="宋体" w:hAnsi="宋体"/>
                <w:color w:val="auto"/>
                <w:szCs w:val="21"/>
                <w:highlight w:val="none"/>
              </w:rPr>
              <w:t>最高投标限价</w:t>
            </w:r>
          </w:p>
        </w:tc>
        <w:tc>
          <w:tcPr>
            <w:tcW w:w="5857" w:type="dxa"/>
            <w:vAlign w:val="center"/>
          </w:tcPr>
          <w:p>
            <w:pPr>
              <w:rPr>
                <w:rFonts w:asci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s="宋体"/>
                <w:color w:val="auto"/>
                <w:szCs w:val="21"/>
                <w:highlight w:val="none"/>
                <w:u w:val="single"/>
              </w:rPr>
              <w:t>7968313.74</w:t>
            </w:r>
            <w:r>
              <w:rPr>
                <w:rFonts w:hint="eastAsia" w:ascii="宋体" w:hAnsi="宋体" w:cs="仿宋_GB2312"/>
                <w:color w:val="auto"/>
                <w:szCs w:val="21"/>
                <w:highlight w:val="none"/>
              </w:rPr>
              <w:t>元</w:t>
            </w: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22</w:t>
            </w:r>
          </w:p>
        </w:tc>
        <w:tc>
          <w:tcPr>
            <w:tcW w:w="981" w:type="dxa"/>
            <w:vAlign w:val="center"/>
          </w:tcPr>
          <w:p>
            <w:pPr>
              <w:rPr>
                <w:rFonts w:ascii="宋体" w:hAnsi="宋体"/>
                <w:color w:val="auto"/>
                <w:szCs w:val="21"/>
                <w:highlight w:val="none"/>
              </w:rPr>
            </w:pPr>
          </w:p>
        </w:tc>
        <w:tc>
          <w:tcPr>
            <w:tcW w:w="1810" w:type="dxa"/>
            <w:vAlign w:val="center"/>
          </w:tcPr>
          <w:p>
            <w:pPr>
              <w:rPr>
                <w:rFonts w:ascii="宋体"/>
                <w:color w:val="auto"/>
                <w:szCs w:val="21"/>
                <w:highlight w:val="none"/>
              </w:rPr>
            </w:pPr>
            <w:r>
              <w:rPr>
                <w:rFonts w:hint="eastAsia" w:ascii="宋体" w:hAnsi="宋体"/>
                <w:color w:val="auto"/>
                <w:szCs w:val="21"/>
                <w:highlight w:val="none"/>
              </w:rPr>
              <w:t>非竞争费用</w:t>
            </w:r>
          </w:p>
        </w:tc>
        <w:tc>
          <w:tcPr>
            <w:tcW w:w="5857" w:type="dxa"/>
            <w:vAlign w:val="center"/>
          </w:tcPr>
          <w:p>
            <w:pPr>
              <w:wordWrap w:val="0"/>
              <w:jc w:val="left"/>
              <w:rPr>
                <w:rFonts w:ascii="宋体"/>
                <w:color w:val="auto"/>
                <w:szCs w:val="21"/>
                <w:highlight w:val="none"/>
              </w:rPr>
            </w:pPr>
            <w:r>
              <w:rPr>
                <w:rFonts w:hint="eastAsia" w:ascii="宋体" w:hAnsi="宋体" w:cs="仿宋_GB2312"/>
                <w:color w:val="auto"/>
                <w:szCs w:val="21"/>
                <w:highlight w:val="none"/>
              </w:rPr>
              <w:t>本项目绿色施工安全防护措施费为</w:t>
            </w:r>
            <w:r>
              <w:rPr>
                <w:rFonts w:hint="eastAsia" w:ascii="宋体" w:hAnsi="宋体" w:cs="宋体"/>
                <w:color w:val="auto"/>
                <w:szCs w:val="21"/>
                <w:highlight w:val="none"/>
                <w:u w:val="single"/>
                <w:lang w:bidi="ar"/>
              </w:rPr>
              <w:t>154205.95元</w:t>
            </w:r>
            <w:r>
              <w:rPr>
                <w:rFonts w:hint="eastAsia" w:ascii="宋体" w:hAnsi="宋体" w:cs="仿宋_GB2312"/>
                <w:color w:val="auto"/>
                <w:szCs w:val="21"/>
                <w:highlight w:val="none"/>
              </w:rPr>
              <w:t>，暂列金额</w:t>
            </w:r>
            <w:r>
              <w:rPr>
                <w:rFonts w:hint="eastAsia" w:ascii="宋体" w:hAnsi="宋体" w:cs="宋体"/>
                <w:color w:val="auto"/>
                <w:szCs w:val="21"/>
                <w:highlight w:val="none"/>
                <w:u w:val="single"/>
                <w:lang w:bidi="ar"/>
              </w:rPr>
              <w:t>/</w:t>
            </w:r>
            <w:r>
              <w:rPr>
                <w:rFonts w:hint="eastAsia" w:ascii="宋体" w:hAnsi="宋体" w:cs="仿宋_GB2312"/>
                <w:color w:val="auto"/>
                <w:szCs w:val="21"/>
                <w:highlight w:val="none"/>
              </w:rPr>
              <w:t>元，暂估价为</w:t>
            </w:r>
            <w:r>
              <w:rPr>
                <w:rFonts w:hint="eastAsia" w:ascii="宋体" w:hAnsi="宋体" w:cs="宋体"/>
                <w:color w:val="auto"/>
                <w:szCs w:val="21"/>
                <w:highlight w:val="none"/>
                <w:u w:val="single"/>
                <w:lang w:bidi="ar"/>
              </w:rPr>
              <w:t xml:space="preserve">/ </w:t>
            </w:r>
            <w:r>
              <w:rPr>
                <w:rFonts w:hint="eastAsia" w:ascii="宋体" w:hAnsi="宋体" w:cs="仿宋_GB2312"/>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23</w:t>
            </w:r>
          </w:p>
        </w:tc>
        <w:tc>
          <w:tcPr>
            <w:tcW w:w="981" w:type="dxa"/>
            <w:vAlign w:val="center"/>
          </w:tcPr>
          <w:p>
            <w:pPr>
              <w:rPr>
                <w:rFonts w:ascii="宋体" w:hAnsi="宋体"/>
                <w:color w:val="auto"/>
                <w:szCs w:val="21"/>
                <w:highlight w:val="none"/>
              </w:rPr>
            </w:pPr>
          </w:p>
        </w:tc>
        <w:tc>
          <w:tcPr>
            <w:tcW w:w="1810" w:type="dxa"/>
            <w:vAlign w:val="center"/>
          </w:tcPr>
          <w:p>
            <w:pPr>
              <w:pStyle w:val="6"/>
              <w:ind w:firstLine="0"/>
              <w:rPr>
                <w:rFonts w:ascii="宋体" w:eastAsia="宋体"/>
                <w:color w:val="auto"/>
                <w:szCs w:val="21"/>
                <w:highlight w:val="none"/>
              </w:rPr>
            </w:pPr>
            <w:r>
              <w:rPr>
                <w:rFonts w:hint="eastAsia" w:ascii="宋体" w:hAnsi="宋体" w:eastAsia="宋体"/>
                <w:color w:val="auto"/>
                <w:szCs w:val="21"/>
                <w:highlight w:val="none"/>
              </w:rPr>
              <w:t>保修期</w:t>
            </w:r>
          </w:p>
        </w:tc>
        <w:tc>
          <w:tcPr>
            <w:tcW w:w="5857" w:type="dxa"/>
            <w:vAlign w:val="center"/>
          </w:tcPr>
          <w:p>
            <w:pPr>
              <w:rPr>
                <w:rFonts w:asci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24</w:t>
            </w:r>
          </w:p>
        </w:tc>
        <w:tc>
          <w:tcPr>
            <w:tcW w:w="981" w:type="dxa"/>
            <w:vAlign w:val="center"/>
          </w:tcPr>
          <w:p>
            <w:pPr>
              <w:rPr>
                <w:rFonts w:ascii="宋体" w:hAnsi="宋体"/>
                <w:color w:val="auto"/>
                <w:szCs w:val="21"/>
                <w:highlight w:val="none"/>
              </w:rPr>
            </w:pPr>
          </w:p>
        </w:tc>
        <w:tc>
          <w:tcPr>
            <w:tcW w:w="1810" w:type="dxa"/>
            <w:vAlign w:val="center"/>
          </w:tcPr>
          <w:p>
            <w:pPr>
              <w:rPr>
                <w:rFonts w:ascii="宋体"/>
                <w:strike/>
                <w:color w:val="auto"/>
                <w:szCs w:val="21"/>
                <w:highlight w:val="none"/>
              </w:rPr>
            </w:pPr>
            <w:r>
              <w:rPr>
                <w:rFonts w:hint="eastAsia" w:ascii="宋体" w:hAnsi="宋体"/>
                <w:strike/>
                <w:color w:val="auto"/>
                <w:szCs w:val="21"/>
                <w:highlight w:val="none"/>
              </w:rPr>
              <w:t>计算评标参考价的等分点值</w:t>
            </w:r>
          </w:p>
        </w:tc>
        <w:tc>
          <w:tcPr>
            <w:tcW w:w="5857" w:type="dxa"/>
            <w:vAlign w:val="center"/>
          </w:tcPr>
          <w:p>
            <w:pPr>
              <w:rPr>
                <w:rFonts w:ascii="宋体"/>
                <w:strike/>
                <w:color w:val="auto"/>
                <w:szCs w:val="21"/>
                <w:highlight w:val="none"/>
              </w:rPr>
            </w:pPr>
            <w:r>
              <w:rPr>
                <w:rFonts w:hint="eastAsia" w:ascii="宋体" w:hAnsi="宋体"/>
                <w:strike/>
                <w:color w:val="auto"/>
                <w:szCs w:val="21"/>
                <w:highlight w:val="none"/>
              </w:rPr>
              <w:t>计算评标参考价的等分点值</w:t>
            </w:r>
            <w:r>
              <w:rPr>
                <w:rFonts w:ascii="宋体" w:hAnsi="宋体"/>
                <w:strike/>
                <w:color w:val="auto"/>
                <w:szCs w:val="21"/>
                <w:highlight w:val="none"/>
              </w:rPr>
              <w:t>X</w:t>
            </w:r>
            <w:r>
              <w:rPr>
                <w:rFonts w:hint="eastAsia" w:ascii="宋体" w:hAnsi="宋体"/>
                <w:strike/>
                <w:color w:val="auto"/>
                <w:szCs w:val="21"/>
                <w:highlight w:val="none"/>
              </w:rPr>
              <w:t>在开标前从</w:t>
            </w:r>
            <w:r>
              <w:rPr>
                <w:rFonts w:ascii="宋体" w:hAnsi="宋体"/>
                <w:strike/>
                <w:color w:val="auto"/>
                <w:szCs w:val="21"/>
                <w:highlight w:val="none"/>
              </w:rPr>
              <w:t xml:space="preserve">[0,100] </w:t>
            </w:r>
            <w:r>
              <w:rPr>
                <w:rFonts w:hint="eastAsia" w:ascii="宋体" w:hAnsi="宋体"/>
                <w:strike/>
                <w:color w:val="auto"/>
                <w:szCs w:val="21"/>
                <w:highlight w:val="none"/>
              </w:rPr>
              <w:t>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strike/>
                <w:color w:val="auto"/>
                <w:szCs w:val="21"/>
                <w:highlight w:val="none"/>
              </w:rPr>
            </w:pPr>
            <w:r>
              <w:rPr>
                <w:rFonts w:ascii="宋体" w:hAnsi="宋体"/>
                <w:strike/>
                <w:color w:val="auto"/>
                <w:szCs w:val="21"/>
                <w:highlight w:val="none"/>
              </w:rPr>
              <w:t>25</w:t>
            </w:r>
          </w:p>
        </w:tc>
        <w:tc>
          <w:tcPr>
            <w:tcW w:w="981" w:type="dxa"/>
            <w:vAlign w:val="center"/>
          </w:tcPr>
          <w:p>
            <w:pPr>
              <w:ind w:firstLine="458"/>
              <w:rPr>
                <w:rFonts w:ascii="宋体"/>
                <w:strike/>
                <w:color w:val="auto"/>
                <w:szCs w:val="21"/>
                <w:highlight w:val="none"/>
              </w:rPr>
            </w:pPr>
          </w:p>
        </w:tc>
        <w:tc>
          <w:tcPr>
            <w:tcW w:w="1810" w:type="dxa"/>
            <w:vAlign w:val="center"/>
          </w:tcPr>
          <w:p>
            <w:pPr>
              <w:rPr>
                <w:rFonts w:ascii="宋体"/>
                <w:strike/>
                <w:color w:val="auto"/>
                <w:szCs w:val="21"/>
                <w:highlight w:val="none"/>
              </w:rPr>
            </w:pPr>
            <w:r>
              <w:rPr>
                <w:rFonts w:hint="eastAsia" w:ascii="宋体" w:hAnsi="宋体"/>
                <w:strike/>
                <w:color w:val="auto"/>
                <w:szCs w:val="21"/>
                <w:highlight w:val="none"/>
              </w:rPr>
              <w:t>进入第二阶段评审的家数</w:t>
            </w:r>
          </w:p>
        </w:tc>
        <w:tc>
          <w:tcPr>
            <w:tcW w:w="5857" w:type="dxa"/>
            <w:vAlign w:val="center"/>
          </w:tcPr>
          <w:p>
            <w:pPr>
              <w:rPr>
                <w:rFonts w:ascii="宋体"/>
                <w:strike/>
                <w:color w:val="auto"/>
                <w:szCs w:val="21"/>
                <w:highlight w:val="none"/>
              </w:rPr>
            </w:pPr>
            <w:r>
              <w:rPr>
                <w:rFonts w:ascii="宋体" w:hAnsi="宋体"/>
                <w:strike/>
                <w:color w:val="auto"/>
                <w:szCs w:val="21"/>
                <w:highlight w:val="none"/>
              </w:rPr>
              <w:fldChar w:fldCharType="begin"/>
            </w:r>
            <w:r>
              <w:rPr>
                <w:rFonts w:ascii="宋体" w:hAnsi="宋体"/>
                <w:strike/>
                <w:color w:val="auto"/>
                <w:szCs w:val="21"/>
                <w:highlight w:val="none"/>
              </w:rPr>
              <w:instrText xml:space="preserve"> = 1 \* GB3 </w:instrText>
            </w:r>
            <w:r>
              <w:rPr>
                <w:rFonts w:ascii="宋体" w:hAnsi="宋体"/>
                <w:strike/>
                <w:color w:val="auto"/>
                <w:szCs w:val="21"/>
                <w:highlight w:val="none"/>
              </w:rPr>
              <w:fldChar w:fldCharType="separate"/>
            </w:r>
            <w:r>
              <w:rPr>
                <w:rFonts w:hint="eastAsia" w:ascii="宋体" w:hAnsi="宋体"/>
                <w:strike/>
                <w:color w:val="auto"/>
                <w:szCs w:val="21"/>
                <w:highlight w:val="none"/>
              </w:rPr>
              <w:t>①</w:t>
            </w:r>
            <w:r>
              <w:rPr>
                <w:rFonts w:ascii="宋体" w:hAnsi="宋体"/>
                <w:strike/>
                <w:color w:val="auto"/>
                <w:szCs w:val="21"/>
                <w:highlight w:val="none"/>
              </w:rPr>
              <w:fldChar w:fldCharType="end"/>
            </w:r>
            <w:r>
              <w:rPr>
                <w:rFonts w:hint="eastAsia" w:ascii="宋体" w:hAnsi="宋体"/>
                <w:strike/>
                <w:color w:val="auto"/>
                <w:szCs w:val="21"/>
                <w:highlight w:val="none"/>
              </w:rPr>
              <w:t>通过技术有效性审查的投标人均进入第二阶段（适用于通过技术有效性审查家数在</w:t>
            </w:r>
            <w:r>
              <w:rPr>
                <w:rFonts w:ascii="宋体" w:hAnsi="宋体"/>
                <w:strike/>
                <w:color w:val="auto"/>
                <w:szCs w:val="21"/>
                <w:highlight w:val="none"/>
              </w:rPr>
              <w:t>[3,</w:t>
            </w:r>
            <w:r>
              <w:rPr>
                <w:rFonts w:ascii="宋体" w:hAnsi="宋体"/>
                <w:strike/>
                <w:color w:val="auto"/>
                <w:szCs w:val="21"/>
                <w:highlight w:val="none"/>
                <w:u w:val="single"/>
              </w:rPr>
              <w:t xml:space="preserve">  </w:t>
            </w:r>
            <w:r>
              <w:rPr>
                <w:rFonts w:ascii="宋体" w:hAnsi="宋体"/>
                <w:strike/>
                <w:color w:val="auto"/>
                <w:szCs w:val="21"/>
                <w:highlight w:val="none"/>
              </w:rPr>
              <w:t>]</w:t>
            </w:r>
            <w:r>
              <w:rPr>
                <w:rFonts w:hint="eastAsia" w:ascii="宋体" w:hAnsi="宋体"/>
                <w:strike/>
                <w:color w:val="auto"/>
                <w:szCs w:val="21"/>
                <w:highlight w:val="none"/>
              </w:rPr>
              <w:t>中的）。</w:t>
            </w:r>
          </w:p>
          <w:p>
            <w:pPr>
              <w:rPr>
                <w:rFonts w:ascii="宋体"/>
                <w:strike/>
                <w:color w:val="auto"/>
                <w:szCs w:val="21"/>
                <w:highlight w:val="none"/>
              </w:rPr>
            </w:pPr>
            <w:r>
              <w:rPr>
                <w:rFonts w:ascii="宋体" w:hAnsi="宋体"/>
                <w:strike/>
                <w:color w:val="auto"/>
                <w:szCs w:val="21"/>
                <w:highlight w:val="none"/>
              </w:rPr>
              <w:fldChar w:fldCharType="begin"/>
            </w:r>
            <w:r>
              <w:rPr>
                <w:rFonts w:ascii="宋体" w:hAnsi="宋体"/>
                <w:strike/>
                <w:color w:val="auto"/>
                <w:szCs w:val="21"/>
                <w:highlight w:val="none"/>
              </w:rPr>
              <w:instrText xml:space="preserve"> = 2 \* GB3 </w:instrText>
            </w:r>
            <w:r>
              <w:rPr>
                <w:rFonts w:ascii="宋体" w:hAnsi="宋体"/>
                <w:strike/>
                <w:color w:val="auto"/>
                <w:szCs w:val="21"/>
                <w:highlight w:val="none"/>
              </w:rPr>
              <w:fldChar w:fldCharType="separate"/>
            </w:r>
            <w:r>
              <w:rPr>
                <w:rFonts w:hint="eastAsia" w:ascii="宋体" w:hAnsi="宋体"/>
                <w:strike/>
                <w:color w:val="auto"/>
                <w:szCs w:val="21"/>
                <w:highlight w:val="none"/>
              </w:rPr>
              <w:t>②</w:t>
            </w:r>
            <w:r>
              <w:rPr>
                <w:rFonts w:ascii="宋体" w:hAnsi="宋体"/>
                <w:strike/>
                <w:color w:val="auto"/>
                <w:szCs w:val="21"/>
                <w:highlight w:val="none"/>
              </w:rPr>
              <w:fldChar w:fldCharType="end"/>
            </w:r>
            <w:r>
              <w:rPr>
                <w:rFonts w:hint="eastAsia" w:ascii="宋体" w:hAnsi="宋体"/>
                <w:strike/>
                <w:color w:val="auto"/>
                <w:szCs w:val="21"/>
                <w:highlight w:val="none"/>
              </w:rPr>
              <w:t>将第一阶段得分由高至低排序，前</w:t>
            </w:r>
            <w:r>
              <w:rPr>
                <w:rFonts w:ascii="宋体" w:hAnsi="宋体"/>
                <w:strike/>
                <w:color w:val="auto"/>
                <w:szCs w:val="21"/>
                <w:highlight w:val="none"/>
                <w:u w:val="single"/>
              </w:rPr>
              <w:t xml:space="preserve">   </w:t>
            </w:r>
            <w:r>
              <w:rPr>
                <w:rFonts w:hint="eastAsia" w:ascii="宋体" w:hAnsi="宋体"/>
                <w:strike/>
                <w:color w:val="auto"/>
                <w:szCs w:val="21"/>
                <w:highlight w:val="none"/>
              </w:rPr>
              <w:t>名投标人进入第二阶段评审（适用于通过技术有效性审查家数大于</w:t>
            </w:r>
            <w:r>
              <w:rPr>
                <w:rFonts w:ascii="宋体" w:hAnsi="宋体"/>
                <w:strike/>
                <w:color w:val="auto"/>
                <w:szCs w:val="21"/>
                <w:highlight w:val="none"/>
                <w:u w:val="single"/>
              </w:rPr>
              <w:t xml:space="preserve">  </w:t>
            </w:r>
            <w:r>
              <w:rPr>
                <w:rFonts w:hint="eastAsia" w:ascii="宋体" w:hAnsi="宋体"/>
                <w:strike/>
                <w:color w:val="auto"/>
                <w:szCs w:val="21"/>
                <w:highlight w:val="none"/>
              </w:rPr>
              <w:t>家的，招标人可根据工程具体情况，确定不少于</w:t>
            </w:r>
            <w:r>
              <w:rPr>
                <w:rFonts w:ascii="宋体" w:hAnsi="宋体"/>
                <w:strike/>
                <w:color w:val="auto"/>
                <w:szCs w:val="21"/>
                <w:highlight w:val="none"/>
                <w:u w:val="single"/>
              </w:rPr>
              <w:t xml:space="preserve">   </w:t>
            </w:r>
            <w:r>
              <w:rPr>
                <w:rFonts w:hint="eastAsia" w:ascii="宋体" w:hAnsi="宋体"/>
                <w:strike/>
                <w:color w:val="auto"/>
                <w:szCs w:val="21"/>
                <w:highlight w:val="none"/>
              </w:rPr>
              <w:t>家进入第二阶段）。</w:t>
            </w:r>
          </w:p>
          <w:p>
            <w:pPr>
              <w:rPr>
                <w:rFonts w:ascii="宋体"/>
                <w:strike/>
                <w:color w:val="auto"/>
                <w:szCs w:val="21"/>
                <w:highlight w:val="none"/>
              </w:rPr>
            </w:pPr>
            <w:r>
              <w:rPr>
                <w:rFonts w:hint="eastAsia" w:ascii="宋体" w:hAnsi="宋体"/>
                <w:strike/>
                <w:color w:val="auto"/>
                <w:szCs w:val="21"/>
                <w:highlight w:val="none"/>
              </w:rPr>
              <w:t>注：本款适用于选择评标办法一至评标办法六。进入第二阶段的投标人家数应符合</w:t>
            </w:r>
            <w:r>
              <w:rPr>
                <w:rFonts w:hint="eastAsia" w:ascii="宋体" w:hAnsi="宋体" w:cs="仿宋_GB2312"/>
                <w:strike/>
                <w:color w:val="auto"/>
                <w:szCs w:val="21"/>
                <w:highlight w:val="none"/>
              </w:rPr>
              <w:t>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26</w:t>
            </w:r>
          </w:p>
        </w:tc>
        <w:tc>
          <w:tcPr>
            <w:tcW w:w="981" w:type="dxa"/>
            <w:vAlign w:val="center"/>
          </w:tcPr>
          <w:p>
            <w:pPr>
              <w:rPr>
                <w:rFonts w:ascii="宋体" w:hAnsi="宋体"/>
                <w:color w:val="auto"/>
                <w:szCs w:val="21"/>
                <w:highlight w:val="none"/>
              </w:rPr>
            </w:pPr>
          </w:p>
        </w:tc>
        <w:tc>
          <w:tcPr>
            <w:tcW w:w="1810" w:type="dxa"/>
            <w:vAlign w:val="center"/>
          </w:tcPr>
          <w:p>
            <w:pPr>
              <w:rPr>
                <w:rFonts w:ascii="宋体"/>
                <w:color w:val="auto"/>
                <w:szCs w:val="21"/>
                <w:highlight w:val="none"/>
              </w:rPr>
            </w:pPr>
            <w:r>
              <w:rPr>
                <w:rFonts w:hint="eastAsia" w:ascii="宋体" w:hAnsi="宋体"/>
                <w:color w:val="auto"/>
                <w:szCs w:val="21"/>
                <w:highlight w:val="none"/>
              </w:rPr>
              <w:t>工程成本警戒价</w:t>
            </w:r>
          </w:p>
        </w:tc>
        <w:tc>
          <w:tcPr>
            <w:tcW w:w="5857" w:type="dxa"/>
            <w:vAlign w:val="center"/>
          </w:tcPr>
          <w:p>
            <w:pPr>
              <w:rPr>
                <w:rFonts w:ascii="宋体"/>
                <w:color w:val="auto"/>
                <w:szCs w:val="21"/>
                <w:highlight w:val="none"/>
              </w:rPr>
            </w:pPr>
            <w:r>
              <w:rPr>
                <w:rFonts w:hint="eastAsia" w:ascii="宋体" w:hAnsi="宋体"/>
                <w:color w:val="auto"/>
                <w:szCs w:val="21"/>
                <w:highlight w:val="none"/>
              </w:rPr>
              <w:t>工程成本警戒价为</w:t>
            </w:r>
            <w:r>
              <w:rPr>
                <w:rFonts w:hint="eastAsia" w:ascii="宋体" w:hAnsi="宋体" w:cs="宋体"/>
                <w:color w:val="auto"/>
                <w:szCs w:val="21"/>
                <w:highlight w:val="none"/>
                <w:u w:val="single"/>
                <w:lang w:bidi="ar"/>
              </w:rPr>
              <w:t>7171482.37</w:t>
            </w:r>
            <w:r>
              <w:rPr>
                <w:rFonts w:hint="eastAsia" w:ascii="宋体" w:hAnsi="宋体"/>
                <w:color w:val="auto"/>
                <w:szCs w:val="21"/>
                <w:highlight w:val="none"/>
              </w:rPr>
              <w:t>元</w:t>
            </w:r>
            <w:r>
              <w:rPr>
                <w:rFonts w:hint="eastAsia" w:ascii="宋体" w:hAnsi="宋体" w:cs="宋体"/>
                <w:color w:val="auto"/>
                <w:szCs w:val="21"/>
                <w:highlight w:val="none"/>
              </w:rPr>
              <w:t>（招标控制价的</w:t>
            </w:r>
            <w:r>
              <w:rPr>
                <w:rFonts w:ascii="宋体" w:hAnsi="宋体" w:cs="宋体"/>
                <w:color w:val="auto"/>
                <w:szCs w:val="21"/>
                <w:highlight w:val="none"/>
              </w:rPr>
              <w:t>9</w:t>
            </w: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strike/>
                <w:color w:val="auto"/>
                <w:szCs w:val="21"/>
                <w:highlight w:val="none"/>
              </w:rPr>
            </w:pPr>
            <w:r>
              <w:rPr>
                <w:rFonts w:ascii="宋体" w:hAnsi="宋体"/>
                <w:strike/>
                <w:color w:val="auto"/>
                <w:szCs w:val="21"/>
                <w:highlight w:val="none"/>
              </w:rPr>
              <w:t>27</w:t>
            </w:r>
          </w:p>
        </w:tc>
        <w:tc>
          <w:tcPr>
            <w:tcW w:w="981" w:type="dxa"/>
            <w:vAlign w:val="center"/>
          </w:tcPr>
          <w:p>
            <w:pPr>
              <w:rPr>
                <w:rFonts w:ascii="宋体" w:hAnsi="宋体"/>
                <w:strike/>
                <w:color w:val="auto"/>
                <w:szCs w:val="21"/>
                <w:highlight w:val="none"/>
              </w:rPr>
            </w:pPr>
          </w:p>
        </w:tc>
        <w:tc>
          <w:tcPr>
            <w:tcW w:w="1810" w:type="dxa"/>
            <w:vAlign w:val="center"/>
          </w:tcPr>
          <w:p>
            <w:pPr>
              <w:rPr>
                <w:rFonts w:ascii="宋体"/>
                <w:strike/>
                <w:color w:val="auto"/>
                <w:szCs w:val="21"/>
                <w:highlight w:val="none"/>
              </w:rPr>
            </w:pPr>
            <w:r>
              <w:rPr>
                <w:rFonts w:hint="eastAsia" w:ascii="宋体" w:hAnsi="宋体"/>
                <w:strike/>
                <w:color w:val="auto"/>
                <w:szCs w:val="21"/>
                <w:highlight w:val="none"/>
              </w:rPr>
              <w:t>第一阶段各分值的权重</w:t>
            </w:r>
          </w:p>
        </w:tc>
        <w:tc>
          <w:tcPr>
            <w:tcW w:w="5857" w:type="dxa"/>
            <w:vAlign w:val="center"/>
          </w:tcPr>
          <w:p>
            <w:pPr>
              <w:widowControl/>
              <w:jc w:val="left"/>
              <w:rPr>
                <w:rFonts w:ascii="宋体"/>
                <w:strike/>
                <w:color w:val="auto"/>
                <w:szCs w:val="21"/>
                <w:highlight w:val="none"/>
              </w:rPr>
            </w:pPr>
            <w:r>
              <w:rPr>
                <w:rFonts w:hint="eastAsia" w:ascii="宋体" w:hAnsi="宋体"/>
                <w:strike/>
                <w:color w:val="auto"/>
                <w:szCs w:val="21"/>
                <w:highlight w:val="none"/>
              </w:rPr>
              <w:t>第一阶段各分值的权重：技术分权重为</w:t>
            </w:r>
            <w:r>
              <w:rPr>
                <w:rFonts w:ascii="宋体" w:hAnsi="宋体"/>
                <w:strike/>
                <w:color w:val="auto"/>
                <w:szCs w:val="21"/>
                <w:highlight w:val="none"/>
              </w:rPr>
              <w:t xml:space="preserve">    %</w:t>
            </w:r>
            <w:r>
              <w:rPr>
                <w:rFonts w:hint="eastAsia" w:ascii="宋体" w:hAnsi="宋体"/>
                <w:strike/>
                <w:color w:val="auto"/>
                <w:szCs w:val="21"/>
                <w:highlight w:val="none"/>
              </w:rPr>
              <w:t>，综合诚信评价分数权重为</w:t>
            </w:r>
            <w:r>
              <w:rPr>
                <w:rFonts w:ascii="宋体" w:hAnsi="宋体"/>
                <w:strike/>
                <w:color w:val="auto"/>
                <w:szCs w:val="21"/>
                <w:highlight w:val="none"/>
              </w:rPr>
              <w:t xml:space="preserve">    %</w:t>
            </w:r>
            <w:r>
              <w:rPr>
                <w:rFonts w:hint="eastAsia" w:ascii="宋体" w:hAnsi="宋体"/>
                <w:strike/>
                <w:color w:val="auto"/>
                <w:szCs w:val="21"/>
                <w:highlight w:val="none"/>
              </w:rPr>
              <w:t>。</w:t>
            </w:r>
          </w:p>
          <w:p>
            <w:pPr>
              <w:rPr>
                <w:rFonts w:ascii="宋体"/>
                <w:strike/>
                <w:color w:val="auto"/>
                <w:szCs w:val="21"/>
                <w:highlight w:val="none"/>
              </w:rPr>
            </w:pPr>
            <w:r>
              <w:rPr>
                <w:rFonts w:hint="eastAsia" w:ascii="宋体" w:hAnsi="宋体"/>
                <w:strike/>
                <w:color w:val="auto"/>
                <w:szCs w:val="21"/>
                <w:highlight w:val="none"/>
              </w:rPr>
              <w:t>注：综合诚信评价得分权重按《关于诚信综合评价在招标投标环节中应用的指引》（招标投标指引</w:t>
            </w:r>
            <w:r>
              <w:rPr>
                <w:rFonts w:ascii="宋体" w:hAnsi="宋体"/>
                <w:strike/>
                <w:color w:val="auto"/>
                <w:szCs w:val="21"/>
                <w:highlight w:val="none"/>
              </w:rPr>
              <w:t>2020</w:t>
            </w:r>
            <w:r>
              <w:rPr>
                <w:rFonts w:hint="eastAsia" w:ascii="宋体" w:hAnsi="宋体"/>
                <w:strike/>
                <w:color w:val="auto"/>
                <w:szCs w:val="21"/>
                <w:highlight w:val="none"/>
              </w:rPr>
              <w:t>年第</w:t>
            </w:r>
            <w:r>
              <w:rPr>
                <w:rFonts w:ascii="宋体" w:hAnsi="宋体"/>
                <w:strike/>
                <w:color w:val="auto"/>
                <w:szCs w:val="21"/>
                <w:highlight w:val="none"/>
              </w:rPr>
              <w:t>6</w:t>
            </w:r>
            <w:r>
              <w:rPr>
                <w:rFonts w:hint="eastAsia" w:ascii="宋体" w:hAnsi="宋体"/>
                <w:strike/>
                <w:color w:val="auto"/>
                <w:szCs w:val="21"/>
                <w:highlight w:val="none"/>
              </w:rPr>
              <w:t>期）规定执行，招标人可在</w:t>
            </w:r>
            <w:r>
              <w:rPr>
                <w:rFonts w:ascii="宋体" w:hAnsi="宋体"/>
                <w:strike/>
                <w:color w:val="auto"/>
                <w:szCs w:val="21"/>
                <w:highlight w:val="none"/>
              </w:rPr>
              <w:t>[0,20%]</w:t>
            </w:r>
            <w:r>
              <w:rPr>
                <w:rFonts w:hint="eastAsia" w:ascii="宋体" w:hAnsi="宋体"/>
                <w:strike/>
                <w:color w:val="auto"/>
                <w:szCs w:val="21"/>
                <w:highlight w:val="none"/>
              </w:rPr>
              <w:t>选择。技术分权重</w:t>
            </w:r>
            <w:r>
              <w:rPr>
                <w:rFonts w:ascii="宋体" w:hAnsi="宋体"/>
                <w:strike/>
                <w:color w:val="auto"/>
                <w:szCs w:val="21"/>
                <w:highlight w:val="none"/>
              </w:rPr>
              <w:t>=100%-</w:t>
            </w:r>
            <w:r>
              <w:rPr>
                <w:rFonts w:hint="eastAsia" w:ascii="宋体" w:hAnsi="宋体"/>
                <w:strike/>
                <w:color w:val="auto"/>
                <w:szCs w:val="21"/>
                <w:highlight w:val="none"/>
              </w:rPr>
              <w:t>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28</w:t>
            </w:r>
          </w:p>
        </w:tc>
        <w:tc>
          <w:tcPr>
            <w:tcW w:w="981" w:type="dxa"/>
            <w:vAlign w:val="center"/>
          </w:tcPr>
          <w:p>
            <w:pPr>
              <w:rPr>
                <w:rFonts w:ascii="宋体" w:hAnsi="宋体"/>
                <w:color w:val="auto"/>
                <w:szCs w:val="21"/>
                <w:highlight w:val="none"/>
              </w:rPr>
            </w:pPr>
          </w:p>
        </w:tc>
        <w:tc>
          <w:tcPr>
            <w:tcW w:w="1810" w:type="dxa"/>
            <w:vAlign w:val="center"/>
          </w:tcPr>
          <w:p>
            <w:pPr>
              <w:rPr>
                <w:rFonts w:ascii="宋体"/>
                <w:color w:val="auto"/>
                <w:szCs w:val="21"/>
                <w:highlight w:val="none"/>
              </w:rPr>
            </w:pPr>
            <w:r>
              <w:rPr>
                <w:rFonts w:hint="eastAsia" w:ascii="宋体" w:hAnsi="宋体"/>
                <w:color w:val="auto"/>
                <w:szCs w:val="21"/>
                <w:highlight w:val="none"/>
              </w:rPr>
              <w:t>评标委员会人数</w:t>
            </w:r>
          </w:p>
        </w:tc>
        <w:tc>
          <w:tcPr>
            <w:tcW w:w="5857" w:type="dxa"/>
            <w:vAlign w:val="center"/>
          </w:tcPr>
          <w:p>
            <w:pPr>
              <w:rPr>
                <w:rFonts w:asci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strike/>
                <w:color w:val="auto"/>
                <w:szCs w:val="21"/>
                <w:highlight w:val="none"/>
              </w:rPr>
            </w:pPr>
            <w:r>
              <w:rPr>
                <w:rFonts w:ascii="宋体" w:hAnsi="宋体"/>
                <w:strike/>
                <w:color w:val="auto"/>
                <w:szCs w:val="21"/>
                <w:highlight w:val="none"/>
              </w:rPr>
              <w:t>29</w:t>
            </w:r>
          </w:p>
        </w:tc>
        <w:tc>
          <w:tcPr>
            <w:tcW w:w="981" w:type="dxa"/>
            <w:vAlign w:val="center"/>
          </w:tcPr>
          <w:p>
            <w:pPr>
              <w:rPr>
                <w:rFonts w:ascii="宋体" w:hAnsi="宋体"/>
                <w:strike/>
                <w:color w:val="auto"/>
                <w:szCs w:val="21"/>
                <w:highlight w:val="none"/>
              </w:rPr>
            </w:pPr>
          </w:p>
        </w:tc>
        <w:tc>
          <w:tcPr>
            <w:tcW w:w="1810" w:type="dxa"/>
            <w:vAlign w:val="center"/>
          </w:tcPr>
          <w:p>
            <w:pPr>
              <w:rPr>
                <w:rFonts w:ascii="宋体"/>
                <w:strike/>
                <w:color w:val="auto"/>
                <w:szCs w:val="21"/>
                <w:highlight w:val="none"/>
              </w:rPr>
            </w:pPr>
            <w:r>
              <w:rPr>
                <w:rFonts w:hint="eastAsia" w:ascii="宋体" w:hAnsi="宋体"/>
                <w:strike/>
                <w:color w:val="auto"/>
                <w:szCs w:val="21"/>
                <w:highlight w:val="none"/>
              </w:rPr>
              <w:t>企业综合诚信评价分数</w:t>
            </w:r>
          </w:p>
        </w:tc>
        <w:tc>
          <w:tcPr>
            <w:tcW w:w="5857" w:type="dxa"/>
            <w:vAlign w:val="center"/>
          </w:tcPr>
          <w:p>
            <w:pPr>
              <w:rPr>
                <w:rFonts w:ascii="宋体"/>
                <w:strike/>
                <w:color w:val="auto"/>
                <w:szCs w:val="21"/>
                <w:highlight w:val="none"/>
              </w:rPr>
            </w:pPr>
            <w:r>
              <w:rPr>
                <w:rFonts w:hint="eastAsia" w:ascii="宋体" w:hAnsi="宋体"/>
                <w:strike/>
                <w:color w:val="auto"/>
                <w:szCs w:val="21"/>
                <w:highlight w:val="none"/>
              </w:rPr>
              <w:t>本项目的企业综合诚信评价分数，以</w:t>
            </w:r>
            <w:r>
              <w:rPr>
                <w:rFonts w:ascii="宋体" w:hAnsi="宋体"/>
                <w:strike/>
                <w:color w:val="auto"/>
                <w:szCs w:val="21"/>
                <w:highlight w:val="none"/>
              </w:rPr>
              <w:t xml:space="preserve">              </w:t>
            </w:r>
            <w:r>
              <w:rPr>
                <w:rFonts w:hint="eastAsia" w:ascii="宋体" w:hAnsi="宋体"/>
                <w:strike/>
                <w:color w:val="auto"/>
                <w:szCs w:val="21"/>
                <w:highlight w:val="none"/>
              </w:rPr>
              <w:t>排名为准。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strike/>
                <w:color w:val="auto"/>
                <w:szCs w:val="21"/>
                <w:highlight w:val="none"/>
              </w:rPr>
            </w:pPr>
            <w:r>
              <w:rPr>
                <w:rFonts w:ascii="宋体" w:hAnsi="宋体"/>
                <w:strike/>
                <w:color w:val="auto"/>
                <w:szCs w:val="21"/>
                <w:highlight w:val="none"/>
              </w:rPr>
              <w:t>30</w:t>
            </w:r>
          </w:p>
        </w:tc>
        <w:tc>
          <w:tcPr>
            <w:tcW w:w="981" w:type="dxa"/>
            <w:vAlign w:val="center"/>
          </w:tcPr>
          <w:p>
            <w:pPr>
              <w:ind w:firstLine="458"/>
              <w:rPr>
                <w:rFonts w:ascii="宋体"/>
                <w:strike/>
                <w:color w:val="auto"/>
                <w:szCs w:val="21"/>
                <w:highlight w:val="none"/>
              </w:rPr>
            </w:pPr>
          </w:p>
        </w:tc>
        <w:tc>
          <w:tcPr>
            <w:tcW w:w="1810" w:type="dxa"/>
            <w:vAlign w:val="center"/>
          </w:tcPr>
          <w:p>
            <w:pPr>
              <w:ind w:firstLine="458"/>
              <w:rPr>
                <w:rFonts w:ascii="宋体"/>
                <w:strike/>
                <w:color w:val="auto"/>
                <w:szCs w:val="21"/>
                <w:highlight w:val="none"/>
              </w:rPr>
            </w:pPr>
            <w:r>
              <w:rPr>
                <w:rFonts w:hint="eastAsia" w:ascii="宋体" w:hAnsi="宋体"/>
                <w:strike/>
                <w:color w:val="auto"/>
                <w:szCs w:val="21"/>
                <w:highlight w:val="none"/>
              </w:rPr>
              <w:t>第二阶段投标人名次的排序方法（适用于办法一、办法二）</w:t>
            </w:r>
          </w:p>
        </w:tc>
        <w:tc>
          <w:tcPr>
            <w:tcW w:w="5857" w:type="dxa"/>
            <w:vAlign w:val="center"/>
          </w:tcPr>
          <w:p>
            <w:pPr>
              <w:rPr>
                <w:rFonts w:ascii="宋体"/>
                <w:strike/>
                <w:color w:val="auto"/>
                <w:szCs w:val="21"/>
                <w:highlight w:val="none"/>
              </w:rPr>
            </w:pPr>
            <w:r>
              <w:rPr>
                <w:rFonts w:hint="eastAsia" w:ascii="宋体" w:hAnsi="宋体"/>
                <w:strike/>
                <w:color w:val="auto"/>
                <w:szCs w:val="21"/>
                <w:highlight w:val="none"/>
              </w:rPr>
              <w:t>选取方法</w:t>
            </w:r>
            <w:r>
              <w:rPr>
                <w:rFonts w:ascii="宋体" w:hAnsi="宋体"/>
                <w:strike/>
                <w:color w:val="auto"/>
                <w:szCs w:val="21"/>
                <w:highlight w:val="none"/>
                <w:u w:val="single"/>
              </w:rPr>
              <w:t xml:space="preserve">     </w:t>
            </w:r>
          </w:p>
          <w:p>
            <w:pPr>
              <w:rPr>
                <w:rFonts w:ascii="宋体" w:hAnsi="宋体"/>
                <w:strike/>
                <w:color w:val="auto"/>
                <w:szCs w:val="21"/>
                <w:highlight w:val="none"/>
              </w:rPr>
            </w:pPr>
            <w:r>
              <w:rPr>
                <w:rFonts w:hint="eastAsia" w:ascii="宋体" w:hAnsi="宋体"/>
                <w:strike/>
                <w:color w:val="auto"/>
                <w:szCs w:val="21"/>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r>
              <w:rPr>
                <w:rFonts w:ascii="宋体" w:hAnsi="宋体"/>
                <w:strike/>
                <w:color w:val="auto"/>
                <w:szCs w:val="21"/>
                <w:highlight w:val="none"/>
              </w:rPr>
              <w:t xml:space="preserve"> </w:t>
            </w:r>
          </w:p>
          <w:p>
            <w:pPr>
              <w:rPr>
                <w:rFonts w:ascii="宋体"/>
                <w:strike/>
                <w:color w:val="auto"/>
                <w:szCs w:val="21"/>
                <w:highlight w:val="none"/>
              </w:rPr>
            </w:pPr>
            <w:r>
              <w:rPr>
                <w:rFonts w:hint="eastAsia" w:ascii="宋体" w:hAnsi="宋体"/>
                <w:strike/>
                <w:color w:val="auto"/>
                <w:szCs w:val="21"/>
                <w:highlight w:val="none"/>
              </w:rPr>
              <w:t>方法二：将进入第二阶段投标人的投标报价按大于或小于等于工程成本警戒价的标准分为</w:t>
            </w:r>
            <w:r>
              <w:rPr>
                <w:rFonts w:ascii="宋体" w:hAnsi="宋体"/>
                <w:strike/>
                <w:color w:val="auto"/>
                <w:szCs w:val="21"/>
                <w:highlight w:val="none"/>
              </w:rPr>
              <w:t>2</w:t>
            </w:r>
            <w:r>
              <w:rPr>
                <w:rFonts w:hint="eastAsia" w:ascii="宋体" w:hAnsi="宋体"/>
                <w:strike/>
                <w:color w:val="auto"/>
                <w:szCs w:val="21"/>
                <w:highlight w:val="none"/>
              </w:rPr>
              <w:t>组。首先，对于小于或等于工程成本警戒价的，评标委员会从序号</w:t>
            </w:r>
            <w:r>
              <w:rPr>
                <w:rFonts w:ascii="宋体" w:hAnsi="宋体"/>
                <w:strike/>
                <w:color w:val="auto"/>
                <w:szCs w:val="21"/>
                <w:highlight w:val="none"/>
              </w:rPr>
              <w:t>1</w:t>
            </w:r>
            <w:r>
              <w:rPr>
                <w:rFonts w:hint="eastAsia" w:ascii="宋体" w:hAnsi="宋体"/>
                <w:strike/>
                <w:color w:val="auto"/>
                <w:szCs w:val="21"/>
                <w:highlight w:val="none"/>
              </w:rPr>
              <w:t>开始随机确定投标人的排序，若仅有</w:t>
            </w:r>
            <w:r>
              <w:rPr>
                <w:rFonts w:ascii="宋体" w:hAnsi="宋体"/>
                <w:strike/>
                <w:color w:val="auto"/>
                <w:szCs w:val="21"/>
                <w:highlight w:val="none"/>
              </w:rPr>
              <w:t>1</w:t>
            </w:r>
            <w:r>
              <w:rPr>
                <w:rFonts w:hint="eastAsia" w:ascii="宋体" w:hAnsi="宋体"/>
                <w:strike/>
                <w:color w:val="auto"/>
                <w:szCs w:val="21"/>
                <w:highlight w:val="none"/>
              </w:rPr>
              <w:t>名投标报价小于等于工程成本警戒价的，该投标人为第</w:t>
            </w:r>
            <w:r>
              <w:rPr>
                <w:rFonts w:ascii="宋体" w:hAnsi="宋体"/>
                <w:strike/>
                <w:color w:val="auto"/>
                <w:szCs w:val="21"/>
                <w:highlight w:val="none"/>
              </w:rPr>
              <w:t>1</w:t>
            </w:r>
            <w:r>
              <w:rPr>
                <w:rFonts w:hint="eastAsia" w:ascii="宋体" w:hAnsi="宋体"/>
                <w:strike/>
                <w:color w:val="auto"/>
                <w:szCs w:val="21"/>
                <w:highlight w:val="none"/>
              </w:rPr>
              <w:t>名；其次，对于大于工程成本警戒价的投标报价由低至高进行排序，序号接上一组。</w:t>
            </w:r>
          </w:p>
          <w:p>
            <w:pPr>
              <w:rPr>
                <w:rFonts w:ascii="宋体" w:hAnsi="宋体"/>
                <w:strike/>
                <w:color w:val="auto"/>
                <w:szCs w:val="21"/>
                <w:highlight w:val="none"/>
              </w:rPr>
            </w:pPr>
            <w:r>
              <w:rPr>
                <w:rFonts w:hint="eastAsia" w:ascii="宋体" w:hAnsi="宋体"/>
                <w:strike/>
                <w:color w:val="auto"/>
                <w:szCs w:val="21"/>
                <w:highlight w:val="none"/>
              </w:rPr>
              <w:t>方法三：</w:t>
            </w:r>
            <w:r>
              <w:rPr>
                <w:rFonts w:ascii="宋体" w:hAnsi="宋体"/>
                <w:strike/>
                <w:color w:val="auto"/>
                <w:szCs w:val="21"/>
                <w:highlight w:val="none"/>
              </w:rPr>
              <w:t xml:space="preserve"> </w:t>
            </w:r>
            <w:r>
              <w:rPr>
                <w:rFonts w:hint="eastAsia" w:ascii="宋体" w:hAnsi="宋体"/>
                <w:strike/>
                <w:color w:val="auto"/>
                <w:szCs w:val="21"/>
                <w:highlight w:val="none"/>
              </w:rPr>
              <w:t>（由招标人自行确定）</w:t>
            </w:r>
            <w:r>
              <w:rPr>
                <w:rFonts w:ascii="宋体" w:hAnsi="宋体"/>
                <w:strike/>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strike/>
                <w:color w:val="auto"/>
                <w:szCs w:val="21"/>
                <w:highlight w:val="none"/>
              </w:rPr>
            </w:pPr>
            <w:r>
              <w:rPr>
                <w:rFonts w:ascii="宋体" w:hAnsi="宋体"/>
                <w:strike/>
                <w:color w:val="auto"/>
                <w:szCs w:val="21"/>
                <w:highlight w:val="none"/>
              </w:rPr>
              <w:t>31</w:t>
            </w:r>
          </w:p>
        </w:tc>
        <w:tc>
          <w:tcPr>
            <w:tcW w:w="981" w:type="dxa"/>
            <w:vAlign w:val="center"/>
          </w:tcPr>
          <w:p>
            <w:pPr>
              <w:ind w:firstLine="458"/>
              <w:rPr>
                <w:rFonts w:ascii="宋体"/>
                <w:strike/>
                <w:color w:val="auto"/>
                <w:szCs w:val="21"/>
                <w:highlight w:val="none"/>
              </w:rPr>
            </w:pPr>
          </w:p>
        </w:tc>
        <w:tc>
          <w:tcPr>
            <w:tcW w:w="1810" w:type="dxa"/>
            <w:vAlign w:val="center"/>
          </w:tcPr>
          <w:p>
            <w:pPr>
              <w:rPr>
                <w:rFonts w:ascii="宋体"/>
                <w:strike/>
                <w:color w:val="auto"/>
                <w:szCs w:val="21"/>
                <w:highlight w:val="none"/>
              </w:rPr>
            </w:pPr>
            <w:r>
              <w:rPr>
                <w:rFonts w:hint="eastAsia" w:ascii="宋体" w:hAnsi="宋体"/>
                <w:strike/>
                <w:color w:val="auto"/>
                <w:szCs w:val="21"/>
                <w:highlight w:val="none"/>
              </w:rPr>
              <w:t>经济分相同情况下的排序方法（适用于办法三、办法四）</w:t>
            </w:r>
          </w:p>
        </w:tc>
        <w:tc>
          <w:tcPr>
            <w:tcW w:w="5857" w:type="dxa"/>
            <w:vAlign w:val="center"/>
          </w:tcPr>
          <w:p>
            <w:pPr>
              <w:rPr>
                <w:rFonts w:ascii="宋体"/>
                <w:strike/>
                <w:color w:val="auto"/>
                <w:szCs w:val="21"/>
                <w:highlight w:val="none"/>
              </w:rPr>
            </w:pPr>
            <w:r>
              <w:rPr>
                <w:rFonts w:hint="eastAsia" w:ascii="宋体" w:hAnsi="宋体"/>
                <w:strike/>
                <w:color w:val="auto"/>
                <w:szCs w:val="21"/>
                <w:highlight w:val="none"/>
              </w:rPr>
              <w:t>选取方法</w:t>
            </w:r>
            <w:r>
              <w:rPr>
                <w:rFonts w:ascii="宋体" w:hAnsi="宋体"/>
                <w:strike/>
                <w:color w:val="auto"/>
                <w:szCs w:val="21"/>
                <w:highlight w:val="none"/>
                <w:u w:val="single"/>
              </w:rPr>
              <w:t xml:space="preserve">     </w:t>
            </w:r>
          </w:p>
          <w:p>
            <w:pPr>
              <w:rPr>
                <w:rFonts w:ascii="宋体"/>
                <w:strike/>
                <w:color w:val="auto"/>
                <w:szCs w:val="21"/>
                <w:highlight w:val="none"/>
              </w:rPr>
            </w:pPr>
            <w:r>
              <w:rPr>
                <w:rFonts w:hint="eastAsia" w:ascii="宋体" w:hAnsi="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rFonts w:ascii="宋体"/>
                <w:strike/>
                <w:color w:val="auto"/>
                <w:szCs w:val="21"/>
                <w:highlight w:val="none"/>
              </w:rPr>
            </w:pPr>
            <w:r>
              <w:rPr>
                <w:rFonts w:hint="eastAsia" w:ascii="宋体" w:hAnsi="宋体"/>
                <w:strike/>
                <w:color w:val="auto"/>
                <w:szCs w:val="21"/>
                <w:highlight w:val="none"/>
              </w:rPr>
              <w:t>方法二：经济分相同的投标文件，由评标委员会采用随机方式，确定投标人的排序。</w:t>
            </w:r>
          </w:p>
          <w:p>
            <w:pPr>
              <w:rPr>
                <w:rFonts w:ascii="宋体" w:hAnsi="宋体"/>
                <w:strike/>
                <w:color w:val="auto"/>
                <w:szCs w:val="21"/>
                <w:highlight w:val="none"/>
              </w:rPr>
            </w:pPr>
            <w:r>
              <w:rPr>
                <w:rFonts w:hint="eastAsia" w:ascii="宋体" w:hAnsi="宋体"/>
                <w:strike/>
                <w:color w:val="auto"/>
                <w:szCs w:val="21"/>
                <w:highlight w:val="none"/>
              </w:rPr>
              <w:t>方法三：</w:t>
            </w:r>
            <w:r>
              <w:rPr>
                <w:rFonts w:ascii="宋体" w:hAnsi="宋体"/>
                <w:strike/>
                <w:color w:val="auto"/>
                <w:szCs w:val="21"/>
                <w:highlight w:val="none"/>
              </w:rPr>
              <w:t xml:space="preserve">  </w:t>
            </w:r>
            <w:r>
              <w:rPr>
                <w:rFonts w:hint="eastAsia" w:ascii="宋体" w:hAnsi="宋体"/>
                <w:strike/>
                <w:color w:val="auto"/>
                <w:szCs w:val="21"/>
                <w:highlight w:val="none"/>
              </w:rPr>
              <w:t>（由招标人自行确定）</w:t>
            </w:r>
            <w:r>
              <w:rPr>
                <w:rFonts w:ascii="宋体" w:hAnsi="宋体"/>
                <w:strike/>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strike/>
                <w:color w:val="auto"/>
                <w:szCs w:val="21"/>
                <w:highlight w:val="none"/>
              </w:rPr>
            </w:pPr>
            <w:r>
              <w:rPr>
                <w:rFonts w:ascii="宋体" w:hAnsi="宋体"/>
                <w:strike/>
                <w:color w:val="auto"/>
                <w:szCs w:val="21"/>
                <w:highlight w:val="none"/>
              </w:rPr>
              <w:t>32</w:t>
            </w:r>
          </w:p>
        </w:tc>
        <w:tc>
          <w:tcPr>
            <w:tcW w:w="981" w:type="dxa"/>
            <w:vAlign w:val="center"/>
          </w:tcPr>
          <w:p>
            <w:pPr>
              <w:ind w:firstLine="458"/>
              <w:rPr>
                <w:rFonts w:ascii="宋体"/>
                <w:strike/>
                <w:color w:val="auto"/>
                <w:szCs w:val="21"/>
                <w:highlight w:val="none"/>
              </w:rPr>
            </w:pPr>
          </w:p>
        </w:tc>
        <w:tc>
          <w:tcPr>
            <w:tcW w:w="1810" w:type="dxa"/>
            <w:vAlign w:val="center"/>
          </w:tcPr>
          <w:p>
            <w:pPr>
              <w:rPr>
                <w:rFonts w:ascii="宋体"/>
                <w:strike/>
                <w:color w:val="auto"/>
                <w:szCs w:val="21"/>
                <w:highlight w:val="none"/>
              </w:rPr>
            </w:pPr>
            <w:r>
              <w:rPr>
                <w:rFonts w:hint="eastAsia" w:ascii="宋体" w:hAnsi="宋体"/>
                <w:strike/>
                <w:color w:val="auto"/>
                <w:szCs w:val="21"/>
                <w:highlight w:val="none"/>
              </w:rPr>
              <w:t>第二阶段投标人名次的排序方法（适用于办法五、办法六）</w:t>
            </w:r>
          </w:p>
        </w:tc>
        <w:tc>
          <w:tcPr>
            <w:tcW w:w="5857" w:type="dxa"/>
            <w:vAlign w:val="center"/>
          </w:tcPr>
          <w:p>
            <w:pPr>
              <w:rPr>
                <w:rFonts w:ascii="宋体"/>
                <w:strike/>
                <w:color w:val="auto"/>
                <w:szCs w:val="21"/>
                <w:highlight w:val="none"/>
              </w:rPr>
            </w:pPr>
            <w:r>
              <w:rPr>
                <w:rFonts w:hint="eastAsia" w:ascii="宋体" w:hAnsi="宋体"/>
                <w:strike/>
                <w:color w:val="auto"/>
                <w:szCs w:val="21"/>
                <w:highlight w:val="none"/>
              </w:rPr>
              <w:t>选取方法</w:t>
            </w:r>
            <w:r>
              <w:rPr>
                <w:rFonts w:ascii="宋体" w:hAnsi="宋体"/>
                <w:strike/>
                <w:color w:val="auto"/>
                <w:szCs w:val="21"/>
                <w:highlight w:val="none"/>
                <w:u w:val="single"/>
              </w:rPr>
              <w:t xml:space="preserve">     </w:t>
            </w:r>
          </w:p>
          <w:p>
            <w:pPr>
              <w:rPr>
                <w:rFonts w:ascii="宋体"/>
                <w:strike/>
                <w:color w:val="auto"/>
                <w:szCs w:val="21"/>
                <w:highlight w:val="none"/>
              </w:rPr>
            </w:pPr>
            <w:r>
              <w:rPr>
                <w:rFonts w:hint="eastAsia" w:ascii="宋体" w:hAnsi="宋体"/>
                <w:strike/>
                <w:color w:val="auto"/>
                <w:szCs w:val="21"/>
                <w:highlight w:val="none"/>
              </w:rPr>
              <w:t>方法一：评标委员会按照“总分</w:t>
            </w:r>
            <w:r>
              <w:rPr>
                <w:rFonts w:ascii="宋体" w:hAnsi="宋体"/>
                <w:strike/>
                <w:color w:val="auto"/>
                <w:szCs w:val="21"/>
                <w:highlight w:val="none"/>
              </w:rPr>
              <w:t>=</w:t>
            </w:r>
            <w:r>
              <w:rPr>
                <w:rFonts w:ascii="宋体" w:hAnsi="宋体"/>
                <w:strike/>
                <w:color w:val="auto"/>
                <w:szCs w:val="21"/>
                <w:highlight w:val="none"/>
                <w:u w:val="single"/>
              </w:rPr>
              <w:t xml:space="preserve">           </w:t>
            </w:r>
            <w:r>
              <w:rPr>
                <w:rFonts w:hint="eastAsia" w:ascii="宋体" w:hAnsi="宋体"/>
                <w:strike/>
                <w:color w:val="auto"/>
                <w:szCs w:val="21"/>
                <w:highlight w:val="none"/>
              </w:rPr>
              <w:t>的公式，计算各有效投标文件的总分，并按照总分从高到低排序。总得分相同的投标文件，以报价较低的排前；总得分与报价均相同的投标文件，以</w:t>
            </w:r>
            <w:r>
              <w:rPr>
                <w:rFonts w:ascii="宋体" w:hAnsi="宋体"/>
                <w:strike/>
                <w:color w:val="auto"/>
                <w:szCs w:val="21"/>
                <w:highlight w:val="none"/>
                <w:u w:val="single"/>
              </w:rPr>
              <w:t xml:space="preserve">     </w:t>
            </w:r>
            <w:r>
              <w:rPr>
                <w:rFonts w:hint="eastAsia" w:ascii="宋体" w:hAnsi="宋体"/>
                <w:strike/>
                <w:color w:val="auto"/>
                <w:szCs w:val="21"/>
                <w:highlight w:val="none"/>
              </w:rPr>
              <w:t>较高的排前；总得分、报价与</w:t>
            </w:r>
            <w:r>
              <w:rPr>
                <w:rFonts w:ascii="宋体" w:hAnsi="宋体"/>
                <w:strike/>
                <w:color w:val="auto"/>
                <w:szCs w:val="21"/>
                <w:highlight w:val="none"/>
                <w:u w:val="single"/>
              </w:rPr>
              <w:t xml:space="preserve">     </w:t>
            </w:r>
            <w:r>
              <w:rPr>
                <w:rFonts w:hint="eastAsia" w:ascii="宋体" w:hAnsi="宋体"/>
                <w:strike/>
                <w:color w:val="auto"/>
                <w:szCs w:val="21"/>
                <w:highlight w:val="none"/>
              </w:rPr>
              <w:t>均相同的投标文件，以诚信综合评价分数高的排前；如仍存在相同情况，则对具有相同情况的投标人，由评标委员会采用随机方式，确定投标人的排序。</w:t>
            </w:r>
          </w:p>
          <w:p>
            <w:pPr>
              <w:rPr>
                <w:rFonts w:ascii="宋体" w:hAnsi="宋体"/>
                <w:strike/>
                <w:color w:val="auto"/>
                <w:szCs w:val="21"/>
                <w:highlight w:val="none"/>
              </w:rPr>
            </w:pPr>
            <w:r>
              <w:rPr>
                <w:rFonts w:hint="eastAsia" w:ascii="宋体" w:hAnsi="宋体"/>
                <w:strike/>
                <w:color w:val="auto"/>
                <w:szCs w:val="21"/>
                <w:highlight w:val="none"/>
              </w:rPr>
              <w:t>方法二：</w:t>
            </w:r>
            <w:r>
              <w:rPr>
                <w:rFonts w:ascii="宋体" w:hAnsi="宋体"/>
                <w:strike/>
                <w:color w:val="auto"/>
                <w:szCs w:val="21"/>
                <w:highlight w:val="none"/>
              </w:rPr>
              <w:t xml:space="preserve">  </w:t>
            </w:r>
            <w:r>
              <w:rPr>
                <w:rFonts w:hint="eastAsia" w:ascii="宋体" w:hAnsi="宋体"/>
                <w:strike/>
                <w:color w:val="auto"/>
                <w:szCs w:val="21"/>
                <w:highlight w:val="none"/>
              </w:rPr>
              <w:t>（由招标人自行确定）</w:t>
            </w:r>
            <w:r>
              <w:rPr>
                <w:rFonts w:ascii="宋体" w:hAnsi="宋体"/>
                <w:strike/>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33</w:t>
            </w:r>
          </w:p>
        </w:tc>
        <w:tc>
          <w:tcPr>
            <w:tcW w:w="981" w:type="dxa"/>
            <w:vAlign w:val="center"/>
          </w:tcPr>
          <w:p>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vAlign w:val="center"/>
          </w:tcPr>
          <w:p>
            <w:pPr>
              <w:rPr>
                <w:rFonts w:ascii="宋体"/>
                <w:color w:val="auto"/>
                <w:szCs w:val="21"/>
                <w:highlight w:val="none"/>
              </w:rPr>
            </w:pPr>
            <w:r>
              <w:rPr>
                <w:rFonts w:hint="eastAsia" w:ascii="宋体" w:hAnsi="宋体"/>
                <w:color w:val="auto"/>
                <w:szCs w:val="21"/>
                <w:highlight w:val="none"/>
              </w:rPr>
              <w:t>合同价款的调整办法</w:t>
            </w:r>
          </w:p>
        </w:tc>
        <w:tc>
          <w:tcPr>
            <w:tcW w:w="5857" w:type="dxa"/>
            <w:vAlign w:val="center"/>
          </w:tcPr>
          <w:p>
            <w:pPr>
              <w:rPr>
                <w:rFonts w:ascii="宋体"/>
                <w:color w:val="auto"/>
                <w:szCs w:val="21"/>
                <w:highlight w:val="none"/>
                <w:u w:val="single"/>
              </w:rPr>
            </w:pPr>
            <w:r>
              <w:rPr>
                <w:rFonts w:hint="eastAsia" w:ascii="宋体" w:hAnsi="宋体"/>
                <w:color w:val="auto"/>
                <w:szCs w:val="21"/>
                <w:highlight w:val="none"/>
                <w:u w:val="single"/>
              </w:rPr>
              <w:t>工程变更以合同的专用条款约定为准，详见招标文件相关合同条款。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34</w:t>
            </w:r>
          </w:p>
        </w:tc>
        <w:tc>
          <w:tcPr>
            <w:tcW w:w="981" w:type="dxa"/>
            <w:vAlign w:val="center"/>
          </w:tcPr>
          <w:p>
            <w:pPr>
              <w:rPr>
                <w:rFonts w:ascii="宋体" w:hAnsi="宋体"/>
                <w:color w:val="auto"/>
                <w:szCs w:val="21"/>
                <w:highlight w:val="none"/>
              </w:rPr>
            </w:pPr>
          </w:p>
        </w:tc>
        <w:tc>
          <w:tcPr>
            <w:tcW w:w="1810" w:type="dxa"/>
            <w:vAlign w:val="center"/>
          </w:tcPr>
          <w:p>
            <w:pPr>
              <w:rPr>
                <w:rFonts w:ascii="宋体"/>
                <w:color w:val="auto"/>
                <w:szCs w:val="21"/>
                <w:highlight w:val="none"/>
              </w:rPr>
            </w:pPr>
            <w:r>
              <w:rPr>
                <w:rFonts w:hint="eastAsia" w:ascii="宋体" w:hAnsi="宋体"/>
                <w:color w:val="auto"/>
                <w:kern w:val="0"/>
                <w:szCs w:val="21"/>
                <w:highlight w:val="none"/>
                <w:lang w:val="zh-CN"/>
              </w:rPr>
              <w:t>建设工程质量检测单位</w:t>
            </w:r>
          </w:p>
        </w:tc>
        <w:tc>
          <w:tcPr>
            <w:tcW w:w="5857" w:type="dxa"/>
            <w:vAlign w:val="center"/>
          </w:tcPr>
          <w:p>
            <w:pPr>
              <w:rPr>
                <w:rFonts w:asci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w:t>
            </w:r>
            <w:r>
              <w:rPr>
                <w:rFonts w:ascii="宋体" w:hAnsi="宋体"/>
                <w:color w:val="auto"/>
                <w:kern w:val="0"/>
                <w:szCs w:val="21"/>
                <w:highlight w:val="none"/>
                <w:lang w:val="zh-CN"/>
              </w:rPr>
              <w:t>2</w:t>
            </w:r>
            <w:r>
              <w:rPr>
                <w:rFonts w:hint="eastAsia" w:ascii="宋体" w:hAnsi="宋体"/>
                <w:color w:val="auto"/>
                <w:kern w:val="0"/>
                <w:szCs w:val="21"/>
                <w:highlight w:val="none"/>
                <w:lang w:val="zh-CN"/>
              </w:rPr>
              <w:t>年的</w:t>
            </w:r>
            <w:r>
              <w:rPr>
                <w:rFonts w:ascii="宋体" w:hAnsi="宋体"/>
                <w:color w:val="auto"/>
                <w:kern w:val="0"/>
                <w:szCs w:val="21"/>
                <w:highlight w:val="none"/>
                <w:lang w:val="zh-CN"/>
              </w:rPr>
              <w:t>1</w:t>
            </w:r>
            <w:r>
              <w:rPr>
                <w:rFonts w:hint="eastAsia" w:ascii="宋体" w:hAnsi="宋体"/>
                <w:color w:val="auto"/>
                <w:kern w:val="0"/>
                <w:szCs w:val="21"/>
                <w:highlight w:val="none"/>
                <w:lang w:val="zh-CN"/>
              </w:rPr>
              <w:t>月</w:t>
            </w:r>
            <w:r>
              <w:rPr>
                <w:rFonts w:ascii="宋体" w:hAnsi="宋体"/>
                <w:color w:val="auto"/>
                <w:kern w:val="0"/>
                <w:szCs w:val="21"/>
                <w:highlight w:val="none"/>
                <w:lang w:val="zh-CN"/>
              </w:rPr>
              <w:t>1</w:t>
            </w:r>
            <w:r>
              <w:rPr>
                <w:rFonts w:hint="eastAsia" w:ascii="宋体" w:hAnsi="宋体"/>
                <w:color w:val="auto"/>
                <w:kern w:val="0"/>
                <w:szCs w:val="21"/>
                <w:highlight w:val="none"/>
                <w:lang w:val="zh-CN"/>
              </w:rPr>
              <w:t>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35</w:t>
            </w:r>
          </w:p>
        </w:tc>
        <w:tc>
          <w:tcPr>
            <w:tcW w:w="981" w:type="dxa"/>
            <w:vAlign w:val="center"/>
          </w:tcPr>
          <w:p>
            <w:pPr>
              <w:rPr>
                <w:rFonts w:ascii="宋体" w:hAnsi="宋体"/>
                <w:color w:val="auto"/>
                <w:szCs w:val="21"/>
                <w:highlight w:val="none"/>
              </w:rPr>
            </w:pPr>
          </w:p>
        </w:tc>
        <w:tc>
          <w:tcPr>
            <w:tcW w:w="1810" w:type="dxa"/>
            <w:vAlign w:val="center"/>
          </w:tcPr>
          <w:p>
            <w:pPr>
              <w:rPr>
                <w:rFonts w:asci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vAlign w:val="center"/>
          </w:tcPr>
          <w:p>
            <w:pPr>
              <w:rPr>
                <w:rFonts w:ascii="宋体"/>
                <w:color w:val="auto"/>
                <w:kern w:val="0"/>
                <w:szCs w:val="21"/>
                <w:highlight w:val="none"/>
                <w:lang w:val="zh-CN"/>
              </w:rPr>
            </w:pPr>
            <w:r>
              <w:rPr>
                <w:rFonts w:hint="eastAsia" w:ascii="宋体" w:hAnsi="宋体"/>
                <w:color w:val="auto"/>
                <w:szCs w:val="21"/>
                <w:highlight w:val="none"/>
              </w:rPr>
              <w:t>□</w:t>
            </w:r>
            <w:r>
              <w:rPr>
                <w:rFonts w:hint="eastAsia" w:ascii="宋体" w:hAnsi="宋体"/>
                <w:color w:val="auto"/>
                <w:kern w:val="0"/>
                <w:szCs w:val="21"/>
                <w:highlight w:val="none"/>
                <w:lang w:val="zh-CN"/>
              </w:rPr>
              <w:t>不允许；</w:t>
            </w:r>
          </w:p>
          <w:p>
            <w:pPr>
              <w:rPr>
                <w:rFonts w:ascii="宋体" w:hAnsi="宋体"/>
                <w:color w:val="auto"/>
                <w:kern w:val="0"/>
                <w:szCs w:val="21"/>
                <w:highlight w:val="none"/>
                <w:lang w:val="zh-CN"/>
              </w:rPr>
            </w:pPr>
            <w:r>
              <w:rPr>
                <w:rFonts w:hint="eastAsia" w:ascii="宋体" w:hAnsi="宋体"/>
                <w:color w:val="auto"/>
                <w:szCs w:val="21"/>
                <w:highlight w:val="none"/>
              </w:rPr>
              <w:t>■</w:t>
            </w:r>
            <w:r>
              <w:rPr>
                <w:rFonts w:hint="eastAsia" w:ascii="宋体" w:hAnsi="宋体"/>
                <w:color w:val="auto"/>
                <w:kern w:val="0"/>
                <w:szCs w:val="21"/>
                <w:highlight w:val="none"/>
                <w:lang w:val="zh-CN"/>
              </w:rPr>
              <w:t>允许：分包内容要求：</w:t>
            </w:r>
            <w:r>
              <w:rPr>
                <w:rFonts w:hint="eastAsia" w:ascii="宋体" w:hAnsi="宋体" w:cs="宋体"/>
                <w:color w:val="auto"/>
                <w:szCs w:val="21"/>
                <w:highlight w:val="none"/>
              </w:rPr>
              <w:t>对于非主体、非关键性工程，投标人不具备相应资质的，需经建设单位或项目管理单位审核批准后分包给具有相应资质和能力的专业单位实施。</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cs="宋体"/>
                <w:color w:val="auto"/>
                <w:szCs w:val="21"/>
                <w:highlight w:val="none"/>
              </w:rPr>
              <w:t>按国家现行规定执行。</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s="宋体"/>
                <w:color w:val="auto"/>
                <w:szCs w:val="21"/>
                <w:highlight w:val="none"/>
              </w:rPr>
              <w:t>按国家资质管理规定执行。</w:t>
            </w:r>
          </w:p>
          <w:p>
            <w:pPr>
              <w:rPr>
                <w:rFonts w:ascii="宋体"/>
                <w:color w:val="auto"/>
                <w:kern w:val="0"/>
                <w:szCs w:val="21"/>
                <w:highlight w:val="none"/>
                <w:lang w:val="zh-CN"/>
              </w:rPr>
            </w:pPr>
            <w:r>
              <w:rPr>
                <w:rFonts w:hint="eastAsia" w:ascii="宋体" w:hAnsi="宋体"/>
                <w:color w:val="auto"/>
                <w:kern w:val="0"/>
                <w:szCs w:val="21"/>
                <w:highlight w:val="none"/>
                <w:lang w:val="zh-CN"/>
              </w:rPr>
              <w:t xml:space="preserve">        对分包人的其他要求：详见合同约定条款。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ascii="宋体" w:hAnsi="宋体"/>
                <w:color w:val="auto"/>
                <w:szCs w:val="21"/>
                <w:highlight w:val="none"/>
              </w:rPr>
            </w:pPr>
            <w:r>
              <w:rPr>
                <w:rFonts w:ascii="宋体" w:hAnsi="宋体"/>
                <w:color w:val="auto"/>
                <w:szCs w:val="21"/>
                <w:highlight w:val="none"/>
              </w:rPr>
              <w:t>36</w:t>
            </w:r>
          </w:p>
        </w:tc>
        <w:tc>
          <w:tcPr>
            <w:tcW w:w="981" w:type="dxa"/>
            <w:vAlign w:val="center"/>
          </w:tcPr>
          <w:p>
            <w:pPr>
              <w:jc w:val="center"/>
              <w:rPr>
                <w:rFonts w:ascii="宋体"/>
                <w:color w:val="auto"/>
                <w:highlight w:val="none"/>
              </w:rPr>
            </w:pPr>
          </w:p>
        </w:tc>
        <w:tc>
          <w:tcPr>
            <w:tcW w:w="1810" w:type="dxa"/>
            <w:vAlign w:val="center"/>
          </w:tcPr>
          <w:p>
            <w:pPr>
              <w:jc w:val="center"/>
              <w:rPr>
                <w:rFonts w:ascii="宋体"/>
                <w:color w:val="auto"/>
                <w:highlight w:val="none"/>
              </w:rPr>
            </w:pPr>
            <w:r>
              <w:rPr>
                <w:rFonts w:hint="eastAsia" w:ascii="宋体" w:hAnsi="宋体"/>
                <w:color w:val="auto"/>
                <w:highlight w:val="none"/>
              </w:rPr>
              <w:t>电子招标投标解密失败及突发情况的补救</w:t>
            </w:r>
          </w:p>
        </w:tc>
        <w:tc>
          <w:tcPr>
            <w:tcW w:w="5857" w:type="dxa"/>
            <w:vAlign w:val="center"/>
          </w:tcPr>
          <w:p>
            <w:pPr>
              <w:rPr>
                <w:rFonts w:ascii="宋体" w:hAnsi="宋体" w:cs="Courier New"/>
                <w:color w:val="auto"/>
                <w:szCs w:val="21"/>
                <w:highlight w:val="none"/>
              </w:rPr>
            </w:pPr>
            <w:r>
              <w:rPr>
                <w:rFonts w:ascii="宋体" w:hAnsi="宋体" w:cs="Courier New"/>
                <w:color w:val="auto"/>
                <w:szCs w:val="21"/>
                <w:highlight w:val="none"/>
              </w:rPr>
              <w:t>1</w:t>
            </w:r>
            <w:r>
              <w:rPr>
                <w:rFonts w:hint="eastAsia" w:ascii="宋体" w:hAnsi="宋体" w:cs="Courier New"/>
                <w:color w:val="auto"/>
                <w:szCs w:val="21"/>
                <w:highlight w:val="none"/>
              </w:rPr>
              <w:t>、按照交易平台关于全流程电子化项目的相关指南进行操作。详见：</w:t>
            </w:r>
            <w:r>
              <w:rPr>
                <w:rFonts w:hint="eastAsia" w:ascii="宋体" w:hAnsi="宋体"/>
                <w:color w:val="auto"/>
                <w:szCs w:val="21"/>
                <w:highlight w:val="none"/>
                <w:u w:val="single"/>
              </w:rPr>
              <w:t>广州交易集团有限公司（广州公共资源交易中心）网站</w:t>
            </w:r>
            <w:r>
              <w:rPr>
                <w:rFonts w:ascii="宋体" w:hAnsi="宋体"/>
                <w:color w:val="auto"/>
                <w:szCs w:val="21"/>
                <w:highlight w:val="none"/>
                <w:u w:val="single"/>
              </w:rPr>
              <w:t>(http:/ www.gzggzy.cn)</w:t>
            </w:r>
            <w:r>
              <w:rPr>
                <w:rFonts w:hint="eastAsia" w:ascii="宋体" w:hAnsi="宋体"/>
                <w:color w:val="auto"/>
                <w:szCs w:val="21"/>
                <w:highlight w:val="none"/>
                <w:u w:val="single"/>
              </w:rPr>
              <w:t>服务指南栏目发布的最新版操作指引</w:t>
            </w:r>
            <w:r>
              <w:rPr>
                <w:rFonts w:hint="eastAsia" w:ascii="宋体" w:hAnsi="宋体" w:cs="Courier New"/>
                <w:color w:val="auto"/>
                <w:szCs w:val="21"/>
                <w:highlight w:val="none"/>
              </w:rPr>
              <w:t>。</w:t>
            </w:r>
          </w:p>
          <w:p>
            <w:pPr>
              <w:rPr>
                <w:rFonts w:ascii="宋体" w:cs="Courier New"/>
                <w:color w:val="auto"/>
                <w:szCs w:val="21"/>
                <w:highlight w:val="none"/>
              </w:rPr>
            </w:pPr>
            <w:r>
              <w:rPr>
                <w:rFonts w:ascii="宋体" w:hAnsi="宋体" w:cs="Courier New"/>
                <w:color w:val="auto"/>
                <w:szCs w:val="21"/>
                <w:highlight w:val="none"/>
              </w:rPr>
              <w:t>2</w:t>
            </w:r>
            <w:r>
              <w:rPr>
                <w:rFonts w:hint="eastAsia" w:ascii="宋体" w:hAnsi="宋体" w:cs="Courier New"/>
                <w:color w:val="auto"/>
                <w:szCs w:val="21"/>
                <w:highlight w:val="none"/>
              </w:rPr>
              <w:t>、提交投标文件光盘备用</w:t>
            </w:r>
          </w:p>
          <w:p>
            <w:pPr>
              <w:rPr>
                <w:rFonts w:ascii="宋体" w:cs="Courier New"/>
                <w:color w:val="auto"/>
                <w:szCs w:val="21"/>
                <w:highlight w:val="none"/>
              </w:rPr>
            </w:pPr>
            <w:r>
              <w:rPr>
                <w:rFonts w:hint="eastAsia" w:ascii="宋体" w:hAnsi="宋体" w:cs="Courier New"/>
                <w:color w:val="auto"/>
                <w:szCs w:val="21"/>
                <w:highlight w:val="none"/>
              </w:rPr>
              <w:t>投标人可制作非加密的电子投标文件（</w:t>
            </w:r>
            <w:r>
              <w:rPr>
                <w:rFonts w:ascii="宋体" w:hAnsi="宋体" w:cs="Courier New"/>
                <w:color w:val="auto"/>
                <w:szCs w:val="21"/>
                <w:highlight w:val="none"/>
              </w:rPr>
              <w:t>PDF</w:t>
            </w:r>
            <w:r>
              <w:rPr>
                <w:rFonts w:hint="eastAsia" w:ascii="宋体" w:hAnsi="宋体" w:cs="Courier New"/>
                <w:color w:val="auto"/>
                <w:szCs w:val="21"/>
                <w:highlight w:val="none"/>
              </w:rPr>
              <w:t>格式）刻入光盘（</w:t>
            </w:r>
            <w:r>
              <w:rPr>
                <w:rFonts w:ascii="宋体" w:hAnsi="宋体" w:cs="Courier New"/>
                <w:color w:val="auto"/>
                <w:szCs w:val="21"/>
                <w:highlight w:val="none"/>
              </w:rPr>
              <w:t>1</w:t>
            </w:r>
            <w:r>
              <w:rPr>
                <w:rFonts w:hint="eastAsia" w:ascii="宋体" w:hAnsi="宋体" w:cs="Courier New"/>
                <w:color w:val="auto"/>
                <w:szCs w:val="21"/>
                <w:highlight w:val="none"/>
              </w:rPr>
              <w:t>份），在投标须知前附表第</w:t>
            </w:r>
            <w:r>
              <w:rPr>
                <w:rFonts w:ascii="宋体" w:hAnsi="宋体" w:cs="Courier New"/>
                <w:color w:val="auto"/>
                <w:szCs w:val="21"/>
                <w:highlight w:val="none"/>
              </w:rPr>
              <w:t>18</w:t>
            </w:r>
            <w:r>
              <w:rPr>
                <w:rFonts w:hint="eastAsia" w:ascii="宋体" w:hAnsi="宋体" w:cs="Courier New"/>
                <w:color w:val="auto"/>
                <w:szCs w:val="21"/>
                <w:highlight w:val="none"/>
              </w:rPr>
              <w:t>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cs="Courier New"/>
                <w:color w:val="auto"/>
                <w:szCs w:val="21"/>
                <w:highlight w:val="none"/>
              </w:rPr>
            </w:pPr>
            <w:r>
              <w:rPr>
                <w:rFonts w:ascii="宋体" w:hAnsi="宋体" w:cs="Courier New"/>
                <w:color w:val="auto"/>
                <w:szCs w:val="21"/>
                <w:highlight w:val="none"/>
              </w:rPr>
              <w:t>3</w:t>
            </w:r>
            <w:r>
              <w:rPr>
                <w:rFonts w:hint="eastAsia" w:ascii="宋体" w:hAnsi="宋体" w:cs="Courier New"/>
                <w:color w:val="auto"/>
                <w:szCs w:val="21"/>
                <w:highlight w:val="none"/>
              </w:rPr>
              <w:t>、补救方案</w:t>
            </w:r>
          </w:p>
          <w:p>
            <w:pPr>
              <w:rPr>
                <w:rFonts w:asci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1</w:t>
            </w:r>
            <w:r>
              <w:rPr>
                <w:rFonts w:hint="eastAsia" w:ascii="宋体" w:hAnsi="宋体" w:cs="Courier New"/>
                <w:color w:val="auto"/>
                <w:szCs w:val="21"/>
                <w:highlight w:val="none"/>
              </w:rPr>
              <w:t>）投标文件解密失败的补救方案：</w:t>
            </w:r>
          </w:p>
          <w:p>
            <w:pPr>
              <w:rPr>
                <w:rFonts w:ascii="宋体" w:cs="Courier New"/>
                <w:color w:val="auto"/>
                <w:szCs w:val="21"/>
                <w:highlight w:val="none"/>
              </w:rPr>
            </w:pPr>
            <w:r>
              <w:rPr>
                <w:rFonts w:hint="eastAsia" w:ascii="宋体" w:hAnsi="宋体" w:cs="Courier New"/>
                <w:color w:val="auto"/>
                <w:szCs w:val="21"/>
                <w:highlight w:val="none"/>
              </w:rPr>
              <w:t>在规定时间内，因投标人之外原因</w:t>
            </w:r>
            <w:r>
              <w:rPr>
                <w:rFonts w:ascii="宋体" w:hAnsi="宋体" w:cs="Courier New"/>
                <w:color w:val="auto"/>
                <w:szCs w:val="21"/>
                <w:highlight w:val="none"/>
              </w:rPr>
              <w:t>(</w:t>
            </w:r>
            <w:r>
              <w:rPr>
                <w:rFonts w:hint="eastAsia" w:ascii="宋体" w:hAnsi="宋体" w:cs="Courier New"/>
                <w:color w:val="auto"/>
                <w:szCs w:val="21"/>
                <w:highlight w:val="none"/>
              </w:rPr>
              <w:t>指网络瘫痪、服务器损坏、交易系统故障短期无法恢复</w:t>
            </w:r>
            <w:r>
              <w:rPr>
                <w:rFonts w:ascii="宋体" w:hAnsi="宋体" w:cs="Courier New"/>
                <w:color w:val="auto"/>
                <w:szCs w:val="21"/>
                <w:highlight w:val="none"/>
              </w:rPr>
              <w:t>)</w:t>
            </w:r>
            <w:r>
              <w:rPr>
                <w:rFonts w:hint="eastAsia" w:ascii="宋体" w:hAnsi="宋体" w:cs="Courier New"/>
                <w:color w:val="auto"/>
                <w:szCs w:val="21"/>
                <w:highlight w:val="none"/>
              </w:rPr>
              <w:t>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2</w:t>
            </w:r>
            <w:r>
              <w:rPr>
                <w:rFonts w:hint="eastAsia" w:ascii="宋体" w:hAnsi="宋体" w:cs="Courier New"/>
                <w:color w:val="auto"/>
                <w:szCs w:val="21"/>
                <w:highlight w:val="none"/>
              </w:rPr>
              <w:t>）评标时突发情况的补救方案</w:t>
            </w:r>
          </w:p>
          <w:p>
            <w:pPr>
              <w:rPr>
                <w:rFonts w:asci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3</w:t>
            </w:r>
            <w:r>
              <w:rPr>
                <w:rFonts w:hint="eastAsia" w:ascii="宋体" w:hAnsi="宋体" w:cs="Courier New"/>
                <w:color w:val="auto"/>
                <w:szCs w:val="21"/>
                <w:highlight w:val="none"/>
              </w:rPr>
              <w:t>）除发生上述情况外，开标评标均以投标人通过交易平台网上递交的电子投标文件为准。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8648" w:type="dxa"/>
            <w:gridSpan w:val="3"/>
            <w:vAlign w:val="center"/>
          </w:tcPr>
          <w:p>
            <w:pPr>
              <w:numPr>
                <w:ilvl w:val="0"/>
                <w:numId w:val="3"/>
              </w:numPr>
              <w:jc w:val="left"/>
              <w:rPr>
                <w:rFonts w:hint="eastAsia" w:ascii="宋体" w:hAnsi="宋体"/>
                <w:color w:val="auto"/>
                <w:szCs w:val="21"/>
                <w:highlight w:val="none"/>
                <w:u w:val="single"/>
              </w:rPr>
            </w:pPr>
            <w:r>
              <w:rPr>
                <w:rFonts w:hint="eastAsia" w:ascii="宋体" w:hAnsi="宋体"/>
                <w:color w:val="auto"/>
                <w:szCs w:val="21"/>
                <w:highlight w:val="none"/>
                <w:u w:val="single"/>
              </w:rPr>
              <w:t>中标人代缴公共资源交易服务费，其费用包含在中标人投标报价中，交易中心向中标人开具增值税发票。</w:t>
            </w:r>
          </w:p>
          <w:p>
            <w:pPr>
              <w:tabs>
                <w:tab w:val="left" w:pos="3477"/>
              </w:tabs>
              <w:rPr>
                <w:rFonts w:hint="eastAsia" w:ascii="宋体" w:hAnsi="宋体" w:eastAsia="宋体" w:cs="Courier New"/>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u w:val="single"/>
              </w:rPr>
              <w:t>本项目招标代理服务费由中标人支付，</w:t>
            </w:r>
            <w:r>
              <w:rPr>
                <w:rFonts w:hint="eastAsia" w:ascii="宋体" w:hAnsi="宋体" w:cs="宋体"/>
                <w:color w:val="auto"/>
                <w:szCs w:val="21"/>
                <w:highlight w:val="none"/>
                <w:u w:val="single"/>
              </w:rPr>
              <w:t>金额以招标代理机构</w:t>
            </w:r>
            <w:r>
              <w:rPr>
                <w:rFonts w:hint="eastAsia" w:ascii="宋体" w:hAnsi="宋体" w:cs="宋体"/>
                <w:color w:val="auto"/>
                <w:szCs w:val="21"/>
                <w:highlight w:val="none"/>
                <w:u w:val="single"/>
                <w:lang w:eastAsia="zh-CN"/>
              </w:rPr>
              <w:t>的缴费通知单</w:t>
            </w:r>
            <w:r>
              <w:rPr>
                <w:rFonts w:hint="eastAsia" w:ascii="宋体" w:hAnsi="宋体" w:cs="宋体"/>
                <w:color w:val="auto"/>
                <w:szCs w:val="21"/>
                <w:highlight w:val="none"/>
                <w:u w:val="single"/>
              </w:rPr>
              <w:t>为准</w:t>
            </w:r>
            <w:r>
              <w:rPr>
                <w:rFonts w:hint="eastAsia" w:ascii="宋体" w:hAnsi="宋体"/>
                <w:color w:val="auto"/>
                <w:szCs w:val="21"/>
                <w:highlight w:val="none"/>
                <w:u w:val="single"/>
              </w:rPr>
              <w:t>。</w:t>
            </w:r>
            <w:r>
              <w:rPr>
                <w:rFonts w:hint="eastAsia" w:ascii="宋体" w:hAnsi="宋体" w:cs="Courier New"/>
                <w:color w:val="auto"/>
                <w:szCs w:val="21"/>
                <w:highlight w:val="none"/>
                <w:lang w:eastAsia="zh-CN"/>
              </w:rPr>
              <w:tab/>
            </w:r>
          </w:p>
        </w:tc>
      </w:tr>
    </w:tbl>
    <w:p>
      <w:pPr>
        <w:spacing w:line="480" w:lineRule="auto"/>
        <w:rPr>
          <w:rFonts w:ascii="宋体"/>
          <w:strike/>
          <w:color w:val="auto"/>
          <w:sz w:val="24"/>
          <w:highlight w:val="none"/>
        </w:rPr>
      </w:pPr>
      <w:r>
        <w:rPr>
          <w:rFonts w:hint="eastAsia" w:ascii="宋体" w:hAnsi="宋体"/>
          <w:strike/>
          <w:color w:val="auto"/>
          <w:sz w:val="24"/>
          <w:highlight w:val="none"/>
        </w:rPr>
        <w:t>注：企业</w:t>
      </w:r>
      <w:r>
        <w:rPr>
          <w:rFonts w:hint="eastAsia" w:ascii="宋体" w:hAnsi="宋体" w:cs="宋体"/>
          <w:strike/>
          <w:color w:val="auto"/>
          <w:kern w:val="0"/>
          <w:sz w:val="24"/>
          <w:highlight w:val="none"/>
        </w:rPr>
        <w:t>综合诚信评价得分即</w:t>
      </w:r>
      <w:r>
        <w:rPr>
          <w:rFonts w:hint="eastAsia" w:ascii="宋体" w:hAnsi="宋体"/>
          <w:strike/>
          <w:color w:val="auto"/>
          <w:sz w:val="24"/>
          <w:highlight w:val="none"/>
        </w:rPr>
        <w:t>企业</w:t>
      </w:r>
      <w:r>
        <w:rPr>
          <w:rFonts w:hint="eastAsia" w:ascii="宋体" w:hAnsi="宋体" w:cs="宋体"/>
          <w:strike/>
          <w:color w:val="auto"/>
          <w:kern w:val="0"/>
          <w:sz w:val="24"/>
          <w:highlight w:val="none"/>
        </w:rPr>
        <w:t>综合诚信评价</w:t>
      </w:r>
      <w:r>
        <w:rPr>
          <w:rFonts w:ascii="宋体" w:hAnsi="宋体" w:cs="宋体"/>
          <w:strike/>
          <w:color w:val="auto"/>
          <w:kern w:val="0"/>
          <w:sz w:val="24"/>
          <w:highlight w:val="none"/>
        </w:rPr>
        <w:t>60</w:t>
      </w:r>
      <w:r>
        <w:rPr>
          <w:rFonts w:hint="eastAsia" w:ascii="宋体" w:hAnsi="宋体" w:cs="宋体"/>
          <w:strike/>
          <w:color w:val="auto"/>
          <w:kern w:val="0"/>
          <w:sz w:val="24"/>
          <w:highlight w:val="none"/>
        </w:rPr>
        <w:t>日诚信分，以下同。</w:t>
      </w:r>
    </w:p>
    <w:p>
      <w:pPr>
        <w:rPr>
          <w:rFonts w:hint="eastAsia"/>
          <w:color w:val="auto"/>
          <w:highlight w:val="none"/>
        </w:rPr>
      </w:pPr>
      <w:bookmarkStart w:id="4" w:name="_Toc9049"/>
      <w:bookmarkStart w:id="5" w:name="_Toc2272547"/>
      <w:r>
        <w:rPr>
          <w:rFonts w:hint="eastAsia"/>
          <w:color w:val="auto"/>
          <w:highlight w:val="none"/>
        </w:rPr>
        <w:br w:type="page"/>
      </w:r>
    </w:p>
    <w:p>
      <w:pPr>
        <w:pStyle w:val="8"/>
        <w:rPr>
          <w:color w:val="auto"/>
          <w:highlight w:val="none"/>
        </w:rPr>
      </w:pPr>
      <w:r>
        <w:rPr>
          <w:rFonts w:hint="eastAsia"/>
          <w:color w:val="auto"/>
          <w:highlight w:val="none"/>
        </w:rPr>
        <w:t>二、投标须知修改表</w:t>
      </w:r>
      <w:bookmarkEnd w:id="4"/>
      <w:bookmarkEnd w:id="5"/>
    </w:p>
    <w:p>
      <w:pPr>
        <w:pStyle w:val="6"/>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声明：本投标须知使用</w:t>
      </w:r>
      <w:r>
        <w:rPr>
          <w:rFonts w:ascii="宋体" w:hAnsi="宋体" w:eastAsia="宋体"/>
          <w:b/>
          <w:color w:val="auto"/>
          <w:szCs w:val="21"/>
          <w:highlight w:val="none"/>
        </w:rPr>
        <w:t>GZZB2018-3</w:t>
      </w:r>
      <w:r>
        <w:rPr>
          <w:rFonts w:hint="eastAsia" w:ascii="宋体" w:hAnsi="宋体" w:eastAsia="宋体"/>
          <w:b/>
          <w:color w:val="auto"/>
          <w:szCs w:val="21"/>
          <w:highlight w:val="none"/>
        </w:rPr>
        <w:t>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tabs>
          <w:tab w:val="left" w:pos="5620"/>
        </w:tabs>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pPr>
        <w:pBdr>
          <w:bottom w:val="single" w:color="auto" w:sz="6" w:space="1"/>
        </w:pBdr>
        <w:spacing w:line="360" w:lineRule="auto"/>
        <w:ind w:firstLine="411" w:firstLineChars="196"/>
        <w:rPr>
          <w:rFonts w:ascii="宋体" w:hAnsi="宋体" w:cs="宋体"/>
          <w:b/>
          <w:color w:val="auto"/>
          <w:sz w:val="18"/>
          <w:szCs w:val="18"/>
          <w:highlight w:val="none"/>
        </w:rPr>
      </w:pPr>
      <w:r>
        <w:rPr>
          <w:rFonts w:hint="eastAsia" w:ascii="宋体" w:hAnsi="宋体" w:cs="宋体"/>
          <w:b/>
          <w:color w:val="auto"/>
          <w:szCs w:val="21"/>
          <w:highlight w:val="none"/>
        </w:rPr>
        <w:t>现文：</w:t>
      </w:r>
      <w:r>
        <w:rPr>
          <w:rFonts w:hint="eastAsia" w:ascii="宋体" w:hAnsi="宋体" w:cs="宋体"/>
          <w:color w:val="auto"/>
          <w:kern w:val="0"/>
          <w:szCs w:val="21"/>
          <w:highlight w:val="none"/>
        </w:rPr>
        <w:t>2.5根据《建设工程质量检测管理办法》（中华人民共和国住房和城乡建设部令第57号）第十六条规定，建设工程质量、安全检测业务应由建设单位依法委托，不列入本次招标范围。招标文件中与此条不一致的，以此条为准。</w:t>
      </w:r>
      <w:r>
        <w:rPr>
          <w:rFonts w:hint="eastAsia" w:ascii="宋体" w:hAnsi="宋体"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360" w:lineRule="auto"/>
        <w:ind w:firstLine="411" w:firstLineChars="196"/>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pPr>
        <w:pBdr>
          <w:bottom w:val="single" w:color="auto" w:sz="6" w:space="1"/>
        </w:pBdr>
        <w:spacing w:line="360" w:lineRule="auto"/>
        <w:ind w:firstLine="420" w:firstLineChars="200"/>
        <w:rPr>
          <w:rFonts w:ascii="宋体" w:hAnsi="宋体" w:cs="宋体"/>
          <w:color w:val="auto"/>
          <w:kern w:val="0"/>
          <w:szCs w:val="21"/>
          <w:highlight w:val="none"/>
        </w:rPr>
      </w:pPr>
      <w:r>
        <w:rPr>
          <w:rFonts w:hint="eastAsia" w:ascii="宋体" w:hAnsi="宋体" w:cs="宋体"/>
          <w:b/>
          <w:color w:val="auto"/>
          <w:kern w:val="0"/>
          <w:szCs w:val="21"/>
          <w:highlight w:val="none"/>
        </w:rPr>
        <w:t>原文</w:t>
      </w:r>
      <w:r>
        <w:rPr>
          <w:rFonts w:hint="eastAsia" w:ascii="宋体" w:hAnsi="宋体" w:cs="宋体"/>
          <w:color w:val="auto"/>
          <w:kern w:val="0"/>
          <w:szCs w:val="21"/>
          <w:highlight w:val="none"/>
        </w:rPr>
        <w:t>：5.1投标人应按本投标须知前附表第</w:t>
      </w:r>
      <w:r>
        <w:rPr>
          <w:rFonts w:ascii="宋体" w:hAnsi="宋体" w:cs="宋体"/>
          <w:color w:val="auto"/>
          <w:kern w:val="0"/>
          <w:szCs w:val="21"/>
          <w:highlight w:val="none"/>
        </w:rPr>
        <w:t>15</w:t>
      </w:r>
      <w:r>
        <w:rPr>
          <w:rFonts w:hint="eastAsia" w:ascii="宋体" w:hAnsi="宋体" w:cs="宋体"/>
          <w:color w:val="auto"/>
          <w:kern w:val="0"/>
          <w:szCs w:val="21"/>
          <w:highlight w:val="none"/>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420" w:firstLineChars="200"/>
        <w:rPr>
          <w:b/>
          <w:color w:val="auto"/>
          <w:szCs w:val="21"/>
          <w:highlight w:val="none"/>
        </w:rPr>
      </w:pPr>
      <w:r>
        <w:rPr>
          <w:rFonts w:hint="eastAsia" w:ascii="宋体" w:hAnsi="宋体" w:cs="宋体"/>
          <w:b/>
          <w:color w:val="auto"/>
          <w:kern w:val="0"/>
          <w:szCs w:val="21"/>
          <w:highlight w:val="none"/>
        </w:rPr>
        <w:t>现文：</w:t>
      </w:r>
      <w:r>
        <w:rPr>
          <w:rFonts w:hint="eastAsia" w:ascii="宋体" w:hAnsi="宋体" w:cs="宋体"/>
          <w:color w:val="auto"/>
          <w:kern w:val="0"/>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kern w:val="0"/>
          <w:szCs w:val="21"/>
          <w:highlight w:val="none"/>
          <w:u w:val="single"/>
        </w:rPr>
        <w:t>投标人不进行踏勘的，视为已熟知现场条件，自行承担相关风险</w:t>
      </w:r>
      <w:r>
        <w:rPr>
          <w:rFonts w:hint="eastAsia" w:ascii="宋体" w:hAnsi="宋体" w:cs="宋体"/>
          <w:color w:val="auto"/>
          <w:kern w:val="0"/>
          <w:szCs w:val="21"/>
          <w:highlight w:val="none"/>
        </w:rPr>
        <w:t>。一旦中标，这种考察即被认为其结果已在中标文件中得到充分反映。</w:t>
      </w:r>
      <w:r>
        <w:rPr>
          <w:rFonts w:hint="eastAsia" w:ascii="宋体" w:hAnsi="宋体" w:cs="宋体"/>
          <w:color w:val="auto"/>
          <w:kern w:val="0"/>
          <w:szCs w:val="21"/>
          <w:highlight w:val="none"/>
          <w:u w:val="single"/>
        </w:rPr>
        <w:t>招标人不受理因投标人缺乏对现场条件的了解或掌握而提出的任何索赔。</w:t>
      </w:r>
      <w:r>
        <w:rPr>
          <w:rFonts w:hint="eastAsia" w:ascii="宋体" w:hAnsi="宋体" w:cs="宋体"/>
          <w:color w:val="auto"/>
          <w:kern w:val="0"/>
          <w:szCs w:val="21"/>
          <w:highlight w:val="none"/>
        </w:rPr>
        <w:t>考察现场的费用由投标人自己承担。</w:t>
      </w:r>
    </w:p>
    <w:p>
      <w:pPr>
        <w:spacing w:line="360" w:lineRule="auto"/>
        <w:ind w:firstLine="420" w:firstLineChars="200"/>
        <w:rPr>
          <w:b/>
          <w:color w:val="auto"/>
          <w:szCs w:val="21"/>
          <w:highlight w:val="none"/>
        </w:rPr>
      </w:pPr>
      <w:r>
        <w:rPr>
          <w:rFonts w:hint="eastAsia"/>
          <w:b/>
          <w:color w:val="auto"/>
          <w:szCs w:val="21"/>
          <w:highlight w:val="none"/>
        </w:rPr>
        <w:t>条款号：</w:t>
      </w:r>
      <w:r>
        <w:rPr>
          <w:b/>
          <w:color w:val="auto"/>
          <w:szCs w:val="21"/>
          <w:highlight w:val="none"/>
        </w:rPr>
        <w:t xml:space="preserve">7.1             </w:t>
      </w:r>
      <w:r>
        <w:rPr>
          <w:rFonts w:hint="eastAsia"/>
          <w:b/>
          <w:color w:val="auto"/>
          <w:szCs w:val="21"/>
          <w:highlight w:val="none"/>
        </w:rPr>
        <w:t>修改类型：修改</w:t>
      </w:r>
    </w:p>
    <w:p>
      <w:pPr>
        <w:spacing w:line="360" w:lineRule="auto"/>
        <w:ind w:firstLine="420" w:firstLineChars="200"/>
        <w:rPr>
          <w:color w:val="auto"/>
          <w:szCs w:val="21"/>
          <w:highlight w:val="none"/>
        </w:rPr>
      </w:pPr>
      <w:r>
        <w:rPr>
          <w:rFonts w:hint="eastAsia"/>
          <w:b/>
          <w:color w:val="auto"/>
          <w:szCs w:val="21"/>
          <w:highlight w:val="none"/>
        </w:rPr>
        <w:t>原文：</w:t>
      </w:r>
      <w:r>
        <w:rPr>
          <w:b/>
          <w:color w:val="auto"/>
          <w:szCs w:val="21"/>
          <w:highlight w:val="none"/>
        </w:rPr>
        <w:t xml:space="preserve">7.1 </w:t>
      </w:r>
      <w:r>
        <w:rPr>
          <w:rFonts w:hint="eastAsia"/>
          <w:color w:val="auto"/>
          <w:szCs w:val="21"/>
          <w:highlight w:val="none"/>
        </w:rPr>
        <w:t>本招标文件包括下列文件，以及所有按本须知第</w:t>
      </w:r>
      <w:r>
        <w:rPr>
          <w:color w:val="auto"/>
          <w:szCs w:val="21"/>
          <w:highlight w:val="none"/>
        </w:rPr>
        <w:t>8</w:t>
      </w:r>
      <w:r>
        <w:rPr>
          <w:rFonts w:hint="eastAsia"/>
          <w:color w:val="auto"/>
          <w:szCs w:val="21"/>
          <w:highlight w:val="none"/>
        </w:rPr>
        <w:t>条发出的招标答疑会会议纪要和按本须知第</w:t>
      </w:r>
      <w:r>
        <w:rPr>
          <w:color w:val="auto"/>
          <w:szCs w:val="21"/>
          <w:highlight w:val="none"/>
        </w:rPr>
        <w:t>9</w:t>
      </w:r>
      <w:r>
        <w:rPr>
          <w:rFonts w:hint="eastAsia"/>
          <w:color w:val="auto"/>
          <w:szCs w:val="21"/>
          <w:highlight w:val="none"/>
        </w:rPr>
        <w:t>条发出的澄清或修改：</w:t>
      </w:r>
    </w:p>
    <w:p>
      <w:pPr>
        <w:spacing w:line="360" w:lineRule="auto"/>
        <w:ind w:firstLine="420" w:firstLineChars="200"/>
        <w:rPr>
          <w:color w:val="auto"/>
          <w:szCs w:val="21"/>
          <w:highlight w:val="none"/>
        </w:rPr>
      </w:pPr>
      <w:r>
        <w:rPr>
          <w:rFonts w:hint="eastAsia"/>
          <w:color w:val="auto"/>
          <w:szCs w:val="21"/>
          <w:highlight w:val="none"/>
        </w:rPr>
        <w:t>第一章</w:t>
      </w:r>
      <w:r>
        <w:rPr>
          <w:color w:val="auto"/>
          <w:szCs w:val="21"/>
          <w:highlight w:val="none"/>
        </w:rPr>
        <w:t xml:space="preserve">  </w:t>
      </w:r>
      <w:r>
        <w:rPr>
          <w:rFonts w:hint="eastAsia"/>
          <w:color w:val="auto"/>
          <w:szCs w:val="21"/>
          <w:highlight w:val="none"/>
        </w:rPr>
        <w:t>投标须知</w:t>
      </w:r>
    </w:p>
    <w:p>
      <w:pPr>
        <w:spacing w:line="360" w:lineRule="auto"/>
        <w:ind w:firstLine="420" w:firstLineChars="200"/>
        <w:rPr>
          <w:color w:val="auto"/>
          <w:szCs w:val="21"/>
          <w:highlight w:val="none"/>
        </w:rPr>
      </w:pPr>
      <w:r>
        <w:rPr>
          <w:rFonts w:hint="eastAsia"/>
          <w:color w:val="auto"/>
          <w:szCs w:val="21"/>
          <w:highlight w:val="none"/>
        </w:rPr>
        <w:t>第二章</w:t>
      </w:r>
      <w:r>
        <w:rPr>
          <w:color w:val="auto"/>
          <w:szCs w:val="21"/>
          <w:highlight w:val="none"/>
        </w:rPr>
        <w:t xml:space="preserve">  </w:t>
      </w:r>
      <w:r>
        <w:rPr>
          <w:rFonts w:hint="eastAsia"/>
          <w:color w:val="auto"/>
          <w:szCs w:val="21"/>
          <w:highlight w:val="none"/>
        </w:rPr>
        <w:t>开标、评标及定标办法</w:t>
      </w:r>
    </w:p>
    <w:p>
      <w:pPr>
        <w:spacing w:line="360" w:lineRule="auto"/>
        <w:ind w:firstLine="420" w:firstLineChars="200"/>
        <w:rPr>
          <w:color w:val="auto"/>
          <w:szCs w:val="21"/>
          <w:highlight w:val="none"/>
        </w:rPr>
      </w:pPr>
      <w:r>
        <w:rPr>
          <w:rFonts w:hint="eastAsia"/>
          <w:color w:val="auto"/>
          <w:szCs w:val="21"/>
          <w:highlight w:val="none"/>
        </w:rPr>
        <w:t>第三章</w:t>
      </w:r>
      <w:r>
        <w:rPr>
          <w:color w:val="auto"/>
          <w:szCs w:val="21"/>
          <w:highlight w:val="none"/>
        </w:rPr>
        <w:t xml:space="preserve">  </w:t>
      </w:r>
      <w:r>
        <w:rPr>
          <w:rFonts w:hint="eastAsia"/>
          <w:color w:val="auto"/>
          <w:szCs w:val="21"/>
          <w:highlight w:val="none"/>
        </w:rPr>
        <w:t>合同条款</w:t>
      </w:r>
    </w:p>
    <w:p>
      <w:pPr>
        <w:spacing w:line="360" w:lineRule="auto"/>
        <w:ind w:firstLine="420" w:firstLineChars="200"/>
        <w:rPr>
          <w:color w:val="auto"/>
          <w:szCs w:val="21"/>
          <w:highlight w:val="none"/>
        </w:rPr>
      </w:pPr>
      <w:r>
        <w:rPr>
          <w:rFonts w:hint="eastAsia"/>
          <w:color w:val="auto"/>
          <w:szCs w:val="21"/>
          <w:highlight w:val="none"/>
        </w:rPr>
        <w:t>第四章</w:t>
      </w:r>
      <w:r>
        <w:rPr>
          <w:color w:val="auto"/>
          <w:szCs w:val="21"/>
          <w:highlight w:val="none"/>
        </w:rPr>
        <w:t xml:space="preserve">  </w:t>
      </w:r>
      <w:r>
        <w:rPr>
          <w:rFonts w:hint="eastAsia"/>
          <w:color w:val="auto"/>
          <w:szCs w:val="21"/>
          <w:highlight w:val="none"/>
        </w:rPr>
        <w:t>投标文件格式</w:t>
      </w:r>
    </w:p>
    <w:p>
      <w:pPr>
        <w:spacing w:line="360" w:lineRule="auto"/>
        <w:ind w:firstLine="420" w:firstLineChars="200"/>
        <w:rPr>
          <w:color w:val="auto"/>
          <w:szCs w:val="21"/>
          <w:highlight w:val="none"/>
        </w:rPr>
      </w:pPr>
      <w:r>
        <w:rPr>
          <w:rFonts w:hint="eastAsia"/>
          <w:color w:val="auto"/>
          <w:szCs w:val="21"/>
          <w:highlight w:val="none"/>
        </w:rPr>
        <w:t>第五章</w:t>
      </w:r>
      <w:r>
        <w:rPr>
          <w:color w:val="auto"/>
          <w:szCs w:val="21"/>
          <w:highlight w:val="none"/>
        </w:rPr>
        <w:t xml:space="preserve">  </w:t>
      </w:r>
      <w:r>
        <w:rPr>
          <w:rFonts w:hint="eastAsia"/>
          <w:color w:val="auto"/>
          <w:szCs w:val="21"/>
          <w:highlight w:val="none"/>
        </w:rPr>
        <w:t>技术条件（工程建设标准）（另册）</w:t>
      </w:r>
    </w:p>
    <w:p>
      <w:pPr>
        <w:spacing w:line="360" w:lineRule="auto"/>
        <w:ind w:firstLine="420" w:firstLineChars="200"/>
        <w:rPr>
          <w:color w:val="auto"/>
          <w:szCs w:val="21"/>
          <w:highlight w:val="none"/>
        </w:rPr>
      </w:pPr>
      <w:r>
        <w:rPr>
          <w:rFonts w:hint="eastAsia"/>
          <w:color w:val="auto"/>
          <w:szCs w:val="21"/>
          <w:highlight w:val="none"/>
        </w:rPr>
        <w:t>第六章</w:t>
      </w:r>
      <w:r>
        <w:rPr>
          <w:color w:val="auto"/>
          <w:szCs w:val="21"/>
          <w:highlight w:val="none"/>
        </w:rPr>
        <w:t xml:space="preserve">  </w:t>
      </w:r>
      <w:r>
        <w:rPr>
          <w:rFonts w:hint="eastAsia"/>
          <w:color w:val="auto"/>
          <w:szCs w:val="21"/>
          <w:highlight w:val="none"/>
        </w:rPr>
        <w:t>图纸及勘察资料</w:t>
      </w:r>
      <w:bookmarkStart w:id="6" w:name="_Hlk48663595"/>
      <w:r>
        <w:rPr>
          <w:rFonts w:hint="eastAsia"/>
          <w:color w:val="auto"/>
          <w:szCs w:val="21"/>
          <w:highlight w:val="none"/>
        </w:rPr>
        <w:t>（另册）</w:t>
      </w:r>
      <w:bookmarkEnd w:id="6"/>
    </w:p>
    <w:p>
      <w:pPr>
        <w:spacing w:line="360" w:lineRule="auto"/>
        <w:ind w:firstLine="420" w:firstLineChars="200"/>
        <w:rPr>
          <w:color w:val="auto"/>
          <w:szCs w:val="21"/>
          <w:highlight w:val="none"/>
        </w:rPr>
      </w:pPr>
      <w:r>
        <w:rPr>
          <w:rFonts w:hint="eastAsia"/>
          <w:color w:val="auto"/>
          <w:szCs w:val="21"/>
          <w:highlight w:val="none"/>
        </w:rPr>
        <w:t>第七章</w:t>
      </w:r>
      <w:r>
        <w:rPr>
          <w:color w:val="auto"/>
          <w:szCs w:val="21"/>
          <w:highlight w:val="none"/>
        </w:rPr>
        <w:t xml:space="preserve">  </w:t>
      </w:r>
      <w:r>
        <w:rPr>
          <w:rFonts w:hint="eastAsia"/>
          <w:color w:val="auto"/>
          <w:szCs w:val="21"/>
          <w:highlight w:val="none"/>
        </w:rPr>
        <w:t>招标工程量清单（另册）</w:t>
      </w:r>
    </w:p>
    <w:p>
      <w:pPr>
        <w:spacing w:line="360" w:lineRule="auto"/>
        <w:ind w:firstLine="420" w:firstLineChars="200"/>
        <w:rPr>
          <w:color w:val="auto"/>
          <w:szCs w:val="21"/>
          <w:highlight w:val="none"/>
        </w:rPr>
      </w:pPr>
      <w:r>
        <w:rPr>
          <w:rFonts w:hint="eastAsia"/>
          <w:color w:val="auto"/>
          <w:szCs w:val="21"/>
          <w:highlight w:val="none"/>
        </w:rPr>
        <w:t>第八章</w:t>
      </w:r>
      <w:r>
        <w:rPr>
          <w:color w:val="auto"/>
          <w:szCs w:val="21"/>
          <w:highlight w:val="none"/>
        </w:rPr>
        <w:t xml:space="preserve">  </w:t>
      </w:r>
      <w:r>
        <w:rPr>
          <w:rFonts w:hint="eastAsia"/>
          <w:color w:val="auto"/>
          <w:szCs w:val="21"/>
          <w:highlight w:val="none"/>
        </w:rPr>
        <w:t>最高投标限价</w:t>
      </w:r>
    </w:p>
    <w:p>
      <w:pPr>
        <w:pStyle w:val="9"/>
        <w:spacing w:line="360" w:lineRule="auto"/>
        <w:rPr>
          <w:color w:val="auto"/>
          <w:highlight w:val="none"/>
        </w:rPr>
      </w:pPr>
      <w:r>
        <w:rPr>
          <w:rFonts w:hint="eastAsia" w:ascii="宋体" w:hAnsi="宋体" w:cs="宋体"/>
          <w:color w:val="auto"/>
          <w:kern w:val="0"/>
          <w:sz w:val="22"/>
          <w:highlight w:val="none"/>
        </w:rPr>
        <w:t>注：招标人应在技术条件（工程建设标准）中明确施工现场建筑垃圾源头减量的具体要求和建筑垃圾综合利用产品的使用要求。</w:t>
      </w:r>
    </w:p>
    <w:p>
      <w:pPr>
        <w:pBdr>
          <w:bottom w:val="single" w:color="auto" w:sz="6" w:space="1"/>
        </w:pBdr>
        <w:spacing w:line="360" w:lineRule="auto"/>
        <w:ind w:firstLine="470" w:firstLineChars="224"/>
        <w:rPr>
          <w:color w:val="auto"/>
          <w:szCs w:val="21"/>
          <w:highlight w:val="none"/>
          <w:u w:val="single"/>
        </w:rPr>
      </w:pPr>
      <w:r>
        <w:rPr>
          <w:rFonts w:hint="eastAsia"/>
          <w:b/>
          <w:color w:val="auto"/>
          <w:szCs w:val="21"/>
          <w:highlight w:val="none"/>
        </w:rPr>
        <w:t>现文：</w:t>
      </w:r>
      <w:r>
        <w:rPr>
          <w:b/>
          <w:color w:val="auto"/>
          <w:szCs w:val="21"/>
          <w:highlight w:val="none"/>
        </w:rPr>
        <w:t>7.1</w:t>
      </w:r>
      <w:r>
        <w:rPr>
          <w:rFonts w:hint="eastAsia"/>
          <w:color w:val="auto"/>
          <w:szCs w:val="21"/>
          <w:highlight w:val="none"/>
        </w:rPr>
        <w:t>本招标文件包括下列文件，以及所有按本须知第</w:t>
      </w:r>
      <w:r>
        <w:rPr>
          <w:color w:val="auto"/>
          <w:szCs w:val="21"/>
          <w:highlight w:val="none"/>
        </w:rPr>
        <w:t>8</w:t>
      </w:r>
      <w:r>
        <w:rPr>
          <w:rFonts w:hint="eastAsia"/>
          <w:color w:val="auto"/>
          <w:szCs w:val="21"/>
          <w:highlight w:val="none"/>
        </w:rPr>
        <w:t>条发出的</w:t>
      </w:r>
      <w:r>
        <w:rPr>
          <w:rFonts w:hint="eastAsia" w:ascii="宋体" w:hAnsi="宋体" w:cs="宋体"/>
          <w:color w:val="auto"/>
          <w:szCs w:val="21"/>
          <w:highlight w:val="none"/>
          <w:u w:val="single"/>
        </w:rPr>
        <w:t>招标答疑纪要</w:t>
      </w:r>
      <w:r>
        <w:rPr>
          <w:rFonts w:hint="eastAsia"/>
          <w:color w:val="auto"/>
          <w:szCs w:val="21"/>
          <w:highlight w:val="none"/>
        </w:rPr>
        <w:t>和按本须知第</w:t>
      </w:r>
      <w:r>
        <w:rPr>
          <w:color w:val="auto"/>
          <w:szCs w:val="21"/>
          <w:highlight w:val="none"/>
        </w:rPr>
        <w:t>9</w:t>
      </w:r>
      <w:r>
        <w:rPr>
          <w:rFonts w:hint="eastAsia"/>
          <w:color w:val="auto"/>
          <w:szCs w:val="21"/>
          <w:highlight w:val="none"/>
        </w:rPr>
        <w:t>条发出的澄清或修改：</w:t>
      </w:r>
    </w:p>
    <w:p>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第一章</w:t>
      </w:r>
      <w:r>
        <w:rPr>
          <w:color w:val="auto"/>
          <w:szCs w:val="21"/>
          <w:highlight w:val="none"/>
        </w:rPr>
        <w:t xml:space="preserve">  </w:t>
      </w:r>
      <w:r>
        <w:rPr>
          <w:rFonts w:hint="eastAsia"/>
          <w:color w:val="auto"/>
          <w:szCs w:val="21"/>
          <w:highlight w:val="none"/>
        </w:rPr>
        <w:t>投标须知</w:t>
      </w:r>
    </w:p>
    <w:p>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第二章</w:t>
      </w:r>
      <w:r>
        <w:rPr>
          <w:color w:val="auto"/>
          <w:szCs w:val="21"/>
          <w:highlight w:val="none"/>
        </w:rPr>
        <w:t xml:space="preserve">  </w:t>
      </w:r>
      <w:r>
        <w:rPr>
          <w:rFonts w:hint="eastAsia"/>
          <w:color w:val="auto"/>
          <w:szCs w:val="21"/>
          <w:highlight w:val="none"/>
        </w:rPr>
        <w:t>开标、评标及定标办法</w:t>
      </w:r>
    </w:p>
    <w:p>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第三章</w:t>
      </w:r>
      <w:r>
        <w:rPr>
          <w:color w:val="auto"/>
          <w:szCs w:val="21"/>
          <w:highlight w:val="none"/>
        </w:rPr>
        <w:t xml:space="preserve">  </w:t>
      </w:r>
      <w:r>
        <w:rPr>
          <w:rFonts w:hint="eastAsia"/>
          <w:color w:val="auto"/>
          <w:szCs w:val="21"/>
          <w:highlight w:val="none"/>
        </w:rPr>
        <w:t>合同条款</w:t>
      </w:r>
    </w:p>
    <w:p>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第四章</w:t>
      </w:r>
      <w:r>
        <w:rPr>
          <w:color w:val="auto"/>
          <w:szCs w:val="21"/>
          <w:highlight w:val="none"/>
        </w:rPr>
        <w:t xml:space="preserve">  </w:t>
      </w:r>
      <w:r>
        <w:rPr>
          <w:rFonts w:hint="eastAsia"/>
          <w:color w:val="auto"/>
          <w:szCs w:val="21"/>
          <w:highlight w:val="none"/>
        </w:rPr>
        <w:t>投标文件格式</w:t>
      </w:r>
    </w:p>
    <w:p>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rPr>
        <w:t>第五章</w:t>
      </w:r>
      <w:r>
        <w:rPr>
          <w:color w:val="auto"/>
          <w:szCs w:val="21"/>
          <w:highlight w:val="none"/>
        </w:rPr>
        <w:t xml:space="preserve">  </w:t>
      </w:r>
      <w:r>
        <w:rPr>
          <w:rFonts w:hint="eastAsia"/>
          <w:color w:val="auto"/>
          <w:szCs w:val="21"/>
          <w:highlight w:val="none"/>
        </w:rPr>
        <w:t>技术条件（工程建设标准）</w:t>
      </w:r>
    </w:p>
    <w:p>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第六章</w:t>
      </w:r>
      <w:r>
        <w:rPr>
          <w:color w:val="auto"/>
          <w:szCs w:val="21"/>
          <w:highlight w:val="none"/>
        </w:rPr>
        <w:t xml:space="preserve">  </w:t>
      </w:r>
      <w:r>
        <w:rPr>
          <w:rFonts w:hint="eastAsia"/>
          <w:color w:val="auto"/>
          <w:szCs w:val="21"/>
          <w:highlight w:val="none"/>
        </w:rPr>
        <w:t>图纸及勘察资料（另册）</w:t>
      </w:r>
    </w:p>
    <w:p>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第七章</w:t>
      </w:r>
      <w:r>
        <w:rPr>
          <w:color w:val="auto"/>
          <w:szCs w:val="21"/>
          <w:highlight w:val="none"/>
        </w:rPr>
        <w:t xml:space="preserve">  </w:t>
      </w:r>
      <w:r>
        <w:rPr>
          <w:rFonts w:hint="eastAsia"/>
          <w:color w:val="auto"/>
          <w:szCs w:val="21"/>
          <w:highlight w:val="none"/>
        </w:rPr>
        <w:t>招标工程量清单（另册）</w:t>
      </w:r>
    </w:p>
    <w:p>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u w:val="single"/>
        </w:rPr>
        <w:t>第八章</w:t>
      </w:r>
      <w:r>
        <w:rPr>
          <w:color w:val="auto"/>
          <w:szCs w:val="21"/>
          <w:highlight w:val="none"/>
          <w:u w:val="single"/>
        </w:rPr>
        <w:t xml:space="preserve">  </w:t>
      </w:r>
      <w:r>
        <w:rPr>
          <w:rFonts w:hint="eastAsia"/>
          <w:color w:val="auto"/>
          <w:szCs w:val="21"/>
          <w:highlight w:val="none"/>
          <w:u w:val="single"/>
        </w:rPr>
        <w:t>最高投标限价（另册）</w:t>
      </w:r>
    </w:p>
    <w:p>
      <w:pPr>
        <w:pBdr>
          <w:bottom w:val="single" w:color="auto" w:sz="6" w:space="1"/>
        </w:pBdr>
        <w:spacing w:line="360" w:lineRule="auto"/>
        <w:ind w:firstLine="492" w:firstLineChars="224"/>
        <w:rPr>
          <w:rFonts w:ascii="宋体" w:hAnsi="宋体" w:cs="宋体"/>
          <w:color w:val="auto"/>
          <w:kern w:val="0"/>
          <w:sz w:val="22"/>
          <w:highlight w:val="none"/>
        </w:rPr>
      </w:pPr>
      <w:r>
        <w:rPr>
          <w:rFonts w:hint="eastAsia" w:ascii="宋体" w:hAnsi="宋体" w:cs="宋体"/>
          <w:color w:val="auto"/>
          <w:kern w:val="0"/>
          <w:sz w:val="22"/>
          <w:highlight w:val="none"/>
        </w:rPr>
        <w:t>注：招标人应在技术条件（工程建设标准）中明确施工现场建筑垃圾源头减量的具体要求和建筑垃圾综合利用产品的使用要求。</w:t>
      </w:r>
    </w:p>
    <w:p>
      <w:pPr>
        <w:pStyle w:val="24"/>
        <w:rPr>
          <w:color w:val="auto"/>
          <w:highlight w:val="none"/>
        </w:rPr>
      </w:pPr>
    </w:p>
    <w:p>
      <w:pPr>
        <w:spacing w:line="360" w:lineRule="auto"/>
        <w:ind w:firstLine="420" w:firstLineChars="200"/>
        <w:rPr>
          <w:b/>
          <w:color w:val="auto"/>
          <w:szCs w:val="21"/>
          <w:highlight w:val="none"/>
        </w:rPr>
      </w:pPr>
      <w:r>
        <w:rPr>
          <w:rFonts w:hint="eastAsia"/>
          <w:b/>
          <w:color w:val="auto"/>
          <w:szCs w:val="21"/>
          <w:highlight w:val="none"/>
        </w:rPr>
        <w:t>条款号：</w:t>
      </w:r>
      <w:r>
        <w:rPr>
          <w:b/>
          <w:color w:val="auto"/>
          <w:szCs w:val="21"/>
          <w:highlight w:val="none"/>
        </w:rPr>
        <w:t xml:space="preserve">8.1             </w:t>
      </w:r>
      <w:r>
        <w:rPr>
          <w:rFonts w:hint="eastAsia"/>
          <w:b/>
          <w:color w:val="auto"/>
          <w:szCs w:val="21"/>
          <w:highlight w:val="none"/>
        </w:rPr>
        <w:t>修改类型：修改</w:t>
      </w:r>
    </w:p>
    <w:p>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投标人若对招标文件（包括招标图纸）中有疑问，可以书面形式通过</w:t>
      </w:r>
      <w:r>
        <w:rPr>
          <w:rFonts w:hint="eastAsia" w:ascii="宋体" w:hAnsi="宋体" w:cs="宋体"/>
          <w:color w:val="auto"/>
          <w:sz w:val="24"/>
          <w:szCs w:val="24"/>
          <w:highlight w:val="none"/>
          <w:u w:val="single"/>
        </w:rPr>
        <w:t xml:space="preserve">        </w:t>
      </w:r>
      <w:r>
        <w:rPr>
          <w:rFonts w:hint="eastAsia"/>
          <w:color w:val="auto"/>
          <w:szCs w:val="21"/>
          <w:highlight w:val="none"/>
        </w:rPr>
        <w:t>交易平台提交给招标人或招标代理人，提交形式见本须知前附表第</w:t>
      </w:r>
      <w:r>
        <w:rPr>
          <w:color w:val="auto"/>
          <w:szCs w:val="21"/>
          <w:highlight w:val="none"/>
        </w:rPr>
        <w:t>16</w:t>
      </w:r>
      <w:r>
        <w:rPr>
          <w:rFonts w:hint="eastAsia"/>
          <w:color w:val="auto"/>
          <w:szCs w:val="21"/>
          <w:highlight w:val="none"/>
        </w:rPr>
        <w:t>项。</w:t>
      </w:r>
    </w:p>
    <w:p>
      <w:pPr>
        <w:pBdr>
          <w:bottom w:val="single" w:color="auto" w:sz="6" w:space="1"/>
        </w:pBdr>
        <w:spacing w:line="360" w:lineRule="auto"/>
        <w:ind w:firstLine="470" w:firstLineChars="224"/>
        <w:rPr>
          <w:b/>
          <w:color w:val="auto"/>
          <w:szCs w:val="21"/>
          <w:highlight w:val="none"/>
        </w:rPr>
      </w:pPr>
      <w:r>
        <w:rPr>
          <w:rFonts w:hint="eastAsia"/>
          <w:b/>
          <w:color w:val="auto"/>
          <w:szCs w:val="21"/>
          <w:highlight w:val="none"/>
        </w:rPr>
        <w:t>现文：</w:t>
      </w:r>
      <w:r>
        <w:rPr>
          <w:rFonts w:hint="eastAsia"/>
          <w:color w:val="auto"/>
          <w:szCs w:val="21"/>
          <w:highlight w:val="none"/>
          <w:u w:val="single"/>
        </w:rPr>
        <w:t>招标答疑采用网上答疑方式进行。投标人若对招标文件有疑问的，可在规定的时间内通过登录广州交易集团有限公司（广州公共资源交易中心）网站交易系统将问题提交给招标人或招标代理人，提交问题时一律不得署名。网上答疑的操作指南为：登陆广州交易集团有限公司（广州公共资源交易中心）网站交易系统→进入“我的投标”专区→进入“招标答疑”选项→通过项目编号或名称找到所需的项目→在答疑时间内点击“答疑提问</w:t>
      </w:r>
      <w:r>
        <w:rPr>
          <w:color w:val="auto"/>
          <w:szCs w:val="21"/>
          <w:highlight w:val="none"/>
          <w:u w:val="single"/>
        </w:rPr>
        <w:t>-</w:t>
      </w:r>
      <w:r>
        <w:rPr>
          <w:rFonts w:hint="eastAsia"/>
          <w:color w:val="auto"/>
          <w:szCs w:val="21"/>
          <w:highlight w:val="none"/>
          <w:u w:val="single"/>
        </w:rPr>
        <w:t>新增提问”→提出问题</w:t>
      </w:r>
      <w:r>
        <w:rPr>
          <w:color w:val="auto"/>
          <w:szCs w:val="21"/>
          <w:highlight w:val="none"/>
          <w:u w:val="single"/>
        </w:rPr>
        <w:t>(</w:t>
      </w:r>
      <w:r>
        <w:rPr>
          <w:rFonts w:hint="eastAsia"/>
          <w:color w:val="auto"/>
          <w:szCs w:val="21"/>
          <w:highlight w:val="none"/>
          <w:u w:val="single"/>
        </w:rPr>
        <w:t>提问一律不得署名</w:t>
      </w:r>
      <w:r>
        <w:rPr>
          <w:color w:val="auto"/>
          <w:szCs w:val="21"/>
          <w:highlight w:val="none"/>
          <w:u w:val="single"/>
        </w:rPr>
        <w:t>)</w:t>
      </w:r>
      <w:r>
        <w:rPr>
          <w:rFonts w:hint="eastAsia"/>
          <w:color w:val="auto"/>
          <w:szCs w:val="21"/>
          <w:highlight w:val="none"/>
          <w:u w:val="single"/>
        </w:rPr>
        <w:t>。</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8.2             </w:t>
      </w:r>
      <w:r>
        <w:rPr>
          <w:rFonts w:hint="eastAsia" w:ascii="宋体" w:hAnsi="宋体" w:cs="宋体"/>
          <w:b/>
          <w:color w:val="auto"/>
          <w:szCs w:val="21"/>
          <w:highlight w:val="none"/>
        </w:rPr>
        <w:t>修改类型：修改</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8.2</w:t>
      </w:r>
      <w:r>
        <w:rPr>
          <w:rFonts w:hint="eastAsia" w:ascii="宋体" w:hAnsi="宋体" w:cs="宋体"/>
          <w:bCs/>
          <w:color w:val="auto"/>
          <w:szCs w:val="21"/>
          <w:highlight w:val="none"/>
        </w:rPr>
        <w:t>招标答疑会会议纪要将在提交投标文件截止时间</w:t>
      </w:r>
      <w:r>
        <w:rPr>
          <w:rFonts w:ascii="宋体" w:hAnsi="宋体" w:cs="宋体"/>
          <w:bCs/>
          <w:color w:val="auto"/>
          <w:szCs w:val="21"/>
          <w:highlight w:val="none"/>
        </w:rPr>
        <w:t>15</w:t>
      </w:r>
      <w:r>
        <w:rPr>
          <w:rFonts w:hint="eastAsia" w:ascii="宋体" w:hAnsi="宋体" w:cs="宋体"/>
          <w:bCs/>
          <w:color w:val="auto"/>
          <w:szCs w:val="21"/>
          <w:highlight w:val="none"/>
        </w:rPr>
        <w:t>日前在</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交易平台</w:t>
      </w:r>
      <w:r>
        <w:rPr>
          <w:rFonts w:ascii="宋体" w:hAnsi="宋体" w:cs="宋体"/>
          <w:bCs/>
          <w:color w:val="auto"/>
          <w:szCs w:val="21"/>
          <w:highlight w:val="none"/>
        </w:rPr>
        <w:t xml:space="preserve"> </w:t>
      </w:r>
      <w:r>
        <w:rPr>
          <w:rFonts w:hint="eastAsia" w:ascii="宋体" w:hAnsi="宋体" w:cs="宋体"/>
          <w:bCs/>
          <w:color w:val="auto"/>
          <w:szCs w:val="21"/>
          <w:highlight w:val="none"/>
        </w:rPr>
        <w:t>“项目答疑纪要”专区公开发布。答疑纪要一经在</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交易平台发布，视作已发放给所有投标人。</w:t>
      </w:r>
    </w:p>
    <w:p>
      <w:pPr>
        <w:pBdr>
          <w:bottom w:val="single" w:color="auto" w:sz="6" w:space="1"/>
        </w:pBdr>
        <w:spacing w:line="360" w:lineRule="auto"/>
        <w:ind w:firstLine="470" w:firstLineChars="224"/>
        <w:rPr>
          <w:b/>
          <w:color w:val="auto"/>
          <w:szCs w:val="21"/>
          <w:highlight w:val="none"/>
        </w:rPr>
      </w:pPr>
      <w:r>
        <w:rPr>
          <w:rFonts w:hint="eastAsia" w:ascii="宋体" w:hAnsi="宋体" w:cs="宋体"/>
          <w:b/>
          <w:color w:val="auto"/>
          <w:szCs w:val="21"/>
          <w:highlight w:val="none"/>
        </w:rPr>
        <w:t>现文：</w:t>
      </w:r>
      <w:r>
        <w:rPr>
          <w:rFonts w:ascii="宋体" w:hAnsi="宋体" w:cs="宋体"/>
          <w:b/>
          <w:color w:val="auto"/>
          <w:szCs w:val="21"/>
          <w:highlight w:val="none"/>
        </w:rPr>
        <w:t>8.2</w:t>
      </w:r>
      <w:r>
        <w:rPr>
          <w:rFonts w:hint="eastAsia" w:ascii="宋体" w:hAnsi="宋体" w:cs="宋体"/>
          <w:bCs/>
          <w:color w:val="auto"/>
          <w:szCs w:val="21"/>
          <w:highlight w:val="none"/>
        </w:rPr>
        <w:t>招标答疑会会议纪要将在提交投标文件截止时间</w:t>
      </w:r>
      <w:r>
        <w:rPr>
          <w:rFonts w:ascii="宋体" w:hAnsi="宋体" w:cs="宋体"/>
          <w:bCs/>
          <w:color w:val="auto"/>
          <w:szCs w:val="21"/>
          <w:highlight w:val="none"/>
        </w:rPr>
        <w:t>15</w:t>
      </w:r>
      <w:r>
        <w:rPr>
          <w:rFonts w:hint="eastAsia" w:ascii="宋体" w:hAnsi="宋体" w:cs="宋体"/>
          <w:bCs/>
          <w:color w:val="auto"/>
          <w:szCs w:val="21"/>
          <w:highlight w:val="none"/>
        </w:rPr>
        <w:t>日前在</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bCs/>
          <w:color w:val="auto"/>
          <w:szCs w:val="21"/>
          <w:highlight w:val="none"/>
        </w:rPr>
        <w:t>交易平台</w:t>
      </w:r>
      <w:r>
        <w:rPr>
          <w:rFonts w:hint="eastAsia" w:ascii="宋体" w:hAnsi="宋体" w:cs="宋体"/>
          <w:bCs/>
          <w:color w:val="auto"/>
          <w:szCs w:val="21"/>
          <w:highlight w:val="none"/>
          <w:u w:val="single"/>
        </w:rPr>
        <w:t>“</w:t>
      </w:r>
      <w:bookmarkStart w:id="7" w:name="_Hlk62738754"/>
      <w:r>
        <w:rPr>
          <w:rFonts w:hint="eastAsia" w:ascii="宋体" w:hAnsi="宋体" w:cs="宋体"/>
          <w:bCs/>
          <w:color w:val="auto"/>
          <w:szCs w:val="21"/>
          <w:highlight w:val="none"/>
          <w:u w:val="single"/>
        </w:rPr>
        <w:t>项目查询（日程安排、答疑纪要）</w:t>
      </w:r>
      <w:bookmarkEnd w:id="7"/>
      <w:r>
        <w:rPr>
          <w:rFonts w:hint="eastAsia" w:ascii="宋体" w:hAnsi="宋体" w:cs="宋体"/>
          <w:bCs/>
          <w:color w:val="auto"/>
          <w:szCs w:val="21"/>
          <w:highlight w:val="none"/>
          <w:u w:val="single"/>
        </w:rPr>
        <w:t>”</w:t>
      </w:r>
      <w:r>
        <w:rPr>
          <w:rFonts w:hint="eastAsia" w:ascii="宋体" w:hAnsi="宋体" w:cs="宋体"/>
          <w:bCs/>
          <w:color w:val="auto"/>
          <w:szCs w:val="21"/>
          <w:highlight w:val="none"/>
        </w:rPr>
        <w:t>专区公开发布。答疑纪要一经在</w:t>
      </w:r>
      <w:r>
        <w:rPr>
          <w:rFonts w:hint="eastAsia" w:ascii="宋体" w:hAnsi="宋体" w:cs="宋体"/>
          <w:bCs/>
          <w:color w:val="auto"/>
          <w:szCs w:val="21"/>
          <w:highlight w:val="none"/>
          <w:u w:val="single"/>
        </w:rPr>
        <w:t>广州交易集团有限公司（广州公共资源交易中心）网站</w:t>
      </w:r>
      <w:r>
        <w:rPr>
          <w:rFonts w:hint="eastAsia" w:ascii="宋体" w:hAnsi="宋体" w:cs="宋体"/>
          <w:bCs/>
          <w:color w:val="auto"/>
          <w:szCs w:val="21"/>
          <w:highlight w:val="none"/>
        </w:rPr>
        <w:t>发布，视作已发放给所有投标人。</w:t>
      </w:r>
    </w:p>
    <w:p>
      <w:pPr>
        <w:pStyle w:val="6"/>
        <w:spacing w:after="0" w:line="360" w:lineRule="auto"/>
        <w:ind w:firstLine="420" w:firstLineChars="200"/>
        <w:rPr>
          <w:rFonts w:ascii="宋体" w:eastAsia="宋体" w:cs="宋体"/>
          <w:b/>
          <w:color w:val="auto"/>
          <w:szCs w:val="21"/>
          <w:highlight w:val="none"/>
        </w:rPr>
      </w:pPr>
      <w:bookmarkStart w:id="8" w:name="_Hlk61366684"/>
      <w:r>
        <w:rPr>
          <w:rFonts w:hint="eastAsia" w:ascii="宋体" w:hAnsi="宋体" w:eastAsia="宋体" w:cs="宋体"/>
          <w:b/>
          <w:color w:val="auto"/>
          <w:szCs w:val="21"/>
          <w:highlight w:val="none"/>
        </w:rPr>
        <w:t>条款号：</w:t>
      </w:r>
      <w:r>
        <w:rPr>
          <w:rFonts w:ascii="宋体" w:hAnsi="宋体" w:eastAsia="宋体" w:cs="宋体"/>
          <w:b/>
          <w:color w:val="auto"/>
          <w:szCs w:val="21"/>
          <w:highlight w:val="none"/>
        </w:rPr>
        <w:t xml:space="preserve">8.3              </w:t>
      </w:r>
      <w:r>
        <w:rPr>
          <w:rFonts w:hint="eastAsia" w:ascii="宋体" w:hAnsi="宋体" w:eastAsia="宋体" w:cs="宋体"/>
          <w:b/>
          <w:color w:val="auto"/>
          <w:szCs w:val="21"/>
          <w:highlight w:val="none"/>
        </w:rPr>
        <w:t>修改类型：修改</w:t>
      </w:r>
    </w:p>
    <w:p>
      <w:pPr>
        <w:pStyle w:val="6"/>
        <w:spacing w:after="0" w:line="360" w:lineRule="auto"/>
        <w:ind w:firstLine="420" w:firstLineChars="200"/>
        <w:rPr>
          <w:rFonts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w:t>
      </w:r>
      <w:r>
        <w:rPr>
          <w:rFonts w:ascii="宋体" w:hAnsi="宋体" w:eastAsia="宋体" w:cs="宋体"/>
          <w:b/>
          <w:color w:val="auto"/>
          <w:szCs w:val="21"/>
          <w:highlight w:val="none"/>
        </w:rPr>
        <w:t>8.3</w:t>
      </w:r>
      <w:r>
        <w:rPr>
          <w:rFonts w:hint="eastAsia" w:ascii="宋体" w:hAnsi="宋体" w:eastAsia="宋体" w:cs="宋体"/>
          <w:bCs/>
          <w:color w:val="auto"/>
          <w:szCs w:val="21"/>
          <w:highlight w:val="none"/>
        </w:rPr>
        <w:t>答疑会会议纪要为招标文件的一部分。</w:t>
      </w:r>
    </w:p>
    <w:p>
      <w:pPr>
        <w:pBdr>
          <w:bottom w:val="single" w:color="auto" w:sz="6" w:space="1"/>
        </w:pBdr>
        <w:spacing w:line="360" w:lineRule="auto"/>
        <w:ind w:firstLine="422" w:firstLineChars="201"/>
        <w:rPr>
          <w:color w:val="auto"/>
          <w:szCs w:val="21"/>
          <w:highlight w:val="none"/>
        </w:rPr>
      </w:pPr>
      <w:r>
        <w:rPr>
          <w:rFonts w:hint="eastAsia" w:ascii="宋体" w:hAnsi="宋体" w:cs="宋体"/>
          <w:b/>
          <w:color w:val="auto"/>
          <w:szCs w:val="21"/>
          <w:highlight w:val="none"/>
        </w:rPr>
        <w:t>现文：</w:t>
      </w:r>
      <w:r>
        <w:rPr>
          <w:rFonts w:ascii="宋体" w:hAnsi="宋体" w:cs="宋体"/>
          <w:b/>
          <w:color w:val="auto"/>
          <w:kern w:val="0"/>
          <w:szCs w:val="21"/>
          <w:highlight w:val="none"/>
        </w:rPr>
        <w:t>8.3</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为招标文件的一部分。</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8.4              </w:t>
      </w:r>
      <w:r>
        <w:rPr>
          <w:rFonts w:hint="eastAsia" w:ascii="宋体" w:hAnsi="宋体" w:cs="宋体"/>
          <w:b/>
          <w:color w:val="auto"/>
          <w:szCs w:val="21"/>
          <w:highlight w:val="none"/>
        </w:rPr>
        <w:t>修改类型：修改</w:t>
      </w:r>
      <w:bookmarkEnd w:id="8"/>
    </w:p>
    <w:p>
      <w:pPr>
        <w:pStyle w:val="6"/>
        <w:spacing w:after="0" w:line="360" w:lineRule="auto"/>
        <w:ind w:firstLine="420" w:firstLineChars="200"/>
        <w:rPr>
          <w:rFonts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ascii="宋体" w:hAnsi="宋体" w:eastAsia="宋体" w:cs="宋体"/>
          <w:b/>
          <w:color w:val="auto"/>
          <w:szCs w:val="21"/>
          <w:highlight w:val="none"/>
        </w:rPr>
        <w:t>8.4</w:t>
      </w:r>
      <w:r>
        <w:rPr>
          <w:rFonts w:hint="eastAsia" w:ascii="宋体" w:hAnsi="宋体" w:eastAsia="宋体" w:cs="宋体"/>
          <w:bCs/>
          <w:color w:val="auto"/>
          <w:szCs w:val="21"/>
          <w:highlight w:val="none"/>
        </w:rPr>
        <w:t>若招标答疑会会议纪要与招标文件有矛盾，以答疑会议纪要最后发出的书面形式的文件为准。</w:t>
      </w:r>
    </w:p>
    <w:p>
      <w:pPr>
        <w:pBdr>
          <w:bottom w:val="single" w:color="auto" w:sz="6" w:space="1"/>
        </w:pBdr>
        <w:spacing w:line="360" w:lineRule="auto"/>
        <w:ind w:firstLine="525" w:firstLineChars="250"/>
        <w:rPr>
          <w:color w:val="auto"/>
          <w:highlight w:val="none"/>
        </w:rPr>
      </w:pPr>
      <w:r>
        <w:rPr>
          <w:rFonts w:hint="eastAsia" w:ascii="宋体" w:hAnsi="宋体" w:cs="宋体"/>
          <w:b/>
          <w:color w:val="auto"/>
          <w:szCs w:val="21"/>
          <w:highlight w:val="none"/>
        </w:rPr>
        <w:t>现文：</w:t>
      </w:r>
      <w:r>
        <w:rPr>
          <w:rFonts w:ascii="宋体" w:hAnsi="宋体" w:cs="宋体"/>
          <w:b/>
          <w:color w:val="auto"/>
          <w:kern w:val="0"/>
          <w:szCs w:val="21"/>
          <w:highlight w:val="none"/>
        </w:rPr>
        <w:t>8.4</w:t>
      </w:r>
      <w:r>
        <w:rPr>
          <w:rFonts w:hint="eastAsia" w:ascii="宋体" w:hAnsi="宋体" w:cs="宋体"/>
          <w:color w:val="auto"/>
          <w:szCs w:val="21"/>
          <w:highlight w:val="none"/>
        </w:rPr>
        <w:t>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最后发布的答疑纪要为准。</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9.2             </w:t>
      </w:r>
      <w:r>
        <w:rPr>
          <w:rFonts w:hint="eastAsia" w:ascii="宋体" w:hAnsi="宋体" w:cs="宋体"/>
          <w:b/>
          <w:color w:val="auto"/>
          <w:szCs w:val="21"/>
          <w:highlight w:val="none"/>
        </w:rPr>
        <w:t>修改类型：修改</w:t>
      </w:r>
    </w:p>
    <w:p>
      <w:pPr>
        <w:pStyle w:val="6"/>
        <w:spacing w:after="0" w:line="360" w:lineRule="auto"/>
        <w:rPr>
          <w:rFonts w:ascii="宋体" w:eastAsia="宋体" w:cs="宋体"/>
          <w:color w:val="auto"/>
          <w:szCs w:val="21"/>
          <w:highlight w:val="none"/>
        </w:rPr>
      </w:pPr>
      <w:r>
        <w:rPr>
          <w:rFonts w:hint="eastAsia" w:ascii="宋体" w:hAnsi="宋体" w:eastAsia="宋体" w:cs="宋体"/>
          <w:b/>
          <w:color w:val="auto"/>
          <w:szCs w:val="21"/>
          <w:highlight w:val="none"/>
        </w:rPr>
        <w:t>原文：</w:t>
      </w:r>
      <w:r>
        <w:rPr>
          <w:rFonts w:ascii="宋体" w:hAnsi="宋体" w:cs="宋体"/>
          <w:b/>
          <w:bCs/>
          <w:color w:val="auto"/>
          <w:szCs w:val="21"/>
          <w:highlight w:val="none"/>
        </w:rPr>
        <w:t>9.2</w:t>
      </w:r>
      <w:r>
        <w:rPr>
          <w:rFonts w:hint="eastAsia" w:ascii="宋体" w:hAnsi="宋体" w:eastAsia="宋体" w:cs="宋体"/>
          <w:bCs/>
          <w:color w:val="auto"/>
          <w:szCs w:val="21"/>
          <w:highlight w:val="none"/>
        </w:rPr>
        <w:t>招标文件的澄清或修改将在</w:t>
      </w:r>
      <w:r>
        <w:rPr>
          <w:rFonts w:ascii="宋体" w:hAnsi="宋体" w:cs="宋体"/>
          <w:color w:val="auto"/>
          <w:szCs w:val="21"/>
          <w:highlight w:val="none"/>
          <w:u w:val="single"/>
        </w:rPr>
        <w:t xml:space="preserve">        </w:t>
      </w:r>
      <w:r>
        <w:rPr>
          <w:rFonts w:hint="eastAsia" w:ascii="宋体" w:hAnsi="宋体" w:eastAsia="宋体" w:cs="宋体"/>
          <w:bCs/>
          <w:color w:val="auto"/>
          <w:szCs w:val="21"/>
          <w:highlight w:val="none"/>
        </w:rPr>
        <w:t>交易平台“项目答疑纪要”专区公开发布。答疑纪要一经在</w:t>
      </w:r>
      <w:r>
        <w:rPr>
          <w:rFonts w:ascii="宋体" w:hAnsi="宋体" w:cs="宋体"/>
          <w:color w:val="auto"/>
          <w:szCs w:val="21"/>
          <w:highlight w:val="none"/>
          <w:u w:val="single"/>
        </w:rPr>
        <w:t xml:space="preserve">        </w:t>
      </w:r>
      <w:r>
        <w:rPr>
          <w:rFonts w:hint="eastAsia" w:ascii="宋体" w:hAnsi="宋体" w:eastAsia="宋体" w:cs="宋体"/>
          <w:bCs/>
          <w:color w:val="auto"/>
          <w:szCs w:val="21"/>
          <w:highlight w:val="none"/>
        </w:rPr>
        <w:t>交易平台发布，视作已发放给所有投标人，以</w:t>
      </w:r>
      <w:r>
        <w:rPr>
          <w:rFonts w:ascii="宋体" w:hAnsi="宋体" w:cs="宋体"/>
          <w:color w:val="auto"/>
          <w:szCs w:val="21"/>
          <w:highlight w:val="none"/>
          <w:u w:val="single"/>
        </w:rPr>
        <w:t xml:space="preserve">        </w:t>
      </w:r>
      <w:r>
        <w:rPr>
          <w:rFonts w:hint="eastAsia" w:ascii="宋体" w:hAnsi="宋体" w:eastAsia="宋体" w:cs="宋体"/>
          <w:bCs/>
          <w:color w:val="auto"/>
          <w:szCs w:val="21"/>
          <w:highlight w:val="none"/>
        </w:rPr>
        <w:t>交易平台上网发布时间作为送达时间。</w:t>
      </w:r>
    </w:p>
    <w:p>
      <w:pPr>
        <w:pBdr>
          <w:bottom w:val="single" w:color="auto" w:sz="6" w:space="1"/>
        </w:pBd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现文：</w:t>
      </w:r>
      <w:r>
        <w:rPr>
          <w:rFonts w:ascii="宋体" w:hAnsi="宋体" w:cs="宋体"/>
          <w:b/>
          <w:bCs/>
          <w:color w:val="auto"/>
          <w:szCs w:val="21"/>
          <w:highlight w:val="none"/>
        </w:rPr>
        <w:t>9.2</w:t>
      </w:r>
      <w:r>
        <w:rPr>
          <w:rFonts w:hint="eastAsia" w:ascii="宋体" w:hAnsi="宋体" w:cs="宋体"/>
          <w:color w:val="auto"/>
          <w:szCs w:val="21"/>
          <w:highlight w:val="none"/>
        </w:rPr>
        <w:t>招标文件的澄清或修改将在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bCs/>
          <w:color w:val="auto"/>
          <w:szCs w:val="21"/>
          <w:highlight w:val="none"/>
        </w:rPr>
        <w:t xml:space="preserve">9.4 </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pPr>
        <w:pBdr>
          <w:bottom w:val="single" w:color="auto" w:sz="6" w:space="1"/>
        </w:pBdr>
        <w:spacing w:line="360" w:lineRule="auto"/>
        <w:ind w:firstLine="525" w:firstLineChars="250"/>
        <w:rPr>
          <w:rFonts w:ascii="宋体" w:cs="宋体"/>
          <w:b/>
          <w:color w:val="auto"/>
          <w:szCs w:val="21"/>
          <w:highlight w:val="none"/>
        </w:rPr>
      </w:pPr>
      <w:r>
        <w:rPr>
          <w:rFonts w:hint="eastAsia" w:ascii="宋体" w:hAnsi="宋体" w:cs="宋体"/>
          <w:b/>
          <w:color w:val="auto"/>
          <w:szCs w:val="21"/>
          <w:highlight w:val="none"/>
        </w:rPr>
        <w:t>原文：</w:t>
      </w:r>
      <w:r>
        <w:rPr>
          <w:rFonts w:ascii="宋体" w:hAnsi="宋体" w:cs="宋体"/>
          <w:b/>
          <w:bCs/>
          <w:color w:val="auto"/>
          <w:szCs w:val="21"/>
          <w:highlight w:val="none"/>
        </w:rPr>
        <w:t>9.4</w:t>
      </w:r>
      <w:r>
        <w:rPr>
          <w:rFonts w:hint="eastAsia" w:ascii="宋体" w:hAnsi="宋体" w:cs="宋体"/>
          <w:color w:val="auto"/>
          <w:szCs w:val="21"/>
          <w:highlight w:val="none"/>
        </w:rPr>
        <w:t>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现文：</w:t>
      </w:r>
      <w:r>
        <w:rPr>
          <w:rFonts w:ascii="宋体" w:hAnsi="宋体" w:cs="宋体"/>
          <w:b/>
          <w:bCs/>
          <w:color w:val="auto"/>
          <w:szCs w:val="21"/>
          <w:highlight w:val="none"/>
        </w:rPr>
        <w:t>9.4</w:t>
      </w:r>
      <w:r>
        <w:rPr>
          <w:rFonts w:hint="eastAsia" w:ascii="宋体" w:hAnsi="宋体" w:cs="宋体"/>
          <w:color w:val="auto"/>
          <w:szCs w:val="21"/>
          <w:highlight w:val="none"/>
        </w:rPr>
        <w:t>招标文件的澄清或修改</w:t>
      </w:r>
      <w:r>
        <w:rPr>
          <w:rFonts w:hint="eastAsia" w:ascii="宋体" w:hAnsi="宋体" w:cs="宋体"/>
          <w:color w:val="auto"/>
          <w:szCs w:val="21"/>
          <w:highlight w:val="none"/>
          <w:u w:val="single"/>
        </w:rPr>
        <w:t>在广州交易集团有限公司（广州公共资源交易中心）网站</w:t>
      </w:r>
      <w:bookmarkStart w:id="9" w:name="_Hlk63072133"/>
      <w:r>
        <w:rPr>
          <w:rFonts w:hint="eastAsia" w:ascii="宋体" w:hAnsi="宋体" w:cs="宋体"/>
          <w:color w:val="auto"/>
          <w:szCs w:val="21"/>
          <w:highlight w:val="none"/>
          <w:u w:val="single"/>
        </w:rPr>
        <w:t>“项目查询（日程安排、答疑纪要）”专区</w:t>
      </w:r>
      <w:bookmarkEnd w:id="9"/>
      <w:r>
        <w:rPr>
          <w:rFonts w:hint="eastAsia" w:ascii="宋体" w:hAnsi="宋体" w:cs="宋体"/>
          <w:color w:val="auto"/>
          <w:szCs w:val="21"/>
          <w:highlight w:val="none"/>
          <w:u w:val="single"/>
        </w:rPr>
        <w:t>公开发布。</w:t>
      </w:r>
      <w:r>
        <w:rPr>
          <w:rFonts w:hint="eastAsia" w:ascii="宋体" w:hAnsi="宋体" w:cs="宋体"/>
          <w:color w:val="auto"/>
          <w:szCs w:val="21"/>
          <w:highlight w:val="none"/>
        </w:rPr>
        <w:t>当招标文件的澄清、修改、补充等在同一内容的表述不一致时，以最后发出的文件为准。</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11.2           </w:t>
      </w:r>
      <w:r>
        <w:rPr>
          <w:rFonts w:hint="eastAsia" w:ascii="宋体" w:hAnsi="宋体" w:cs="宋体"/>
          <w:b/>
          <w:color w:val="auto"/>
          <w:szCs w:val="21"/>
          <w:highlight w:val="none"/>
        </w:rPr>
        <w:t>修改类型：修改</w:t>
      </w:r>
    </w:p>
    <w:p>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ascii="宋体" w:hAnsi="宋体" w:cs="宋体"/>
          <w:bCs/>
          <w:color w:val="auto"/>
          <w:szCs w:val="21"/>
          <w:highlight w:val="none"/>
        </w:rPr>
        <w:t>11.2</w:t>
      </w:r>
      <w:r>
        <w:rPr>
          <w:rFonts w:hint="eastAsia" w:ascii="宋体" w:hAnsi="宋体" w:cs="宋体"/>
          <w:bCs/>
          <w:color w:val="auto"/>
          <w:szCs w:val="21"/>
          <w:highlight w:val="none"/>
        </w:rPr>
        <w:t>投标文件技术标部分主要包括下列内容</w:t>
      </w:r>
      <w:r>
        <w:rPr>
          <w:rFonts w:ascii="宋体" w:hAnsi="宋体" w:cs="宋体"/>
          <w:bCs/>
          <w:color w:val="auto"/>
          <w:szCs w:val="21"/>
          <w:highlight w:val="none"/>
        </w:rPr>
        <w:t>:</w:t>
      </w:r>
    </w:p>
    <w:p>
      <w:pPr>
        <w:spacing w:line="360" w:lineRule="auto"/>
        <w:ind w:firstLine="470" w:firstLineChars="224"/>
        <w:rPr>
          <w:rFonts w:ascii="宋体" w:cs="宋体"/>
          <w:bCs/>
          <w:color w:val="auto"/>
          <w:szCs w:val="21"/>
          <w:highlight w:val="none"/>
        </w:rPr>
      </w:pPr>
      <w:r>
        <w:rPr>
          <w:rFonts w:ascii="宋体" w:hAnsi="宋体" w:cs="宋体"/>
          <w:bCs/>
          <w:color w:val="auto"/>
          <w:szCs w:val="21"/>
          <w:highlight w:val="none"/>
        </w:rPr>
        <w:t xml:space="preserve">11.2.1 </w:t>
      </w:r>
      <w:r>
        <w:rPr>
          <w:rFonts w:hint="eastAsia" w:ascii="宋体" w:hAnsi="宋体" w:cs="宋体"/>
          <w:bCs/>
          <w:color w:val="auto"/>
          <w:szCs w:val="21"/>
          <w:highlight w:val="none"/>
        </w:rPr>
        <w:t>技术投标文件</w:t>
      </w:r>
      <w:r>
        <w:rPr>
          <w:rFonts w:ascii="宋体" w:hAnsi="宋体" w:cs="宋体"/>
          <w:bCs/>
          <w:color w:val="auto"/>
          <w:szCs w:val="21"/>
          <w:highlight w:val="none"/>
        </w:rPr>
        <w:t>(</w:t>
      </w:r>
      <w:r>
        <w:rPr>
          <w:rFonts w:hint="eastAsia" w:ascii="宋体" w:hAnsi="宋体" w:cs="宋体"/>
          <w:bCs/>
          <w:color w:val="auto"/>
          <w:szCs w:val="21"/>
          <w:highlight w:val="none"/>
        </w:rPr>
        <w:t>按招标文件的要求填写</w:t>
      </w:r>
      <w:r>
        <w:rPr>
          <w:rFonts w:ascii="宋体" w:hAnsi="宋体" w:cs="宋体"/>
          <w:bCs/>
          <w:color w:val="auto"/>
          <w:szCs w:val="21"/>
          <w:highlight w:val="none"/>
        </w:rPr>
        <w:t>)</w:t>
      </w:r>
      <w:r>
        <w:rPr>
          <w:rFonts w:hint="eastAsia" w:ascii="宋体" w:hAnsi="宋体" w:cs="宋体"/>
          <w:bCs/>
          <w:color w:val="auto"/>
          <w:szCs w:val="21"/>
          <w:highlight w:val="none"/>
        </w:rPr>
        <w:t>；</w:t>
      </w:r>
    </w:p>
    <w:p>
      <w:pPr>
        <w:spacing w:line="360" w:lineRule="auto"/>
        <w:ind w:firstLine="470" w:firstLineChars="224"/>
        <w:rPr>
          <w:rFonts w:ascii="宋体" w:hAnsi="宋体" w:cs="宋体"/>
          <w:bCs/>
          <w:color w:val="auto"/>
          <w:szCs w:val="21"/>
          <w:highlight w:val="none"/>
        </w:rPr>
      </w:pPr>
      <w:r>
        <w:rPr>
          <w:rFonts w:ascii="宋体" w:hAnsi="宋体" w:cs="宋体"/>
          <w:bCs/>
          <w:color w:val="auto"/>
          <w:szCs w:val="21"/>
          <w:highlight w:val="none"/>
        </w:rPr>
        <w:t xml:space="preserve">11.2.2 </w:t>
      </w:r>
      <w:r>
        <w:rPr>
          <w:rFonts w:hint="eastAsia" w:ascii="宋体" w:hAnsi="宋体" w:cs="宋体"/>
          <w:bCs/>
          <w:color w:val="auto"/>
          <w:szCs w:val="21"/>
          <w:highlight w:val="none"/>
        </w:rPr>
        <w:t>资格审查文件：</w:t>
      </w:r>
    </w:p>
    <w:p>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）投标人声明；</w:t>
      </w:r>
      <w:r>
        <w:rPr>
          <w:rFonts w:ascii="宋体" w:hAnsi="宋体" w:cs="宋体"/>
          <w:bCs/>
          <w:color w:val="auto"/>
          <w:szCs w:val="21"/>
          <w:highlight w:val="none"/>
        </w:rPr>
        <w:t xml:space="preserve"> </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）法定代表人证明书、法定代表人签字或盖章的本投标文件授权委托证明书；</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）企业营业执照（取自平台内上传件）；</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4</w:t>
      </w:r>
      <w:r>
        <w:rPr>
          <w:rFonts w:hint="eastAsia" w:ascii="宋体" w:hAnsi="宋体" w:cs="宋体"/>
          <w:bCs/>
          <w:color w:val="auto"/>
          <w:szCs w:val="21"/>
          <w:highlight w:val="none"/>
        </w:rPr>
        <w:t>）企业资质证书（取自平台内上传件）；</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5</w:t>
      </w:r>
      <w:r>
        <w:rPr>
          <w:rFonts w:hint="eastAsia" w:ascii="宋体" w:hAnsi="宋体" w:cs="宋体"/>
          <w:bCs/>
          <w:color w:val="auto"/>
          <w:szCs w:val="21"/>
          <w:highlight w:val="none"/>
        </w:rPr>
        <w:t>）建筑施工企业安全生产许可证（取自平台内上传件）；</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6</w:t>
      </w:r>
      <w:r>
        <w:rPr>
          <w:rFonts w:hint="eastAsia" w:ascii="宋体" w:hAnsi="宋体" w:cs="宋体"/>
          <w:bCs/>
          <w:color w:val="auto"/>
          <w:szCs w:val="21"/>
          <w:highlight w:val="none"/>
        </w:rPr>
        <w:t>）项目负责人（按网上投标登记时选择拟投标的项目负责人）</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7</w:t>
      </w:r>
      <w:r>
        <w:rPr>
          <w:rFonts w:hint="eastAsia" w:ascii="宋体" w:hAnsi="宋体" w:cs="宋体"/>
          <w:bCs/>
          <w:color w:val="auto"/>
          <w:szCs w:val="21"/>
          <w:highlight w:val="none"/>
        </w:rPr>
        <w:t>）专职安全员（按网上投标登记时选择拟投标的专职安全员）</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8</w:t>
      </w:r>
      <w:r>
        <w:rPr>
          <w:rFonts w:hint="eastAsia" w:ascii="宋体" w:hAnsi="宋体" w:cs="宋体"/>
          <w:bCs/>
          <w:color w:val="auto"/>
          <w:szCs w:val="21"/>
          <w:highlight w:val="none"/>
        </w:rPr>
        <w:t>）拟委托技术负责人的相关证书、资料（具体要求由招标人明确）</w:t>
      </w:r>
    </w:p>
    <w:p>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9</w:t>
      </w:r>
      <w:r>
        <w:rPr>
          <w:rFonts w:hint="eastAsia" w:ascii="宋体" w:hAnsi="宋体" w:cs="宋体"/>
          <w:bCs/>
          <w:color w:val="auto"/>
          <w:szCs w:val="21"/>
          <w:highlight w:val="none"/>
        </w:rPr>
        <w:t>）拟委派项目负责人的建造师注册证书或小型项目负责人相关证明（取自平台内上传件）；</w:t>
      </w:r>
      <w:r>
        <w:rPr>
          <w:rFonts w:ascii="宋体" w:hAnsi="宋体" w:cs="宋体"/>
          <w:bCs/>
          <w:color w:val="auto"/>
          <w:szCs w:val="21"/>
          <w:highlight w:val="none"/>
        </w:rPr>
        <w:t xml:space="preserve"> </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10</w:t>
      </w:r>
      <w:r>
        <w:rPr>
          <w:rFonts w:hint="eastAsia" w:ascii="宋体" w:hAnsi="宋体" w:cs="宋体"/>
          <w:bCs/>
          <w:color w:val="auto"/>
          <w:szCs w:val="21"/>
          <w:highlight w:val="none"/>
        </w:rPr>
        <w:t>）项目负责人安全培训考核合格证明或在有效期内的安全考核合格证书（B类）或建筑施工企业项目负责人安全生产考核合格证书（取自平台内上传件）；</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11</w:t>
      </w:r>
      <w:r>
        <w:rPr>
          <w:rFonts w:hint="eastAsia" w:ascii="宋体" w:hAnsi="宋体" w:cs="宋体"/>
          <w:bCs/>
          <w:color w:val="auto"/>
          <w:szCs w:val="21"/>
          <w:highlight w:val="none"/>
        </w:rPr>
        <w:t>）专职安全员须具有在有效期内的安全考核合格证书（C证）或建筑施工企业专职安全生产管理人员安全生产考核合格证书（取自平台内上传件）；</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12</w:t>
      </w:r>
      <w:r>
        <w:rPr>
          <w:rFonts w:hint="eastAsia" w:ascii="宋体" w:hAnsi="宋体" w:cs="宋体"/>
          <w:bCs/>
          <w:color w:val="auto"/>
          <w:szCs w:val="21"/>
          <w:highlight w:val="none"/>
        </w:rPr>
        <w:t>）用于资格审查的业绩（设置业绩要求时选择此项，投标人须提供类似工程业绩的项目名称及项目编号，具体格式由招标人自定）；</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13</w:t>
      </w:r>
      <w:r>
        <w:rPr>
          <w:rFonts w:hint="eastAsia" w:ascii="宋体" w:hAnsi="宋体" w:cs="宋体"/>
          <w:bCs/>
          <w:color w:val="auto"/>
          <w:szCs w:val="21"/>
          <w:highlight w:val="none"/>
        </w:rPr>
        <w:t>）资格审查前，投标人须在广州市住房和城乡建设局建立企业信用档案，拟担任本工程项目负责人、专职安全员须是本企业信用档案中的在册人员。</w:t>
      </w:r>
    </w:p>
    <w:p>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14</w:t>
      </w:r>
      <w:r>
        <w:rPr>
          <w:rFonts w:hint="eastAsia" w:ascii="宋体" w:hAnsi="宋体" w:cs="宋体"/>
          <w:bCs/>
          <w:color w:val="auto"/>
          <w:szCs w:val="21"/>
          <w:highlight w:val="none"/>
        </w:rPr>
        <w:t>）列明主办单位的联合体共同投标协议书（采用联合体投标时需递交，投标人拟任本工程项目负责人应为联合体主办方信用档案中的在册人员，联合体共同投标协议书应明确约定各方拟承担的工作和责任）；</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15</w:t>
      </w:r>
      <w:r>
        <w:rPr>
          <w:rFonts w:hint="eastAsia" w:ascii="宋体" w:hAnsi="宋体" w:cs="宋体"/>
          <w:bCs/>
          <w:color w:val="auto"/>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Pr>
          <w:rFonts w:ascii="宋体" w:hAnsi="宋体" w:cs="宋体"/>
          <w:bCs/>
          <w:color w:val="auto"/>
          <w:szCs w:val="21"/>
          <w:highlight w:val="none"/>
        </w:rPr>
        <w:t>50%</w:t>
      </w:r>
      <w:r>
        <w:rPr>
          <w:rFonts w:hint="eastAsia" w:ascii="宋体" w:hAnsi="宋体" w:cs="宋体"/>
          <w:bCs/>
          <w:color w:val="auto"/>
          <w:szCs w:val="21"/>
          <w:highlight w:val="none"/>
        </w:rPr>
        <w:t>或以上的大、中修市政公用工程需提供该项内容的证明文件）。</w:t>
      </w:r>
    </w:p>
    <w:p>
      <w:pPr>
        <w:spacing w:line="360" w:lineRule="auto"/>
        <w:ind w:firstLine="470" w:firstLineChars="224"/>
        <w:rPr>
          <w:rFonts w:ascii="宋体" w:cs="宋体"/>
          <w:bCs/>
          <w:color w:val="auto"/>
          <w:szCs w:val="21"/>
          <w:highlight w:val="none"/>
        </w:rPr>
      </w:pPr>
      <w:r>
        <w:rPr>
          <w:rFonts w:ascii="宋体" w:hAnsi="宋体" w:cs="宋体"/>
          <w:bCs/>
          <w:color w:val="auto"/>
          <w:szCs w:val="21"/>
          <w:highlight w:val="none"/>
        </w:rPr>
        <w:t>11.2.3</w:t>
      </w:r>
      <w:r>
        <w:rPr>
          <w:rFonts w:hint="eastAsia" w:ascii="宋体" w:hAnsi="宋体" w:cs="宋体"/>
          <w:bCs/>
          <w:color w:val="auto"/>
          <w:szCs w:val="21"/>
          <w:highlight w:val="none"/>
        </w:rPr>
        <w:t>项目管理机构配备。</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）投标人应列出该项目工程的施工组织机构构成和画出机构框架图及其负责人；</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）投标人应详细列出该施工组织机构中主要成员的名单、简历资料、职务职称和在本项目中拟担任的职务等资料，并附上有关证明材料扫描件；</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）其他辅助说明资料。</w:t>
      </w:r>
    </w:p>
    <w:p>
      <w:pPr>
        <w:spacing w:line="360" w:lineRule="auto"/>
        <w:ind w:firstLine="470" w:firstLineChars="224"/>
        <w:rPr>
          <w:rFonts w:ascii="宋体" w:cs="宋体"/>
          <w:bCs/>
          <w:color w:val="auto"/>
          <w:szCs w:val="21"/>
          <w:highlight w:val="none"/>
        </w:rPr>
      </w:pPr>
      <w:r>
        <w:rPr>
          <w:rFonts w:ascii="宋体" w:hAnsi="宋体" w:cs="宋体"/>
          <w:bCs/>
          <w:color w:val="auto"/>
          <w:szCs w:val="21"/>
          <w:highlight w:val="none"/>
        </w:rPr>
        <w:t>11.2.4</w:t>
      </w:r>
      <w:r>
        <w:rPr>
          <w:rFonts w:hint="eastAsia" w:ascii="宋体" w:hAnsi="宋体" w:cs="宋体"/>
          <w:bCs/>
          <w:color w:val="auto"/>
          <w:szCs w:val="21"/>
          <w:highlight w:val="none"/>
        </w:rPr>
        <w:t>投标人在广州市可使用适合本工程的机械设备（附：机械设备为自有或租赁的说明；及承诺机械设备如属于租赁的，其租赁是不属于重复租赁）。</w:t>
      </w:r>
    </w:p>
    <w:p>
      <w:pPr>
        <w:spacing w:line="360" w:lineRule="auto"/>
        <w:ind w:firstLine="470" w:firstLineChars="224"/>
        <w:rPr>
          <w:rFonts w:ascii="宋体" w:cs="宋体"/>
          <w:bCs/>
          <w:color w:val="auto"/>
          <w:szCs w:val="21"/>
          <w:highlight w:val="none"/>
        </w:rPr>
      </w:pPr>
      <w:r>
        <w:rPr>
          <w:rFonts w:ascii="宋体" w:hAnsi="宋体" w:cs="宋体"/>
          <w:bCs/>
          <w:color w:val="auto"/>
          <w:szCs w:val="21"/>
          <w:highlight w:val="none"/>
        </w:rPr>
        <w:t>11.2.5</w:t>
      </w:r>
      <w:r>
        <w:rPr>
          <w:rFonts w:hint="eastAsia" w:ascii="宋体" w:hAnsi="宋体" w:cs="宋体"/>
          <w:bCs/>
          <w:color w:val="auto"/>
          <w:szCs w:val="21"/>
          <w:highlight w:val="none"/>
        </w:rPr>
        <w:t>施工组织设计或施工方案。（投标人在编制施工组织设计或施工方案时应按照招标人提出的施工现场建筑垃圾源头减量的具体要求以及建筑垃圾综合利用产品的使用要求提供相应措施。）</w:t>
      </w:r>
    </w:p>
    <w:p>
      <w:pPr>
        <w:spacing w:line="360" w:lineRule="auto"/>
        <w:ind w:firstLine="470" w:firstLineChars="224"/>
        <w:rPr>
          <w:rFonts w:ascii="宋体" w:cs="宋体"/>
          <w:bCs/>
          <w:color w:val="auto"/>
          <w:szCs w:val="21"/>
          <w:highlight w:val="none"/>
        </w:rPr>
      </w:pPr>
      <w:r>
        <w:rPr>
          <w:rFonts w:ascii="宋体" w:hAnsi="宋体" w:cs="宋体"/>
          <w:bCs/>
          <w:color w:val="auto"/>
          <w:szCs w:val="21"/>
          <w:highlight w:val="none"/>
        </w:rPr>
        <w:t>11.2.6</w:t>
      </w:r>
      <w:r>
        <w:rPr>
          <w:rFonts w:hint="eastAsia" w:ascii="宋体" w:hAnsi="宋体" w:cs="宋体"/>
          <w:bCs/>
          <w:color w:val="auto"/>
          <w:szCs w:val="21"/>
          <w:highlight w:val="none"/>
        </w:rPr>
        <w:t>按照招标文件要求填写的《参与编制技术标投标文件人员名单》。</w:t>
      </w:r>
    </w:p>
    <w:p>
      <w:pPr>
        <w:spacing w:line="360" w:lineRule="auto"/>
        <w:ind w:firstLine="420" w:firstLineChars="200"/>
        <w:rPr>
          <w:rFonts w:ascii="宋体" w:hAnsi="宋体"/>
          <w:b/>
          <w:color w:val="auto"/>
          <w:szCs w:val="21"/>
          <w:highlight w:val="none"/>
          <w:u w:val="single"/>
        </w:rPr>
      </w:pPr>
      <w:r>
        <w:rPr>
          <w:rFonts w:hint="eastAsia" w:ascii="宋体" w:hAnsi="宋体" w:cs="宋体"/>
          <w:b/>
          <w:color w:val="auto"/>
          <w:szCs w:val="21"/>
          <w:highlight w:val="none"/>
        </w:rPr>
        <w:t>现文：</w:t>
      </w:r>
      <w:r>
        <w:rPr>
          <w:rFonts w:hint="eastAsia" w:ascii="宋体" w:hAnsi="宋体"/>
          <w:bCs/>
          <w:color w:val="auto"/>
          <w:szCs w:val="21"/>
          <w:highlight w:val="none"/>
          <w:u w:val="single"/>
        </w:rPr>
        <w:t>11.1 投标文件由技术标投标文件（含资格审查文件）和经济标投标文件组成。</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11.2</w:t>
      </w:r>
      <w:r>
        <w:rPr>
          <w:rFonts w:hint="eastAsia" w:ascii="宋体" w:hAnsi="宋体"/>
          <w:color w:val="auto"/>
          <w:szCs w:val="21"/>
          <w:highlight w:val="none"/>
          <w:u w:val="single"/>
        </w:rPr>
        <w:t>技术标投标文件（含资格审查文件）主要包括下列内容</w:t>
      </w:r>
      <w:r>
        <w:rPr>
          <w:rFonts w:ascii="宋体" w:hAnsi="宋体"/>
          <w:color w:val="auto"/>
          <w:szCs w:val="21"/>
          <w:highlight w:val="none"/>
          <w:u w:val="single"/>
        </w:rPr>
        <w:t>:</w:t>
      </w:r>
    </w:p>
    <w:p>
      <w:pPr>
        <w:spacing w:line="360" w:lineRule="auto"/>
        <w:ind w:firstLine="420" w:firstLineChars="200"/>
        <w:rPr>
          <w:rFonts w:ascii="宋体" w:cs="宋体"/>
          <w:bCs/>
          <w:color w:val="auto"/>
          <w:szCs w:val="21"/>
          <w:highlight w:val="none"/>
        </w:rPr>
      </w:pPr>
      <w:r>
        <w:rPr>
          <w:rFonts w:hint="eastAsia" w:ascii="宋体" w:hAnsi="宋体"/>
          <w:color w:val="auto"/>
          <w:szCs w:val="21"/>
          <w:highlight w:val="none"/>
          <w:u w:val="single"/>
        </w:rPr>
        <w:t>11.2.1 技术投标文件：广州建设工程施工招标投标书</w:t>
      </w:r>
      <w:r>
        <w:rPr>
          <w:rFonts w:hint="eastAsia" w:ascii="宋体" w:hAnsi="宋体"/>
          <w:bCs/>
          <w:color w:val="auto"/>
          <w:szCs w:val="21"/>
          <w:highlight w:val="none"/>
          <w:u w:val="single"/>
        </w:rPr>
        <w:t>（</w:t>
      </w:r>
      <w:r>
        <w:rPr>
          <w:rFonts w:hint="eastAsia" w:ascii="宋体" w:hAnsi="宋体"/>
          <w:color w:val="auto"/>
          <w:szCs w:val="21"/>
          <w:highlight w:val="none"/>
          <w:u w:val="single"/>
        </w:rPr>
        <w:t>按本招标文件“第四章投标文件格式”的技术标投标文件（含资格审查文件）格式一）；</w:t>
      </w:r>
    </w:p>
    <w:p>
      <w:pPr>
        <w:pBdr>
          <w:bottom w:val="single" w:color="auto" w:sz="6" w:space="1"/>
        </w:pBdr>
        <w:spacing w:line="360" w:lineRule="auto"/>
        <w:ind w:firstLine="525" w:firstLineChars="250"/>
        <w:rPr>
          <w:rFonts w:ascii="宋体" w:cs="宋体"/>
          <w:bCs/>
          <w:color w:val="auto"/>
          <w:szCs w:val="21"/>
          <w:highlight w:val="none"/>
        </w:rPr>
      </w:pPr>
      <w:r>
        <w:rPr>
          <w:rFonts w:ascii="宋体" w:hAnsi="宋体" w:cs="宋体"/>
          <w:bCs/>
          <w:color w:val="auto"/>
          <w:szCs w:val="21"/>
          <w:highlight w:val="none"/>
        </w:rPr>
        <w:t xml:space="preserve">11.2.2 </w:t>
      </w:r>
      <w:r>
        <w:rPr>
          <w:rFonts w:hint="eastAsia" w:ascii="宋体" w:hAnsi="宋体" w:cs="宋体"/>
          <w:bCs/>
          <w:color w:val="auto"/>
          <w:szCs w:val="21"/>
          <w:highlight w:val="none"/>
        </w:rPr>
        <w:t>资格审查文件：</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）投标人声明</w:t>
      </w:r>
      <w:r>
        <w:rPr>
          <w:rFonts w:hint="eastAsia" w:ascii="宋体" w:hAnsi="宋体" w:cs="宋体"/>
          <w:color w:val="auto"/>
          <w:szCs w:val="21"/>
          <w:highlight w:val="none"/>
          <w:u w:val="single"/>
        </w:rPr>
        <w:t>（按招标公告附件一的格式及内容提交）</w:t>
      </w:r>
      <w:r>
        <w:rPr>
          <w:rFonts w:hint="eastAsia" w:ascii="宋体" w:hAnsi="宋体" w:cs="宋体"/>
          <w:bCs/>
          <w:color w:val="auto"/>
          <w:szCs w:val="21"/>
          <w:highlight w:val="none"/>
        </w:rPr>
        <w:t>；</w:t>
      </w:r>
      <w:r>
        <w:rPr>
          <w:rFonts w:ascii="宋体" w:hAnsi="宋体" w:cs="宋体"/>
          <w:bCs/>
          <w:color w:val="auto"/>
          <w:szCs w:val="21"/>
          <w:highlight w:val="none"/>
        </w:rPr>
        <w:t xml:space="preserve"> </w:t>
      </w:r>
    </w:p>
    <w:p>
      <w:pPr>
        <w:pBdr>
          <w:bottom w:val="single" w:color="auto" w:sz="6" w:space="1"/>
        </w:pBdr>
        <w:spacing w:line="360" w:lineRule="auto"/>
        <w:ind w:firstLine="525" w:firstLineChars="25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经投标人盖章的法定代表人证明书、投标人盖章及法定代表人签字或盖章的本投标文件授权委托证明书；</w:t>
      </w:r>
    </w:p>
    <w:p>
      <w:pPr>
        <w:pBdr>
          <w:bottom w:val="single" w:color="auto" w:sz="6" w:space="1"/>
        </w:pBdr>
        <w:spacing w:line="360" w:lineRule="auto"/>
        <w:ind w:firstLine="525" w:firstLineChars="25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）企业营业执照</w:t>
      </w:r>
      <w:r>
        <w:rPr>
          <w:rFonts w:hint="eastAsia" w:ascii="宋体" w:hAnsi="宋体" w:cs="宋体"/>
          <w:bCs/>
          <w:color w:val="auto"/>
          <w:szCs w:val="21"/>
          <w:highlight w:val="none"/>
          <w:u w:val="single"/>
        </w:rPr>
        <w:t>（扫描件加盖电子公章）</w:t>
      </w:r>
      <w:r>
        <w:rPr>
          <w:rFonts w:hint="eastAsia" w:ascii="宋体" w:hAnsi="宋体" w:cs="宋体"/>
          <w:bCs/>
          <w:color w:val="auto"/>
          <w:szCs w:val="21"/>
          <w:highlight w:val="none"/>
        </w:rPr>
        <w:t>；</w:t>
      </w:r>
    </w:p>
    <w:p>
      <w:pPr>
        <w:pBdr>
          <w:bottom w:val="single" w:color="auto" w:sz="6" w:space="1"/>
        </w:pBdr>
        <w:spacing w:line="360" w:lineRule="auto"/>
        <w:ind w:firstLine="525" w:firstLineChars="25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4</w:t>
      </w:r>
      <w:r>
        <w:rPr>
          <w:rFonts w:hint="eastAsia" w:ascii="宋体" w:hAnsi="宋体" w:cs="宋体"/>
          <w:bCs/>
          <w:color w:val="auto"/>
          <w:szCs w:val="21"/>
          <w:highlight w:val="none"/>
        </w:rPr>
        <w:t>）企业资质证书</w:t>
      </w:r>
      <w:r>
        <w:rPr>
          <w:rFonts w:hint="eastAsia" w:ascii="宋体" w:hAnsi="宋体" w:cs="宋体"/>
          <w:bCs/>
          <w:color w:val="auto"/>
          <w:szCs w:val="21"/>
          <w:highlight w:val="none"/>
          <w:u w:val="single"/>
        </w:rPr>
        <w:t>（扫描件加盖电子公章）</w:t>
      </w:r>
      <w:r>
        <w:rPr>
          <w:rFonts w:hint="eastAsia" w:ascii="宋体" w:hAnsi="宋体" w:cs="宋体"/>
          <w:bCs/>
          <w:color w:val="auto"/>
          <w:szCs w:val="21"/>
          <w:highlight w:val="none"/>
        </w:rPr>
        <w:t>；</w:t>
      </w:r>
    </w:p>
    <w:p>
      <w:pPr>
        <w:pBdr>
          <w:bottom w:val="single" w:color="auto" w:sz="6" w:space="1"/>
        </w:pBdr>
        <w:spacing w:line="360" w:lineRule="auto"/>
        <w:ind w:firstLine="525" w:firstLineChars="25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5</w:t>
      </w:r>
      <w:r>
        <w:rPr>
          <w:rFonts w:hint="eastAsia" w:ascii="宋体" w:hAnsi="宋体" w:cs="宋体"/>
          <w:bCs/>
          <w:color w:val="auto"/>
          <w:szCs w:val="21"/>
          <w:highlight w:val="none"/>
        </w:rPr>
        <w:t>）建筑施工企业安全生产许可证</w:t>
      </w:r>
      <w:r>
        <w:rPr>
          <w:rFonts w:hint="eastAsia" w:ascii="宋体" w:hAnsi="宋体" w:cs="宋体"/>
          <w:bCs/>
          <w:color w:val="auto"/>
          <w:szCs w:val="21"/>
          <w:highlight w:val="none"/>
          <w:u w:val="single"/>
        </w:rPr>
        <w:t>（扫描件加盖电子公章）</w:t>
      </w:r>
      <w:r>
        <w:rPr>
          <w:rFonts w:hint="eastAsia" w:ascii="宋体" w:hAnsi="宋体" w:cs="宋体"/>
          <w:bCs/>
          <w:color w:val="auto"/>
          <w:szCs w:val="21"/>
          <w:highlight w:val="none"/>
        </w:rPr>
        <w:t>；</w:t>
      </w:r>
    </w:p>
    <w:p>
      <w:pPr>
        <w:pBdr>
          <w:bottom w:val="single" w:color="auto" w:sz="6" w:space="1"/>
        </w:pBdr>
        <w:spacing w:line="360" w:lineRule="auto"/>
        <w:ind w:firstLine="525" w:firstLineChars="25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6</w:t>
      </w:r>
      <w:r>
        <w:rPr>
          <w:rFonts w:hint="eastAsia" w:ascii="宋体" w:hAnsi="宋体" w:cs="宋体"/>
          <w:bCs/>
          <w:color w:val="auto"/>
          <w:szCs w:val="21"/>
          <w:highlight w:val="none"/>
        </w:rPr>
        <w:t>）项目负责人</w:t>
      </w:r>
      <w:r>
        <w:rPr>
          <w:rFonts w:hint="eastAsia" w:ascii="宋体" w:hAnsi="宋体" w:cs="宋体"/>
          <w:bCs/>
          <w:color w:val="auto"/>
          <w:szCs w:val="21"/>
          <w:highlight w:val="none"/>
          <w:u w:val="single"/>
        </w:rPr>
        <w:t>（按网上投标登记时选择拟投标的项目负责人，使用有效期内的注册建造师注册证书，打印建造师电子证书后，应在个人签名处手写本人签名，未手写签名或与签名图像笔迹不一致的，该电子证书无效。）</w:t>
      </w:r>
      <w:r>
        <w:rPr>
          <w:rFonts w:hint="eastAsia" w:ascii="宋体" w:hAnsi="宋体" w:cs="宋体"/>
          <w:bCs/>
          <w:color w:val="auto"/>
          <w:szCs w:val="21"/>
          <w:highlight w:val="none"/>
        </w:rPr>
        <w:t>；</w:t>
      </w:r>
    </w:p>
    <w:p>
      <w:pPr>
        <w:pBdr>
          <w:bottom w:val="single" w:color="auto" w:sz="6" w:space="1"/>
        </w:pBdr>
        <w:spacing w:line="360" w:lineRule="auto"/>
        <w:ind w:firstLine="525" w:firstLineChars="250"/>
        <w:rPr>
          <w:rFonts w:ascii="宋体" w:cs="宋体"/>
          <w:bCs/>
          <w:color w:val="auto"/>
          <w:szCs w:val="21"/>
          <w:highlight w:val="none"/>
          <w:u w:val="single"/>
        </w:rPr>
      </w:pPr>
      <w:r>
        <w:rPr>
          <w:rFonts w:hint="eastAsia" w:ascii="宋体" w:hAnsi="宋体" w:cs="宋体"/>
          <w:bCs/>
          <w:color w:val="auto"/>
          <w:szCs w:val="21"/>
          <w:highlight w:val="none"/>
          <w:u w:val="single"/>
        </w:rPr>
        <w:t>（</w:t>
      </w:r>
      <w:r>
        <w:rPr>
          <w:rFonts w:ascii="宋体" w:hAnsi="宋体" w:cs="宋体"/>
          <w:bCs/>
          <w:color w:val="auto"/>
          <w:szCs w:val="21"/>
          <w:highlight w:val="none"/>
          <w:u w:val="single"/>
        </w:rPr>
        <w:t>7</w:t>
      </w:r>
      <w:r>
        <w:rPr>
          <w:rFonts w:hint="eastAsia" w:ascii="宋体" w:hAnsi="宋体" w:cs="宋体"/>
          <w:bCs/>
          <w:color w:val="auto"/>
          <w:szCs w:val="21"/>
          <w:highlight w:val="none"/>
          <w:u w:val="single"/>
        </w:rPr>
        <w:t>）专职安全员（按网上投标登记时选择拟投标的专职安全员，取自库内上传件或建筑施工企业专职安全生产管理人员安全生产考核合格证书）</w:t>
      </w:r>
    </w:p>
    <w:p>
      <w:pPr>
        <w:pBdr>
          <w:bottom w:val="single" w:color="auto" w:sz="6" w:space="1"/>
        </w:pBdr>
        <w:spacing w:line="360" w:lineRule="auto"/>
        <w:ind w:firstLine="525" w:firstLineChars="250"/>
        <w:rPr>
          <w:rFonts w:ascii="宋体" w:cs="宋体"/>
          <w:bCs/>
          <w:color w:val="auto"/>
          <w:szCs w:val="21"/>
          <w:highlight w:val="none"/>
          <w:u w:val="single"/>
        </w:rPr>
      </w:pPr>
      <w:r>
        <w:rPr>
          <w:rFonts w:hint="eastAsia" w:ascii="宋体" w:hAnsi="宋体" w:cs="宋体"/>
          <w:bCs/>
          <w:color w:val="auto"/>
          <w:szCs w:val="21"/>
          <w:highlight w:val="none"/>
          <w:u w:val="single"/>
        </w:rPr>
        <w:t>（</w:t>
      </w:r>
      <w:r>
        <w:rPr>
          <w:rFonts w:ascii="宋体" w:hAnsi="宋体" w:cs="宋体"/>
          <w:bCs/>
          <w:color w:val="auto"/>
          <w:szCs w:val="21"/>
          <w:highlight w:val="none"/>
          <w:u w:val="single"/>
        </w:rPr>
        <w:t>8</w:t>
      </w:r>
      <w:r>
        <w:rPr>
          <w:rFonts w:hint="eastAsia" w:ascii="宋体" w:hAnsi="宋体" w:cs="宋体"/>
          <w:bCs/>
          <w:color w:val="auto"/>
          <w:szCs w:val="21"/>
          <w:highlight w:val="none"/>
          <w:u w:val="single"/>
        </w:rPr>
        <w:t>）拟委托技术负责人的相关证书、资料（具体要求详见招标公告，提供扫描件加盖电子公章）；</w:t>
      </w:r>
    </w:p>
    <w:p>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 xml:space="preserve">（9）拟委派项目负责人的建造师注册证书（扫描件加盖电子公章）； </w:t>
      </w:r>
    </w:p>
    <w:p>
      <w:pPr>
        <w:pBdr>
          <w:bottom w:val="single" w:color="auto" w:sz="6" w:space="1"/>
        </w:pBdr>
        <w:spacing w:line="360" w:lineRule="auto"/>
        <w:ind w:firstLine="525" w:firstLineChars="250"/>
        <w:rPr>
          <w:rFonts w:ascii="宋体" w:cs="宋体"/>
          <w:bCs/>
          <w:color w:val="auto"/>
          <w:szCs w:val="21"/>
          <w:highlight w:val="none"/>
        </w:rPr>
      </w:pPr>
      <w:r>
        <w:rPr>
          <w:rFonts w:hint="eastAsia" w:ascii="宋体" w:hAnsi="宋体" w:cs="宋体"/>
          <w:bCs/>
          <w:color w:val="auto"/>
          <w:szCs w:val="21"/>
          <w:highlight w:val="none"/>
          <w:u w:val="single"/>
        </w:rPr>
        <w:t>（10）项目负责人安全生产考核合格证明或在有效期内的安全考核合格证书（B类）或建筑施工企业项目负责人安全生产考核合格证书（</w:t>
      </w:r>
      <w:r>
        <w:rPr>
          <w:rFonts w:ascii="宋体" w:hAnsi="宋体" w:cs="宋体"/>
          <w:bCs/>
          <w:color w:val="auto"/>
          <w:szCs w:val="21"/>
          <w:highlight w:val="none"/>
          <w:u w:val="single"/>
        </w:rPr>
        <w:t>扫描件加盖电子公章</w:t>
      </w:r>
      <w:r>
        <w:rPr>
          <w:rFonts w:hint="eastAsia" w:ascii="宋体" w:hAnsi="宋体" w:cs="宋体"/>
          <w:bCs/>
          <w:color w:val="auto"/>
          <w:szCs w:val="21"/>
          <w:highlight w:val="none"/>
          <w:u w:val="single"/>
        </w:rPr>
        <w:t>）；</w:t>
      </w:r>
    </w:p>
    <w:p>
      <w:pPr>
        <w:pBdr>
          <w:bottom w:val="single" w:color="auto" w:sz="6" w:space="1"/>
        </w:pBdr>
        <w:spacing w:line="360" w:lineRule="auto"/>
        <w:ind w:firstLine="525" w:firstLineChars="250"/>
        <w:rPr>
          <w:rFonts w:ascii="宋体" w:cs="宋体"/>
          <w:bCs/>
          <w:color w:val="auto"/>
          <w:szCs w:val="21"/>
          <w:highlight w:val="none"/>
        </w:rPr>
      </w:pPr>
      <w:r>
        <w:rPr>
          <w:rFonts w:hint="eastAsia" w:ascii="宋体" w:hAnsi="宋体" w:cs="宋体"/>
          <w:bCs/>
          <w:color w:val="auto"/>
          <w:szCs w:val="21"/>
          <w:highlight w:val="none"/>
          <w:u w:val="single"/>
        </w:rPr>
        <w:t>（</w:t>
      </w:r>
      <w:r>
        <w:rPr>
          <w:rFonts w:ascii="宋体" w:hAnsi="宋体" w:cs="宋体"/>
          <w:bCs/>
          <w:color w:val="auto"/>
          <w:szCs w:val="21"/>
          <w:highlight w:val="none"/>
          <w:u w:val="single"/>
        </w:rPr>
        <w:t>11</w:t>
      </w:r>
      <w:r>
        <w:rPr>
          <w:rFonts w:hint="eastAsia" w:ascii="宋体" w:hAnsi="宋体" w:cs="宋体"/>
          <w:bCs/>
          <w:color w:val="auto"/>
          <w:szCs w:val="21"/>
          <w:highlight w:val="none"/>
          <w:u w:val="single"/>
        </w:rPr>
        <w:t>）专职安全员须具有安全生产考核合格证（C类）或建筑施工企业专职安全生产管理人员安全生产考核合格证书（C3类）（提供扫描件或电子证书）；</w:t>
      </w:r>
    </w:p>
    <w:p>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w:t>
      </w:r>
      <w:r>
        <w:rPr>
          <w:rFonts w:ascii="宋体" w:hAnsi="宋体" w:cs="宋体"/>
          <w:bCs/>
          <w:color w:val="auto"/>
          <w:szCs w:val="21"/>
          <w:highlight w:val="none"/>
          <w:u w:val="single"/>
        </w:rPr>
        <w:t>12</w:t>
      </w:r>
      <w:r>
        <w:rPr>
          <w:rFonts w:hint="eastAsia" w:ascii="宋体" w:hAnsi="宋体" w:cs="宋体"/>
          <w:bCs/>
          <w:color w:val="auto"/>
          <w:szCs w:val="21"/>
          <w:highlight w:val="none"/>
          <w:u w:val="single"/>
        </w:rPr>
        <w:t>）资格审查前，投标人须在广州交易集团有限公司（广州公共资源交易中心）办理企业信息登记等及拟担任本工程项目负责人、专职安全员须是本企业的在册人员且与广州交易集团有限公司（广州公共资源交易中心）办理信息登记一致（提供广州交易集团有限公司（广州公共资源交易中心）信息登记的网页截图）；</w:t>
      </w:r>
    </w:p>
    <w:p>
      <w:pPr>
        <w:pStyle w:val="154"/>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w:t>
      </w:r>
      <w:r>
        <w:rPr>
          <w:rFonts w:ascii="宋体" w:hAnsi="宋体"/>
          <w:bCs/>
          <w:color w:val="auto"/>
          <w:szCs w:val="21"/>
          <w:highlight w:val="none"/>
          <w:u w:val="single"/>
        </w:rPr>
        <w:t>1</w:t>
      </w:r>
      <w:r>
        <w:rPr>
          <w:rFonts w:hint="eastAsia" w:ascii="宋体" w:hAnsi="宋体"/>
          <w:bCs/>
          <w:color w:val="auto"/>
          <w:szCs w:val="21"/>
          <w:highlight w:val="none"/>
          <w:u w:val="single"/>
        </w:rPr>
        <w:t>3）投标人认为应提供的其他资料。</w:t>
      </w:r>
    </w:p>
    <w:p>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11.2.3项目管理机构配备</w:t>
      </w:r>
    </w:p>
    <w:p>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（1）投标人应列出该项目工程的施工组织机构构成和画出机构框架图及其负责人；</w:t>
      </w:r>
    </w:p>
    <w:p>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2）投标人应详细列出该施工组织机构中主要成员（包括但不限于项目负责人、技术负责人、专职安全员、安全负责人、质量负责人、造价负责人等）的名单、简历资料、职务职称和在本项目中拟担任的职务等资料，并附上有关证明材料扫描件；</w:t>
      </w:r>
    </w:p>
    <w:p>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（3）其他辅助说明资料。</w:t>
      </w:r>
    </w:p>
    <w:p>
      <w:pPr>
        <w:spacing w:line="360" w:lineRule="auto"/>
        <w:ind w:firstLine="424" w:firstLineChars="202"/>
        <w:rPr>
          <w:rFonts w:ascii="宋体" w:hAnsi="宋体"/>
          <w:bCs/>
          <w:color w:val="auto"/>
          <w:szCs w:val="21"/>
          <w:highlight w:val="none"/>
          <w:u w:val="single"/>
        </w:rPr>
      </w:pPr>
      <w:r>
        <w:rPr>
          <w:rFonts w:hint="eastAsia" w:ascii="宋体" w:hAnsi="宋体"/>
          <w:bCs/>
          <w:color w:val="auto"/>
          <w:szCs w:val="21"/>
          <w:highlight w:val="none"/>
          <w:u w:val="single"/>
        </w:rPr>
        <w:t>11.2.</w:t>
      </w:r>
      <w:r>
        <w:rPr>
          <w:rFonts w:ascii="宋体" w:hAnsi="宋体"/>
          <w:bCs/>
          <w:color w:val="auto"/>
          <w:szCs w:val="21"/>
          <w:highlight w:val="none"/>
          <w:u w:val="single"/>
        </w:rPr>
        <w:t>4</w:t>
      </w:r>
      <w:r>
        <w:rPr>
          <w:rFonts w:hint="eastAsia" w:ascii="宋体" w:hAnsi="宋体"/>
          <w:bCs/>
          <w:color w:val="auto"/>
          <w:szCs w:val="21"/>
          <w:highlight w:val="none"/>
          <w:u w:val="single"/>
        </w:rPr>
        <w:t>《投标函》（</w:t>
      </w:r>
      <w:r>
        <w:rPr>
          <w:rFonts w:hint="eastAsia" w:ascii="宋体" w:hAnsi="宋体"/>
          <w:color w:val="auto"/>
          <w:szCs w:val="21"/>
          <w:highlight w:val="none"/>
          <w:u w:val="single"/>
        </w:rPr>
        <w:t>按本招标文件第四章投标文件格式的“一、技术标投标文件（含资格审查文件）”格式二）</w:t>
      </w:r>
      <w:r>
        <w:rPr>
          <w:rFonts w:hint="eastAsia" w:ascii="宋体" w:hAnsi="宋体"/>
          <w:bCs/>
          <w:color w:val="auto"/>
          <w:szCs w:val="21"/>
          <w:highlight w:val="none"/>
          <w:u w:val="single"/>
        </w:rPr>
        <w:t>。</w:t>
      </w:r>
    </w:p>
    <w:p>
      <w:pPr>
        <w:spacing w:line="360" w:lineRule="auto"/>
        <w:ind w:firstLine="424" w:firstLineChars="202"/>
        <w:rPr>
          <w:rFonts w:ascii="宋体" w:hAnsi="宋体"/>
          <w:bCs/>
          <w:color w:val="auto"/>
          <w:szCs w:val="21"/>
          <w:highlight w:val="none"/>
          <w:u w:val="single"/>
        </w:rPr>
      </w:pPr>
      <w:r>
        <w:rPr>
          <w:rFonts w:hint="eastAsia" w:ascii="宋体" w:hAnsi="宋体"/>
          <w:bCs/>
          <w:color w:val="auto"/>
          <w:szCs w:val="21"/>
          <w:highlight w:val="none"/>
          <w:u w:val="single"/>
        </w:rPr>
        <w:t>11.2.</w:t>
      </w:r>
      <w:r>
        <w:rPr>
          <w:rFonts w:ascii="宋体" w:hAnsi="宋体"/>
          <w:bCs/>
          <w:color w:val="auto"/>
          <w:szCs w:val="21"/>
          <w:highlight w:val="none"/>
          <w:u w:val="single"/>
        </w:rPr>
        <w:t>5</w:t>
      </w:r>
      <w:r>
        <w:rPr>
          <w:rFonts w:hint="eastAsia" w:ascii="宋体" w:hAnsi="宋体"/>
          <w:bCs/>
          <w:color w:val="auto"/>
          <w:szCs w:val="21"/>
          <w:highlight w:val="none"/>
          <w:u w:val="single"/>
        </w:rPr>
        <w:t>《类似工程业绩表》（投标人按评审要求提供，格式自拟）。</w:t>
      </w:r>
    </w:p>
    <w:p>
      <w:pPr>
        <w:spacing w:line="360" w:lineRule="auto"/>
        <w:ind w:firstLine="424" w:firstLineChars="202"/>
        <w:rPr>
          <w:rFonts w:ascii="宋体" w:hAnsi="宋体"/>
          <w:bCs/>
          <w:color w:val="auto"/>
          <w:szCs w:val="21"/>
          <w:highlight w:val="none"/>
          <w:u w:val="single"/>
        </w:rPr>
      </w:pPr>
      <w:r>
        <w:rPr>
          <w:rFonts w:hint="eastAsia" w:ascii="宋体" w:hAnsi="宋体"/>
          <w:bCs/>
          <w:color w:val="auto"/>
          <w:szCs w:val="21"/>
          <w:highlight w:val="none"/>
          <w:u w:val="single"/>
        </w:rPr>
        <w:t>11.2.</w:t>
      </w:r>
      <w:r>
        <w:rPr>
          <w:rFonts w:ascii="宋体" w:hAnsi="宋体"/>
          <w:bCs/>
          <w:color w:val="auto"/>
          <w:szCs w:val="21"/>
          <w:highlight w:val="none"/>
          <w:u w:val="single"/>
        </w:rPr>
        <w:t>6</w:t>
      </w:r>
      <w:r>
        <w:rPr>
          <w:rFonts w:hint="eastAsia" w:ascii="宋体" w:hAnsi="宋体"/>
          <w:bCs/>
          <w:color w:val="auto"/>
          <w:szCs w:val="21"/>
          <w:highlight w:val="none"/>
          <w:u w:val="single"/>
        </w:rPr>
        <w:t>《承诺书》（</w:t>
      </w:r>
      <w:r>
        <w:rPr>
          <w:rFonts w:hint="eastAsia" w:ascii="宋体" w:hAnsi="宋体"/>
          <w:color w:val="auto"/>
          <w:szCs w:val="21"/>
          <w:highlight w:val="none"/>
          <w:u w:val="single"/>
        </w:rPr>
        <w:t>按本招标文件第四章投标文件格式的“一、技术标投标文件（含资格审查文件）”格式</w:t>
      </w:r>
      <w:r>
        <w:rPr>
          <w:rFonts w:hint="eastAsia" w:ascii="宋体" w:hAnsi="宋体"/>
          <w:bCs/>
          <w:color w:val="auto"/>
          <w:szCs w:val="21"/>
          <w:highlight w:val="none"/>
          <w:u w:val="single"/>
        </w:rPr>
        <w:t>四）。</w:t>
      </w:r>
    </w:p>
    <w:p>
      <w:pPr>
        <w:spacing w:line="360" w:lineRule="auto"/>
        <w:ind w:firstLine="424" w:firstLineChars="202"/>
        <w:rPr>
          <w:rFonts w:ascii="宋体" w:hAnsi="宋体"/>
          <w:bCs/>
          <w:color w:val="auto"/>
          <w:szCs w:val="21"/>
          <w:highlight w:val="none"/>
          <w:u w:val="single"/>
        </w:rPr>
      </w:pPr>
      <w:r>
        <w:rPr>
          <w:rFonts w:hint="eastAsia" w:ascii="宋体" w:hAnsi="宋体"/>
          <w:bCs/>
          <w:color w:val="auto"/>
          <w:szCs w:val="21"/>
          <w:highlight w:val="none"/>
          <w:u w:val="single"/>
        </w:rPr>
        <w:t>11.2.</w:t>
      </w:r>
      <w:r>
        <w:rPr>
          <w:rFonts w:ascii="宋体" w:hAnsi="宋体"/>
          <w:bCs/>
          <w:color w:val="auto"/>
          <w:szCs w:val="21"/>
          <w:highlight w:val="none"/>
          <w:u w:val="single"/>
        </w:rPr>
        <w:t>7</w:t>
      </w:r>
      <w:r>
        <w:rPr>
          <w:rFonts w:hint="eastAsia" w:ascii="宋体" w:hAnsi="宋体"/>
          <w:bCs/>
          <w:color w:val="auto"/>
          <w:szCs w:val="21"/>
          <w:highlight w:val="none"/>
          <w:u w:val="single"/>
        </w:rPr>
        <w:t>《工期响应承诺书》（</w:t>
      </w:r>
      <w:r>
        <w:rPr>
          <w:rFonts w:hint="eastAsia" w:ascii="宋体" w:hAnsi="宋体"/>
          <w:color w:val="auto"/>
          <w:szCs w:val="21"/>
          <w:highlight w:val="none"/>
          <w:u w:val="single"/>
        </w:rPr>
        <w:t>按本招标文件第四章投标文件格式的“一、技术标投标文件（含资格审查文件）”格式</w:t>
      </w:r>
      <w:r>
        <w:rPr>
          <w:rFonts w:hint="eastAsia" w:ascii="宋体" w:hAnsi="宋体"/>
          <w:bCs/>
          <w:color w:val="auto"/>
          <w:szCs w:val="21"/>
          <w:highlight w:val="none"/>
          <w:u w:val="single"/>
        </w:rPr>
        <w:t>五）。</w:t>
      </w:r>
    </w:p>
    <w:p>
      <w:pPr>
        <w:spacing w:line="360" w:lineRule="auto"/>
        <w:ind w:firstLine="424" w:firstLineChars="202"/>
        <w:rPr>
          <w:rFonts w:ascii="宋体" w:hAnsi="宋体"/>
          <w:bCs/>
          <w:color w:val="auto"/>
          <w:szCs w:val="21"/>
          <w:highlight w:val="none"/>
          <w:u w:val="single"/>
        </w:rPr>
      </w:pPr>
      <w:r>
        <w:rPr>
          <w:rFonts w:hint="eastAsia" w:ascii="宋体" w:hAnsi="宋体"/>
          <w:bCs/>
          <w:color w:val="auto"/>
          <w:szCs w:val="21"/>
          <w:highlight w:val="none"/>
          <w:u w:val="single"/>
        </w:rPr>
        <w:t>11.2.</w:t>
      </w:r>
      <w:r>
        <w:rPr>
          <w:rFonts w:ascii="宋体" w:hAnsi="宋体"/>
          <w:bCs/>
          <w:color w:val="auto"/>
          <w:szCs w:val="21"/>
          <w:highlight w:val="none"/>
          <w:u w:val="single"/>
        </w:rPr>
        <w:t>8</w:t>
      </w:r>
      <w:r>
        <w:rPr>
          <w:rFonts w:hint="eastAsia" w:ascii="宋体" w:hAnsi="宋体"/>
          <w:bCs/>
          <w:color w:val="auto"/>
          <w:szCs w:val="21"/>
          <w:highlight w:val="none"/>
          <w:u w:val="single"/>
        </w:rPr>
        <w:t>《合同响应承诺书》（</w:t>
      </w:r>
      <w:r>
        <w:rPr>
          <w:rFonts w:hint="eastAsia" w:ascii="宋体" w:hAnsi="宋体"/>
          <w:color w:val="auto"/>
          <w:szCs w:val="21"/>
          <w:highlight w:val="none"/>
          <w:u w:val="single"/>
        </w:rPr>
        <w:t>按本招标文件第四章投标文件格式的“一、技术标投标文件（含资格审查文件）”格式</w:t>
      </w:r>
      <w:r>
        <w:rPr>
          <w:rFonts w:hint="eastAsia" w:ascii="宋体" w:hAnsi="宋体"/>
          <w:bCs/>
          <w:color w:val="auto"/>
          <w:szCs w:val="21"/>
          <w:highlight w:val="none"/>
          <w:u w:val="single"/>
        </w:rPr>
        <w:t>六）。</w:t>
      </w:r>
    </w:p>
    <w:p>
      <w:pPr>
        <w:spacing w:line="360" w:lineRule="auto"/>
        <w:ind w:firstLine="424" w:firstLineChars="202"/>
        <w:rPr>
          <w:rFonts w:ascii="宋体" w:hAnsi="宋体"/>
          <w:bCs/>
          <w:color w:val="auto"/>
          <w:szCs w:val="21"/>
          <w:highlight w:val="none"/>
          <w:u w:val="single"/>
        </w:rPr>
      </w:pPr>
      <w:r>
        <w:rPr>
          <w:rFonts w:hint="eastAsia" w:ascii="宋体" w:hAnsi="宋体"/>
          <w:bCs/>
          <w:color w:val="auto"/>
          <w:szCs w:val="21"/>
          <w:highlight w:val="none"/>
          <w:u w:val="single"/>
        </w:rPr>
        <w:t>11.2</w:t>
      </w:r>
      <w:r>
        <w:rPr>
          <w:rFonts w:ascii="宋体" w:hAnsi="宋体"/>
          <w:bCs/>
          <w:color w:val="auto"/>
          <w:szCs w:val="21"/>
          <w:highlight w:val="none"/>
          <w:u w:val="single"/>
        </w:rPr>
        <w:t>.9</w:t>
      </w:r>
      <w:r>
        <w:rPr>
          <w:rFonts w:hint="eastAsia" w:ascii="宋体" w:hAnsi="宋体"/>
          <w:bCs/>
          <w:color w:val="auto"/>
          <w:szCs w:val="21"/>
          <w:highlight w:val="none"/>
          <w:u w:val="single"/>
        </w:rPr>
        <w:t>《危险性较大的分部分项工程清单及超过一定规模的危险性较大的分部分项工程清单》</w:t>
      </w:r>
      <w:bookmarkStart w:id="10" w:name="_Hlk124861038"/>
      <w:r>
        <w:rPr>
          <w:rFonts w:hint="eastAsia" w:ascii="宋体" w:hAnsi="宋体"/>
          <w:bCs/>
          <w:color w:val="auto"/>
          <w:szCs w:val="21"/>
          <w:highlight w:val="none"/>
          <w:u w:val="single"/>
        </w:rPr>
        <w:t>（</w:t>
      </w:r>
      <w:r>
        <w:rPr>
          <w:rFonts w:hint="eastAsia" w:ascii="宋体" w:hAnsi="宋体"/>
          <w:color w:val="auto"/>
          <w:szCs w:val="21"/>
          <w:highlight w:val="none"/>
          <w:u w:val="single"/>
        </w:rPr>
        <w:t>按本招标文件第四章投标文件格式的“一、技术标投标文件（含资格审查文件）”</w:t>
      </w:r>
      <w:r>
        <w:rPr>
          <w:rFonts w:hint="eastAsia" w:ascii="宋体" w:hAnsi="宋体"/>
          <w:bCs/>
          <w:color w:val="auto"/>
          <w:szCs w:val="21"/>
          <w:highlight w:val="none"/>
          <w:u w:val="single"/>
        </w:rPr>
        <w:t>格式七）。</w:t>
      </w:r>
      <w:bookmarkEnd w:id="10"/>
    </w:p>
    <w:p>
      <w:pPr>
        <w:pStyle w:val="21"/>
        <w:spacing w:line="360" w:lineRule="auto"/>
        <w:ind w:firstLine="525" w:firstLineChars="250"/>
        <w:rPr>
          <w:rFonts w:hAnsi="宋体"/>
          <w:bCs/>
          <w:color w:val="auto"/>
          <w:szCs w:val="21"/>
          <w:highlight w:val="none"/>
          <w:u w:val="single"/>
        </w:rPr>
      </w:pPr>
      <w:r>
        <w:rPr>
          <w:rFonts w:hint="eastAsia" w:hAnsi="宋体"/>
          <w:bCs/>
          <w:color w:val="auto"/>
          <w:szCs w:val="21"/>
          <w:highlight w:val="none"/>
          <w:u w:val="single"/>
        </w:rPr>
        <w:t>1</w:t>
      </w:r>
      <w:r>
        <w:rPr>
          <w:rFonts w:hAnsi="宋体"/>
          <w:bCs/>
          <w:color w:val="auto"/>
          <w:szCs w:val="21"/>
          <w:highlight w:val="none"/>
          <w:u w:val="single"/>
        </w:rPr>
        <w:t>1.2.10</w:t>
      </w:r>
      <w:r>
        <w:rPr>
          <w:rFonts w:hint="eastAsia" w:hAnsi="宋体"/>
          <w:bCs/>
          <w:color w:val="auto"/>
          <w:szCs w:val="21"/>
          <w:highlight w:val="none"/>
          <w:u w:val="single"/>
        </w:rPr>
        <w:t>《响应招标文件所附施工组织设计要点承诺书》（</w:t>
      </w:r>
      <w:r>
        <w:rPr>
          <w:rFonts w:hint="eastAsia" w:hAnsi="宋体"/>
          <w:color w:val="auto"/>
          <w:szCs w:val="21"/>
          <w:highlight w:val="none"/>
          <w:u w:val="single"/>
        </w:rPr>
        <w:t>按本招标文件第四章投标文件格式的“一、技术标投标文件（含资格审查文件）”</w:t>
      </w:r>
      <w:r>
        <w:rPr>
          <w:rFonts w:hint="eastAsia" w:hAnsi="宋体"/>
          <w:bCs/>
          <w:color w:val="auto"/>
          <w:szCs w:val="21"/>
          <w:highlight w:val="none"/>
          <w:u w:val="single"/>
        </w:rPr>
        <w:t>格式八）。</w:t>
      </w:r>
    </w:p>
    <w:p>
      <w:pPr>
        <w:pStyle w:val="21"/>
        <w:spacing w:line="360" w:lineRule="auto"/>
        <w:ind w:firstLine="525" w:firstLineChars="250"/>
        <w:rPr>
          <w:rFonts w:hAnsi="宋体"/>
          <w:bCs/>
          <w:color w:val="auto"/>
          <w:szCs w:val="21"/>
          <w:highlight w:val="none"/>
          <w:u w:val="single"/>
        </w:rPr>
      </w:pPr>
      <w:r>
        <w:rPr>
          <w:rFonts w:hint="eastAsia" w:hAnsi="宋体"/>
          <w:bCs/>
          <w:color w:val="auto"/>
          <w:szCs w:val="21"/>
          <w:highlight w:val="none"/>
          <w:u w:val="single"/>
        </w:rPr>
        <w:t>1</w:t>
      </w:r>
      <w:r>
        <w:rPr>
          <w:rFonts w:hAnsi="宋体"/>
          <w:bCs/>
          <w:color w:val="auto"/>
          <w:szCs w:val="21"/>
          <w:highlight w:val="none"/>
          <w:u w:val="single"/>
        </w:rPr>
        <w:t>1.2.11</w:t>
      </w:r>
      <w:r>
        <w:rPr>
          <w:rFonts w:hint="eastAsia" w:hAnsi="宋体"/>
          <w:bCs/>
          <w:color w:val="auto"/>
          <w:szCs w:val="21"/>
          <w:highlight w:val="none"/>
          <w:u w:val="single"/>
        </w:rPr>
        <w:t>《参与编制技术标投标文件（含资格审查文件）人员名单》（</w:t>
      </w:r>
      <w:r>
        <w:rPr>
          <w:rFonts w:hint="eastAsia" w:hAnsi="宋体"/>
          <w:color w:val="auto"/>
          <w:szCs w:val="21"/>
          <w:highlight w:val="none"/>
          <w:u w:val="single"/>
        </w:rPr>
        <w:t>按本招标文件第四章投标文件格式的“一、技术标投标文件（含资格审查文件）”</w:t>
      </w:r>
      <w:r>
        <w:rPr>
          <w:rFonts w:hint="eastAsia" w:hAnsi="宋体"/>
          <w:bCs/>
          <w:color w:val="auto"/>
          <w:szCs w:val="21"/>
          <w:highlight w:val="none"/>
          <w:u w:val="single"/>
        </w:rPr>
        <w:t>格式十）。</w:t>
      </w:r>
    </w:p>
    <w:p>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bCs/>
          <w:color w:val="auto"/>
          <w:szCs w:val="21"/>
          <w:highlight w:val="none"/>
          <w:u w:val="single"/>
        </w:rPr>
        <w:t>11.2.</w:t>
      </w:r>
      <w:r>
        <w:rPr>
          <w:rFonts w:ascii="宋体" w:hAnsi="宋体"/>
          <w:bCs/>
          <w:color w:val="auto"/>
          <w:szCs w:val="21"/>
          <w:highlight w:val="none"/>
          <w:u w:val="single"/>
        </w:rPr>
        <w:t>12</w:t>
      </w:r>
      <w:r>
        <w:rPr>
          <w:rFonts w:hint="eastAsia" w:ascii="宋体" w:hAnsi="宋体"/>
          <w:bCs/>
          <w:color w:val="auto"/>
          <w:szCs w:val="21"/>
          <w:highlight w:val="none"/>
          <w:u w:val="single"/>
        </w:rPr>
        <w:t>投标人认为应该提供的其他技术标资料（应包括但不限于满足本项目评审要求的相关证明材料）。</w:t>
      </w:r>
    </w:p>
    <w:p>
      <w:pPr>
        <w:spacing w:line="360" w:lineRule="auto"/>
        <w:ind w:firstLine="420" w:firstLineChars="200"/>
        <w:rPr>
          <w:b/>
          <w:color w:val="auto"/>
          <w:szCs w:val="21"/>
          <w:highlight w:val="none"/>
        </w:rPr>
      </w:pPr>
      <w:r>
        <w:rPr>
          <w:rFonts w:hint="eastAsia"/>
          <w:b/>
          <w:color w:val="auto"/>
          <w:szCs w:val="21"/>
          <w:highlight w:val="none"/>
        </w:rPr>
        <w:t>条款号：</w:t>
      </w:r>
      <w:r>
        <w:rPr>
          <w:b/>
          <w:color w:val="auto"/>
          <w:szCs w:val="21"/>
          <w:highlight w:val="none"/>
        </w:rPr>
        <w:t xml:space="preserve">11.3                 </w:t>
      </w:r>
      <w:r>
        <w:rPr>
          <w:rFonts w:hint="eastAsia"/>
          <w:b/>
          <w:color w:val="auto"/>
          <w:szCs w:val="21"/>
          <w:highlight w:val="none"/>
        </w:rPr>
        <w:t>修改类型：修改</w:t>
      </w:r>
    </w:p>
    <w:p>
      <w:pPr>
        <w:spacing w:line="360" w:lineRule="auto"/>
        <w:ind w:firstLine="420" w:firstLineChars="200"/>
        <w:rPr>
          <w:color w:val="auto"/>
          <w:szCs w:val="21"/>
          <w:highlight w:val="none"/>
        </w:rPr>
      </w:pPr>
      <w:r>
        <w:rPr>
          <w:rFonts w:hint="eastAsia"/>
          <w:b/>
          <w:color w:val="auto"/>
          <w:szCs w:val="21"/>
          <w:highlight w:val="none"/>
        </w:rPr>
        <w:t>原文：</w:t>
      </w:r>
      <w:r>
        <w:rPr>
          <w:color w:val="auto"/>
          <w:szCs w:val="21"/>
          <w:highlight w:val="none"/>
        </w:rPr>
        <w:t xml:space="preserve">11.3 </w:t>
      </w:r>
      <w:r>
        <w:rPr>
          <w:rFonts w:hint="eastAsia"/>
          <w:color w:val="auto"/>
          <w:szCs w:val="21"/>
          <w:highlight w:val="none"/>
        </w:rPr>
        <w:t>经济部分投标文件主要包括下列内容：</w:t>
      </w:r>
    </w:p>
    <w:p>
      <w:pPr>
        <w:spacing w:line="360" w:lineRule="auto"/>
        <w:ind w:firstLine="420" w:firstLineChars="200"/>
        <w:rPr>
          <w:color w:val="auto"/>
          <w:szCs w:val="21"/>
          <w:highlight w:val="none"/>
        </w:rPr>
      </w:pPr>
      <w:r>
        <w:rPr>
          <w:color w:val="auto"/>
          <w:szCs w:val="21"/>
          <w:highlight w:val="none"/>
        </w:rPr>
        <w:t xml:space="preserve">11.3.1 </w:t>
      </w:r>
      <w:r>
        <w:rPr>
          <w:rFonts w:hint="eastAsia"/>
          <w:color w:val="auto"/>
          <w:szCs w:val="21"/>
          <w:highlight w:val="none"/>
        </w:rPr>
        <w:t>经济投标文件</w:t>
      </w:r>
      <w:r>
        <w:rPr>
          <w:color w:val="auto"/>
          <w:szCs w:val="21"/>
          <w:highlight w:val="none"/>
        </w:rPr>
        <w:t>(</w:t>
      </w:r>
      <w:r>
        <w:rPr>
          <w:rFonts w:hint="eastAsia"/>
          <w:color w:val="auto"/>
          <w:szCs w:val="21"/>
          <w:highlight w:val="none"/>
        </w:rPr>
        <w:t>按招标文件的要求填写</w:t>
      </w:r>
      <w:r>
        <w:rPr>
          <w:color w:val="auto"/>
          <w:szCs w:val="21"/>
          <w:highlight w:val="none"/>
        </w:rPr>
        <w:t>)</w:t>
      </w:r>
      <w:r>
        <w:rPr>
          <w:rFonts w:hint="eastAsia"/>
          <w:color w:val="auto"/>
          <w:szCs w:val="21"/>
          <w:highlight w:val="none"/>
        </w:rPr>
        <w:t>。</w:t>
      </w:r>
    </w:p>
    <w:p>
      <w:pPr>
        <w:spacing w:line="360" w:lineRule="auto"/>
        <w:ind w:firstLine="420" w:firstLineChars="200"/>
        <w:rPr>
          <w:color w:val="auto"/>
          <w:szCs w:val="21"/>
          <w:highlight w:val="none"/>
        </w:rPr>
      </w:pPr>
      <w:r>
        <w:rPr>
          <w:color w:val="auto"/>
          <w:szCs w:val="21"/>
          <w:highlight w:val="none"/>
        </w:rPr>
        <w:t>11.3.2</w:t>
      </w:r>
      <w:r>
        <w:rPr>
          <w:rFonts w:hint="eastAsia"/>
          <w:color w:val="auto"/>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）投标总价封面、扉页；</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）总说明</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）工程项目投标报价汇总表；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）单项工程投标报价汇总表；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）单位工程投标报价汇总表；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）分部分项工程清单与计价表；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）单价措施项目清单与计价表；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）总价措施项目清单与计价表；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）综合单价分析表；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）其他项目清单与计价汇总表；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11</w:t>
      </w:r>
      <w:r>
        <w:rPr>
          <w:rFonts w:hint="eastAsia"/>
          <w:color w:val="auto"/>
          <w:szCs w:val="21"/>
          <w:highlight w:val="none"/>
        </w:rPr>
        <w:t>）暂列金额明细表；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12</w:t>
      </w:r>
      <w:r>
        <w:rPr>
          <w:rFonts w:hint="eastAsia"/>
          <w:color w:val="auto"/>
          <w:szCs w:val="21"/>
          <w:highlight w:val="none"/>
        </w:rPr>
        <w:t>）材料（工程设备）暂估价明细表；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13</w:t>
      </w:r>
      <w:r>
        <w:rPr>
          <w:rFonts w:hint="eastAsia"/>
          <w:color w:val="auto"/>
          <w:szCs w:val="21"/>
          <w:highlight w:val="none"/>
        </w:rPr>
        <w:t>）专业工程暂估价明细表；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14</w:t>
      </w:r>
      <w:r>
        <w:rPr>
          <w:rFonts w:hint="eastAsia"/>
          <w:color w:val="auto"/>
          <w:szCs w:val="21"/>
          <w:highlight w:val="none"/>
        </w:rPr>
        <w:t>）计日工表；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15</w:t>
      </w:r>
      <w:r>
        <w:rPr>
          <w:rFonts w:hint="eastAsia"/>
          <w:color w:val="auto"/>
          <w:szCs w:val="21"/>
          <w:highlight w:val="none"/>
        </w:rPr>
        <w:t>）总承包服务计价表；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16</w:t>
      </w:r>
      <w:r>
        <w:rPr>
          <w:rFonts w:hint="eastAsia"/>
          <w:color w:val="auto"/>
          <w:szCs w:val="21"/>
          <w:highlight w:val="none"/>
        </w:rPr>
        <w:t>）规费和税金项目计价表；</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17</w:t>
      </w:r>
      <w:r>
        <w:rPr>
          <w:rFonts w:hint="eastAsia"/>
          <w:color w:val="auto"/>
          <w:szCs w:val="21"/>
          <w:highlight w:val="none"/>
        </w:rPr>
        <w:t>）人工、主要材料和设备一览表</w:t>
      </w:r>
    </w:p>
    <w:p>
      <w:pPr>
        <w:spacing w:line="360" w:lineRule="auto"/>
        <w:ind w:firstLine="420" w:firstLineChars="200"/>
        <w:rPr>
          <w:color w:val="auto"/>
          <w:szCs w:val="21"/>
          <w:highlight w:val="none"/>
        </w:rPr>
      </w:pPr>
      <w:r>
        <w:rPr>
          <w:color w:val="auto"/>
          <w:szCs w:val="21"/>
          <w:highlight w:val="none"/>
        </w:rPr>
        <w:t>11.3.3</w:t>
      </w:r>
      <w:r>
        <w:rPr>
          <w:rFonts w:hint="eastAsia"/>
          <w:color w:val="auto"/>
          <w:szCs w:val="21"/>
          <w:highlight w:val="none"/>
        </w:rPr>
        <w:t>按照招标文件要求填写的《参与编制经济标投标文件人员名单》。</w:t>
      </w:r>
    </w:p>
    <w:p>
      <w:pPr>
        <w:spacing w:line="360" w:lineRule="auto"/>
        <w:ind w:firstLine="420" w:firstLineChars="200"/>
        <w:rPr>
          <w:color w:val="auto"/>
          <w:szCs w:val="21"/>
          <w:highlight w:val="none"/>
        </w:rPr>
      </w:pPr>
      <w:r>
        <w:rPr>
          <w:color w:val="auto"/>
          <w:szCs w:val="21"/>
          <w:highlight w:val="none"/>
        </w:rPr>
        <w:t>11.3.4</w:t>
      </w:r>
      <w:r>
        <w:rPr>
          <w:rFonts w:hint="eastAsia"/>
          <w:color w:val="auto"/>
          <w:szCs w:val="21"/>
          <w:highlight w:val="none"/>
        </w:rPr>
        <w:t>若投标人的投标报价低于工程成本警戒价的，投标人还须提供详细的施工组织设计、单价、措施性费用、单价分析表、主要材料价格表、投标人成本分析供评标委员会评审。</w:t>
      </w:r>
    </w:p>
    <w:p>
      <w:pPr>
        <w:spacing w:line="360" w:lineRule="auto"/>
        <w:ind w:firstLine="420" w:firstLineChars="200"/>
        <w:rPr>
          <w:rFonts w:ascii="宋体" w:cs="宋体"/>
          <w:color w:val="auto"/>
          <w:szCs w:val="21"/>
          <w:highlight w:val="none"/>
        </w:rPr>
      </w:pPr>
      <w:r>
        <w:rPr>
          <w:rFonts w:hint="eastAsia"/>
          <w:b/>
          <w:color w:val="auto"/>
          <w:szCs w:val="21"/>
          <w:highlight w:val="none"/>
        </w:rPr>
        <w:t>现文：</w:t>
      </w:r>
      <w:r>
        <w:rPr>
          <w:rFonts w:ascii="宋体" w:hAnsi="宋体" w:cs="宋体"/>
          <w:color w:val="auto"/>
          <w:szCs w:val="21"/>
          <w:highlight w:val="none"/>
          <w:u w:val="single"/>
        </w:rPr>
        <w:t xml:space="preserve">11.3 </w:t>
      </w:r>
      <w:r>
        <w:rPr>
          <w:rFonts w:hint="eastAsia" w:ascii="宋体" w:hAnsi="宋体" w:cs="宋体"/>
          <w:color w:val="auto"/>
          <w:szCs w:val="21"/>
          <w:highlight w:val="none"/>
          <w:u w:val="single"/>
        </w:rPr>
        <w:t>经济标投标文件主要包括下列内容：</w:t>
      </w:r>
    </w:p>
    <w:p>
      <w:pPr>
        <w:pBdr>
          <w:bottom w:val="single" w:color="auto" w:sz="4" w:space="1"/>
        </w:pBdr>
        <w:spacing w:line="360" w:lineRule="auto"/>
        <w:ind w:firstLine="420" w:firstLineChars="200"/>
        <w:rPr>
          <w:color w:val="auto"/>
          <w:szCs w:val="21"/>
          <w:highlight w:val="none"/>
          <w:u w:val="single"/>
        </w:rPr>
      </w:pPr>
      <w:r>
        <w:rPr>
          <w:rFonts w:ascii="宋体" w:hAnsi="宋体" w:cs="宋体"/>
          <w:color w:val="auto"/>
          <w:szCs w:val="21"/>
          <w:highlight w:val="none"/>
          <w:u w:val="single"/>
        </w:rPr>
        <w:t>11.3.1</w:t>
      </w:r>
      <w:r>
        <w:rPr>
          <w:color w:val="auto"/>
          <w:szCs w:val="21"/>
          <w:highlight w:val="none"/>
          <w:u w:val="single"/>
        </w:rPr>
        <w:t xml:space="preserve"> </w:t>
      </w:r>
      <w:bookmarkStart w:id="11" w:name="_Hlk60754295"/>
      <w:r>
        <w:rPr>
          <w:rFonts w:hint="eastAsia"/>
          <w:color w:val="auto"/>
          <w:szCs w:val="21"/>
          <w:highlight w:val="none"/>
          <w:u w:val="single"/>
        </w:rPr>
        <w:t>经济标投标文件封面</w:t>
      </w:r>
      <w:bookmarkEnd w:id="11"/>
      <w:r>
        <w:rPr>
          <w:color w:val="auto"/>
          <w:szCs w:val="21"/>
          <w:highlight w:val="none"/>
          <w:u w:val="single"/>
        </w:rPr>
        <w:t>(</w:t>
      </w:r>
      <w:r>
        <w:rPr>
          <w:rFonts w:hint="eastAsia"/>
          <w:color w:val="auto"/>
          <w:szCs w:val="21"/>
          <w:highlight w:val="none"/>
          <w:u w:val="single"/>
        </w:rPr>
        <w:t>格式按招标文件要求</w:t>
      </w:r>
      <w:r>
        <w:rPr>
          <w:rFonts w:hint="eastAsia" w:ascii="宋体" w:hAnsi="宋体" w:cs="宋体"/>
          <w:color w:val="auto"/>
          <w:szCs w:val="21"/>
          <w:highlight w:val="none"/>
          <w:u w:val="single"/>
        </w:rPr>
        <w:t>，编制目录</w:t>
      </w:r>
      <w:r>
        <w:rPr>
          <w:rFonts w:hint="eastAsia"/>
          <w:color w:val="auto"/>
          <w:szCs w:val="21"/>
          <w:highlight w:val="none"/>
          <w:u w:val="single"/>
        </w:rPr>
        <w:t>。</w:t>
      </w:r>
    </w:p>
    <w:p>
      <w:pPr>
        <w:pBdr>
          <w:bottom w:val="single" w:color="auto" w:sz="4" w:space="1"/>
        </w:pBdr>
        <w:spacing w:line="360" w:lineRule="auto"/>
        <w:ind w:firstLine="420" w:firstLineChars="200"/>
        <w:rPr>
          <w:color w:val="auto"/>
          <w:szCs w:val="21"/>
          <w:highlight w:val="none"/>
          <w:u w:val="single"/>
        </w:rPr>
      </w:pPr>
      <w:r>
        <w:rPr>
          <w:rFonts w:ascii="宋体" w:hAnsi="宋体" w:cs="宋体"/>
          <w:color w:val="auto"/>
          <w:szCs w:val="21"/>
          <w:highlight w:val="none"/>
        </w:rPr>
        <w:t>11.3.2</w:t>
      </w:r>
      <w:r>
        <w:rPr>
          <w:rFonts w:hint="eastAsia" w:ascii="宋体" w:hAnsi="宋体" w:cs="宋体"/>
          <w:color w:val="auto"/>
          <w:szCs w:val="21"/>
          <w:highlight w:val="none"/>
        </w:rPr>
        <w:t>投标总价。投标人必须按招标工程量清单填报价格，工程量清单的组成、格式、项目编</w:t>
      </w:r>
      <w:r>
        <w:rPr>
          <w:rFonts w:hint="eastAsia"/>
          <w:color w:val="auto"/>
          <w:szCs w:val="21"/>
          <w:highlight w:val="none"/>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color w:val="auto"/>
          <w:szCs w:val="21"/>
          <w:highlight w:val="none"/>
          <w:u w:val="single"/>
        </w:rPr>
        <w:t>（具体内容详见第七章工程量清单）</w:t>
      </w:r>
    </w:p>
    <w:p>
      <w:pPr>
        <w:pBdr>
          <w:bottom w:val="single" w:color="auto" w:sz="4" w:space="1"/>
        </w:pBdr>
        <w:spacing w:line="360" w:lineRule="auto"/>
        <w:ind w:firstLine="420" w:firstLineChars="200"/>
        <w:rPr>
          <w:color w:val="auto"/>
          <w:szCs w:val="21"/>
          <w:highlight w:val="none"/>
        </w:rPr>
      </w:pPr>
      <w:r>
        <w:rPr>
          <w:rFonts w:ascii="宋体" w:hAnsi="宋体" w:cs="宋体"/>
          <w:color w:val="auto"/>
          <w:szCs w:val="21"/>
          <w:highlight w:val="none"/>
        </w:rPr>
        <w:t>11.3.3</w:t>
      </w:r>
      <w:r>
        <w:rPr>
          <w:rFonts w:hint="eastAsia"/>
          <w:color w:val="auto"/>
          <w:szCs w:val="21"/>
          <w:highlight w:val="none"/>
        </w:rPr>
        <w:t>按照招标文件要求填写的《参与编制经济标投标文件人员名单》。</w:t>
      </w:r>
    </w:p>
    <w:p>
      <w:pPr>
        <w:pBdr>
          <w:bottom w:val="single" w:color="auto" w:sz="4" w:space="1"/>
        </w:pBdr>
        <w:spacing w:line="360" w:lineRule="auto"/>
        <w:ind w:firstLine="420" w:firstLineChars="200"/>
        <w:rPr>
          <w:rFonts w:ascii="宋体" w:cs="宋体"/>
          <w:bCs/>
          <w:color w:val="auto"/>
          <w:szCs w:val="21"/>
          <w:highlight w:val="none"/>
          <w:u w:val="single"/>
        </w:rPr>
      </w:pPr>
      <w:r>
        <w:rPr>
          <w:rFonts w:ascii="宋体" w:hAnsi="宋体" w:cs="宋体"/>
          <w:color w:val="auto"/>
          <w:szCs w:val="21"/>
          <w:highlight w:val="none"/>
          <w:u w:val="single"/>
        </w:rPr>
        <w:t xml:space="preserve">11.3.4 </w:t>
      </w:r>
      <w:r>
        <w:rPr>
          <w:rFonts w:hint="eastAsia" w:ascii="宋体" w:hAnsi="宋体" w:cs="宋体"/>
          <w:color w:val="auto"/>
          <w:szCs w:val="21"/>
          <w:highlight w:val="none"/>
          <w:u w:val="single"/>
        </w:rPr>
        <w:t>对投标文件编制的承诺</w:t>
      </w:r>
      <w:r>
        <w:rPr>
          <w:rFonts w:ascii="宋体" w:hAnsi="宋体" w:cs="宋体"/>
          <w:bCs/>
          <w:color w:val="auto"/>
          <w:szCs w:val="21"/>
          <w:highlight w:val="none"/>
          <w:u w:val="single"/>
        </w:rPr>
        <w:t>(</w:t>
      </w:r>
      <w:r>
        <w:rPr>
          <w:rFonts w:hint="eastAsia" w:ascii="宋体" w:hAnsi="宋体" w:cs="宋体"/>
          <w:bCs/>
          <w:color w:val="auto"/>
          <w:szCs w:val="21"/>
          <w:highlight w:val="none"/>
          <w:u w:val="single"/>
        </w:rPr>
        <w:t>格式按招标文件要求</w:t>
      </w:r>
      <w:r>
        <w:rPr>
          <w:rFonts w:ascii="宋体" w:hAnsi="宋体" w:cs="宋体"/>
          <w:bCs/>
          <w:color w:val="auto"/>
          <w:szCs w:val="21"/>
          <w:highlight w:val="none"/>
          <w:u w:val="single"/>
        </w:rPr>
        <w:t>)</w:t>
      </w:r>
      <w:r>
        <w:rPr>
          <w:rFonts w:hint="eastAsia" w:ascii="宋体" w:hAnsi="宋体" w:cs="宋体"/>
          <w:bCs/>
          <w:color w:val="auto"/>
          <w:szCs w:val="21"/>
          <w:highlight w:val="none"/>
          <w:u w:val="single"/>
        </w:rPr>
        <w:t>；</w:t>
      </w:r>
    </w:p>
    <w:p>
      <w:pPr>
        <w:pBdr>
          <w:bottom w:val="single" w:color="auto" w:sz="4" w:space="1"/>
        </w:pBdr>
        <w:spacing w:line="360" w:lineRule="auto"/>
        <w:ind w:firstLine="420" w:firstLineChars="200"/>
        <w:rPr>
          <w:color w:val="auto"/>
          <w:szCs w:val="21"/>
          <w:highlight w:val="none"/>
        </w:rPr>
      </w:pPr>
      <w:r>
        <w:rPr>
          <w:rFonts w:ascii="宋体" w:hAnsi="宋体" w:cs="宋体"/>
          <w:color w:val="auto"/>
          <w:szCs w:val="21"/>
          <w:highlight w:val="none"/>
          <w:u w:val="single"/>
        </w:rPr>
        <w:t>11.3.5</w:t>
      </w:r>
      <w:r>
        <w:rPr>
          <w:rFonts w:hint="eastAsia"/>
          <w:color w:val="auto"/>
          <w:szCs w:val="21"/>
          <w:highlight w:val="none"/>
          <w:u w:val="single"/>
        </w:rPr>
        <w:t>若投标人的投标报价低于工程成本警戒价的，投标人还须提供详细的施工组织设计、单价、措施性费用、单价分析表、主要材料价格表、投标人成本分析供评标委员会评审。</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12                     </w:t>
      </w:r>
      <w:r>
        <w:rPr>
          <w:rFonts w:hint="eastAsia" w:ascii="宋体" w:hAnsi="宋体" w:cs="宋体"/>
          <w:b/>
          <w:color w:val="auto"/>
          <w:szCs w:val="21"/>
          <w:highlight w:val="none"/>
        </w:rPr>
        <w:t>修改类型：修改</w:t>
      </w:r>
    </w:p>
    <w:p>
      <w:pPr>
        <w:spacing w:line="360" w:lineRule="auto"/>
        <w:ind w:firstLine="420" w:firstLineChars="200"/>
        <w:rPr>
          <w:rFonts w:ascii="Times New Roman" w:hAnsi="Times New Roman"/>
          <w:color w:val="auto"/>
          <w:szCs w:val="21"/>
          <w:highlight w:val="none"/>
        </w:rPr>
      </w:pPr>
      <w:r>
        <w:rPr>
          <w:rFonts w:hint="eastAsia" w:ascii="Times New Roman" w:hAnsi="Times New Roman"/>
          <w:b/>
          <w:color w:val="auto"/>
          <w:szCs w:val="21"/>
          <w:highlight w:val="none"/>
        </w:rPr>
        <w:t>原文：</w:t>
      </w:r>
      <w:r>
        <w:rPr>
          <w:rFonts w:ascii="Times New Roman" w:hAnsi="Times New Roman"/>
          <w:color w:val="auto"/>
          <w:szCs w:val="21"/>
          <w:highlight w:val="none"/>
        </w:rPr>
        <w:t>12</w:t>
      </w:r>
      <w:r>
        <w:rPr>
          <w:rFonts w:hint="eastAsia" w:ascii="Times New Roman" w:hAnsi="Times New Roman"/>
          <w:color w:val="auto"/>
          <w:szCs w:val="21"/>
          <w:highlight w:val="none"/>
        </w:rPr>
        <w:t>．投标文件格式</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12.2</w:t>
      </w:r>
      <w:r>
        <w:rPr>
          <w:rFonts w:hint="eastAsia" w:ascii="Times New Roman" w:hAnsi="Times New Roman"/>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楷体" w:hAnsi="楷体" w:eastAsia="楷体" w:cs="宋体"/>
          <w:color w:val="auto"/>
          <w:sz w:val="22"/>
          <w:highlight w:val="none"/>
          <w:u w:val="single"/>
        </w:rPr>
        <w:t xml:space="preserve">             </w:t>
      </w:r>
      <w:r>
        <w:rPr>
          <w:rFonts w:hint="eastAsia" w:ascii="楷体" w:hAnsi="楷体" w:eastAsia="楷体" w:cs="宋体"/>
          <w:color w:val="auto"/>
          <w:sz w:val="22"/>
          <w:highlight w:val="none"/>
        </w:rPr>
        <w:t>。</w:t>
      </w:r>
    </w:p>
    <w:p>
      <w:pPr>
        <w:wordWrap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12.3 </w:t>
      </w:r>
      <w:r>
        <w:rPr>
          <w:rFonts w:hint="eastAsia" w:ascii="Times New Roman" w:hAnsi="Times New Roman"/>
          <w:color w:val="auto"/>
          <w:szCs w:val="21"/>
          <w:highlight w:val="none"/>
        </w:rPr>
        <w:t>投标文件应按照交易平台关于全流程电子化项目的相关指南进行编制，详见：</w:t>
      </w:r>
      <w:r>
        <w:rPr>
          <w:rFonts w:ascii="楷体" w:hAnsi="楷体" w:eastAsia="楷体" w:cs="宋体"/>
          <w:color w:val="auto"/>
          <w:sz w:val="22"/>
          <w:highlight w:val="none"/>
          <w:u w:val="single"/>
        </w:rPr>
        <w:t xml:space="preserve">       </w:t>
      </w:r>
      <w:r>
        <w:rPr>
          <w:rFonts w:hint="eastAsia" w:ascii="楷体" w:hAnsi="楷体" w:eastAsia="楷体" w:cs="宋体"/>
          <w:color w:val="auto"/>
          <w:sz w:val="22"/>
          <w:highlight w:val="none"/>
        </w:rPr>
        <w:t>。</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如不按上述要求编制引起系统无法检索、读取相关信息的，其后果由投标人承担。</w:t>
      </w:r>
    </w:p>
    <w:p>
      <w:pPr>
        <w:spacing w:line="360" w:lineRule="auto"/>
        <w:ind w:firstLine="420" w:firstLineChars="200"/>
        <w:rPr>
          <w:rFonts w:ascii="Times New Roman" w:hAnsi="Times New Roman"/>
          <w:b/>
          <w:color w:val="auto"/>
          <w:szCs w:val="21"/>
          <w:highlight w:val="none"/>
        </w:rPr>
      </w:pPr>
      <w:r>
        <w:rPr>
          <w:rFonts w:hint="eastAsia" w:ascii="Times New Roman" w:hAnsi="Times New Roman"/>
          <w:b/>
          <w:color w:val="auto"/>
          <w:szCs w:val="21"/>
          <w:highlight w:val="none"/>
        </w:rPr>
        <w:t>现文：</w:t>
      </w:r>
      <w:r>
        <w:rPr>
          <w:rFonts w:ascii="Times New Roman" w:hAnsi="Times New Roman"/>
          <w:color w:val="auto"/>
          <w:szCs w:val="21"/>
          <w:highlight w:val="none"/>
        </w:rPr>
        <w:t>12</w:t>
      </w:r>
      <w:r>
        <w:rPr>
          <w:rFonts w:hint="eastAsia" w:ascii="Times New Roman" w:hAnsi="Times New Roman"/>
          <w:color w:val="auto"/>
          <w:szCs w:val="21"/>
          <w:highlight w:val="none"/>
        </w:rPr>
        <w:t>．投标文件格式</w:t>
      </w:r>
    </w:p>
    <w:p>
      <w:pPr>
        <w:spacing w:line="360" w:lineRule="auto"/>
        <w:ind w:firstLine="420" w:firstLineChars="200"/>
        <w:rPr>
          <w:rFonts w:ascii="宋体" w:hAnsi="宋体"/>
          <w:bCs/>
          <w:color w:val="auto"/>
          <w:kern w:val="0"/>
          <w:szCs w:val="21"/>
          <w:highlight w:val="none"/>
          <w:u w:val="single"/>
        </w:rPr>
      </w:pPr>
      <w:r>
        <w:rPr>
          <w:rFonts w:ascii="Times New Roman" w:hAnsi="Times New Roman"/>
          <w:color w:val="auto"/>
          <w:szCs w:val="21"/>
          <w:highlight w:val="none"/>
        </w:rPr>
        <w:t>12.2</w:t>
      </w:r>
      <w:r>
        <w:rPr>
          <w:rFonts w:hint="eastAsia" w:ascii="宋体" w:hAnsi="宋体"/>
          <w:bCs/>
          <w:color w:val="auto"/>
          <w:szCs w:val="21"/>
          <w:highlight w:val="none"/>
        </w:rPr>
        <w:t>1</w:t>
      </w:r>
      <w:r>
        <w:rPr>
          <w:rFonts w:ascii="宋体" w:hAnsi="宋体"/>
          <w:bCs/>
          <w:color w:val="auto"/>
          <w:szCs w:val="21"/>
          <w:highlight w:val="none"/>
        </w:rPr>
        <w:t>2.2</w:t>
      </w:r>
      <w:r>
        <w:rPr>
          <w:rFonts w:hint="eastAsia" w:ascii="宋体" w:hAnsi="宋体"/>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广州交易集团有限公司（广州公共资源交易中心）网站</w:t>
      </w:r>
      <w:r>
        <w:rPr>
          <w:rFonts w:hint="eastAsia" w:ascii="宋体" w:hAnsi="宋体"/>
          <w:bCs/>
          <w:color w:val="auto"/>
          <w:kern w:val="0"/>
          <w:szCs w:val="21"/>
          <w:highlight w:val="none"/>
          <w:u w:val="singl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12.3 </w:t>
      </w:r>
      <w:r>
        <w:rPr>
          <w:rFonts w:hint="eastAsia" w:ascii="Times New Roman" w:hAnsi="Times New Roman"/>
          <w:color w:val="auto"/>
          <w:szCs w:val="21"/>
          <w:highlight w:val="none"/>
        </w:rPr>
        <w:t>投标文件应按照交易平台关于全流程电子化项目的相关指南进行编制，详见：</w:t>
      </w:r>
      <w:r>
        <w:rPr>
          <w:rFonts w:hint="eastAsia" w:ascii="Times New Roman" w:hAnsi="Times New Roman"/>
          <w:color w:val="auto"/>
          <w:szCs w:val="21"/>
          <w:highlight w:val="none"/>
          <w:u w:val="single"/>
        </w:rPr>
        <w:t>广州交易集团有限公司（广州公共资源交易中心）网站(http:/ www.gzggzy.cn)服务指南栏目</w:t>
      </w:r>
      <w:r>
        <w:rPr>
          <w:rFonts w:hint="eastAsia" w:ascii="Times New Roman" w:hAnsi="Times New Roman"/>
          <w:color w:val="auto"/>
          <w:szCs w:val="21"/>
          <w:highlight w:val="none"/>
        </w:rPr>
        <w:t>。</w:t>
      </w:r>
    </w:p>
    <w:p>
      <w:pPr>
        <w:pBdr>
          <w:bottom w:val="single" w:color="auto" w:sz="4" w:space="1"/>
        </w:pBdr>
        <w:spacing w:line="360" w:lineRule="auto"/>
        <w:ind w:firstLine="420" w:firstLineChars="200"/>
        <w:rPr>
          <w:rFonts w:ascii="宋体" w:hAnsi="宋体"/>
          <w:bCs/>
          <w:color w:val="auto"/>
          <w:kern w:val="0"/>
          <w:szCs w:val="21"/>
          <w:highlight w:val="none"/>
          <w:u w:val="single"/>
        </w:rPr>
      </w:pPr>
      <w:r>
        <w:rPr>
          <w:rFonts w:hint="eastAsia" w:ascii="Times New Roman" w:hAnsi="Times New Roman"/>
          <w:color w:val="auto"/>
          <w:szCs w:val="21"/>
          <w:highlight w:val="none"/>
        </w:rPr>
        <w:t>如不按上述要求编制引起系统无法检索、读取相关信息的，其后果由投标人承担。</w:t>
      </w:r>
    </w:p>
    <w:p>
      <w:pPr>
        <w:pStyle w:val="21"/>
        <w:rPr>
          <w:color w:val="auto"/>
          <w:highlight w:val="none"/>
        </w:rPr>
      </w:pP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13.1             </w:t>
      </w:r>
      <w:r>
        <w:rPr>
          <w:rFonts w:hint="eastAsia" w:ascii="宋体" w:hAnsi="宋体" w:cs="宋体"/>
          <w:b/>
          <w:color w:val="auto"/>
          <w:szCs w:val="21"/>
          <w:highlight w:val="none"/>
        </w:rPr>
        <w:t>修改类型：修改</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原文：</w:t>
      </w:r>
      <w:r>
        <w:rPr>
          <w:rFonts w:ascii="宋体" w:hAnsi="宋体" w:cs="宋体"/>
          <w:b/>
          <w:bCs/>
          <w:color w:val="auto"/>
          <w:szCs w:val="21"/>
          <w:highlight w:val="none"/>
        </w:rPr>
        <w:t>13.1</w:t>
      </w:r>
      <w:r>
        <w:rPr>
          <w:rFonts w:hint="eastAsia" w:ascii="宋体" w:hAnsi="宋体" w:cs="宋体"/>
          <w:color w:val="auto"/>
          <w:szCs w:val="21"/>
          <w:highlight w:val="none"/>
        </w:rPr>
        <w:t>本工程的投标报价采用投标须知前附表第</w:t>
      </w:r>
      <w:r>
        <w:rPr>
          <w:rFonts w:ascii="宋体" w:hAnsi="宋体" w:cs="宋体"/>
          <w:color w:val="auto"/>
          <w:szCs w:val="21"/>
          <w:highlight w:val="none"/>
        </w:rPr>
        <w:t>12</w:t>
      </w:r>
      <w:r>
        <w:rPr>
          <w:rFonts w:hint="eastAsia" w:ascii="宋体" w:hAnsi="宋体" w:cs="宋体"/>
          <w:color w:val="auto"/>
          <w:szCs w:val="21"/>
          <w:highlight w:val="none"/>
        </w:rPr>
        <w:t>项所规定的方式。投标报价（含单价及总价）精确到</w:t>
      </w:r>
      <w:r>
        <w:rPr>
          <w:rFonts w:hint="eastAsia" w:ascii="宋体" w:cs="宋体"/>
          <w:color w:val="auto"/>
          <w:szCs w:val="21"/>
          <w:highlight w:val="none"/>
        </w:rPr>
        <w:t>“</w:t>
      </w:r>
      <w:r>
        <w:rPr>
          <w:rFonts w:hint="eastAsia" w:ascii="宋体" w:hAnsi="宋体" w:cs="宋体"/>
          <w:color w:val="auto"/>
          <w:szCs w:val="21"/>
          <w:highlight w:val="none"/>
        </w:rPr>
        <w:t>分</w:t>
      </w:r>
      <w:r>
        <w:rPr>
          <w:rFonts w:hint="eastAsia" w:ascii="宋体" w:cs="宋体"/>
          <w:color w:val="auto"/>
          <w:szCs w:val="21"/>
          <w:highlight w:val="none"/>
        </w:rPr>
        <w:t>”</w:t>
      </w:r>
      <w:r>
        <w:rPr>
          <w:rFonts w:hint="eastAsia" w:ascii="宋体" w:hAnsi="宋体" w:cs="宋体"/>
          <w:color w:val="auto"/>
          <w:szCs w:val="21"/>
          <w:highlight w:val="none"/>
        </w:rPr>
        <w:t>。</w:t>
      </w:r>
    </w:p>
    <w:p>
      <w:pPr>
        <w:pBdr>
          <w:bottom w:val="single" w:color="auto" w:sz="6" w:space="1"/>
        </w:pBdr>
        <w:spacing w:line="360" w:lineRule="auto"/>
        <w:ind w:firstLine="525" w:firstLineChars="250"/>
        <w:rPr>
          <w:rFonts w:ascii="宋体" w:cs="宋体"/>
          <w:color w:val="auto"/>
          <w:szCs w:val="21"/>
          <w:highlight w:val="none"/>
        </w:rPr>
      </w:pPr>
      <w:r>
        <w:rPr>
          <w:rFonts w:hint="eastAsia" w:ascii="宋体" w:hAnsi="宋体" w:cs="宋体"/>
          <w:b/>
          <w:color w:val="auto"/>
          <w:szCs w:val="21"/>
          <w:highlight w:val="none"/>
        </w:rPr>
        <w:t>现文：</w:t>
      </w:r>
      <w:r>
        <w:rPr>
          <w:rFonts w:ascii="宋体" w:hAnsi="宋体" w:cs="宋体"/>
          <w:b/>
          <w:bCs/>
          <w:color w:val="auto"/>
          <w:szCs w:val="21"/>
          <w:highlight w:val="none"/>
        </w:rPr>
        <w:t>13.1</w:t>
      </w:r>
      <w:r>
        <w:rPr>
          <w:rFonts w:hint="eastAsia" w:ascii="宋体" w:hAnsi="宋体" w:cs="宋体"/>
          <w:color w:val="auto"/>
          <w:szCs w:val="21"/>
          <w:highlight w:val="none"/>
        </w:rPr>
        <w:t>本工程的投标报价采用投标须知前附表第</w:t>
      </w:r>
      <w:r>
        <w:rPr>
          <w:rFonts w:ascii="宋体" w:hAnsi="宋体" w:cs="宋体"/>
          <w:color w:val="auto"/>
          <w:szCs w:val="21"/>
          <w:highlight w:val="none"/>
        </w:rPr>
        <w:t>12</w:t>
      </w:r>
      <w:r>
        <w:rPr>
          <w:rFonts w:hint="eastAsia" w:ascii="宋体" w:hAnsi="宋体" w:cs="宋体"/>
          <w:color w:val="auto"/>
          <w:szCs w:val="21"/>
          <w:highlight w:val="none"/>
        </w:rPr>
        <w:t>项所规定的方式。</w:t>
      </w:r>
      <w:r>
        <w:rPr>
          <w:rFonts w:hint="eastAsia" w:ascii="宋体" w:hAnsi="宋体" w:cs="宋体"/>
          <w:color w:val="auto"/>
          <w:szCs w:val="21"/>
          <w:highlight w:val="none"/>
          <w:u w:val="single"/>
        </w:rPr>
        <w:t>投标文件中的大写金额和小写金额不一致的，以大写金额为准，投标报价精确到“分”。</w:t>
      </w:r>
    </w:p>
    <w:p>
      <w:pPr>
        <w:spacing w:line="360" w:lineRule="auto"/>
        <w:ind w:firstLine="420" w:firstLineChars="200"/>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13.4             </w:t>
      </w:r>
      <w:r>
        <w:rPr>
          <w:rFonts w:hint="eastAsia" w:ascii="宋体" w:hAnsi="宋体" w:cs="宋体"/>
          <w:b/>
          <w:color w:val="auto"/>
          <w:szCs w:val="21"/>
          <w:highlight w:val="none"/>
        </w:rPr>
        <w:t>修改类型：修改</w:t>
      </w:r>
    </w:p>
    <w:p>
      <w:pPr>
        <w:spacing w:line="360" w:lineRule="auto"/>
        <w:ind w:firstLine="420" w:firstLineChars="200"/>
        <w:rPr>
          <w:rFonts w:ascii="宋体" w:cs="宋体"/>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13.4</w:t>
      </w:r>
      <w:r>
        <w:rPr>
          <w:rFonts w:hint="eastAsia" w:ascii="宋体" w:hAnsi="宋体" w:cs="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4" w:space="1"/>
        </w:pBdr>
        <w:spacing w:line="360" w:lineRule="auto"/>
        <w:ind w:firstLine="420" w:firstLineChars="200"/>
        <w:rPr>
          <w:rFonts w:ascii="宋体" w:cs="宋体"/>
          <w:color w:val="auto"/>
          <w:szCs w:val="21"/>
          <w:highlight w:val="none"/>
          <w:u w:val="single"/>
        </w:rPr>
      </w:pPr>
      <w:r>
        <w:rPr>
          <w:rFonts w:hint="eastAsia" w:ascii="宋体" w:hAnsi="宋体" w:cs="宋体"/>
          <w:b/>
          <w:color w:val="auto"/>
          <w:szCs w:val="21"/>
          <w:highlight w:val="none"/>
        </w:rPr>
        <w:t>现文：</w:t>
      </w:r>
      <w:r>
        <w:rPr>
          <w:rFonts w:ascii="宋体" w:hAnsi="宋体" w:cs="宋体"/>
          <w:color w:val="auto"/>
          <w:szCs w:val="21"/>
          <w:highlight w:val="none"/>
        </w:rPr>
        <w:t>13.4</w:t>
      </w:r>
      <w:r>
        <w:rPr>
          <w:rFonts w:hint="eastAsia" w:ascii="宋体" w:hAnsi="宋体"/>
          <w:bCs/>
          <w:color w:val="auto"/>
          <w:szCs w:val="21"/>
          <w:highlight w:val="none"/>
        </w:rPr>
        <w:t>投标人一旦中标，投标人对招标人提供的招标工程量清单中列出的工程项目所报出的综合单价，在工程结算时将不得变更，</w:t>
      </w:r>
      <w:r>
        <w:rPr>
          <w:rFonts w:hint="eastAsia" w:ascii="宋体" w:hAnsi="宋体"/>
          <w:bCs/>
          <w:color w:val="auto"/>
          <w:szCs w:val="21"/>
          <w:highlight w:val="none"/>
          <w:u w:val="single"/>
        </w:rPr>
        <w:t>人工、材料、设备或机械台班市场价格发生异常变动情况时合同价款的调整办法详见本项目施工合同相关条款</w:t>
      </w:r>
      <w:r>
        <w:rPr>
          <w:rFonts w:hint="eastAsia" w:ascii="宋体" w:hAnsi="宋体"/>
          <w:bCs/>
          <w:color w:val="auto"/>
          <w:szCs w:val="21"/>
          <w:highlight w:val="none"/>
        </w:rPr>
        <w:t>。因应计算的实际工程量与招标工程量清单出现偏差或因工程变更等原因导致的工程量偏差，引起相关措施项目相应发生变化时，</w:t>
      </w:r>
      <w:r>
        <w:rPr>
          <w:rFonts w:hint="eastAsia" w:ascii="宋体" w:hAnsi="宋体"/>
          <w:bCs/>
          <w:color w:val="auto"/>
          <w:szCs w:val="21"/>
          <w:highlight w:val="none"/>
          <w:u w:val="single"/>
        </w:rPr>
        <w:t>调整办法详见本项目施工合同相关条款</w:t>
      </w:r>
      <w:r>
        <w:rPr>
          <w:rFonts w:hint="eastAsia" w:ascii="宋体" w:hAnsi="宋体"/>
          <w:bCs/>
          <w:color w:val="auto"/>
          <w:szCs w:val="21"/>
          <w:highlight w:val="none"/>
        </w:rPr>
        <w:t>。</w:t>
      </w:r>
    </w:p>
    <w:p>
      <w:pPr>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条款号：13.5            修改类型：修改</w:t>
      </w:r>
    </w:p>
    <w:p>
      <w:pPr>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1</w:t>
      </w:r>
      <w:r>
        <w:rPr>
          <w:rFonts w:ascii="宋体" w:hAnsi="宋体"/>
          <w:bCs/>
          <w:color w:val="auto"/>
          <w:szCs w:val="21"/>
          <w:highlight w:val="none"/>
        </w:rPr>
        <w:t>3.5</w:t>
      </w:r>
      <w:r>
        <w:rPr>
          <w:rFonts w:hint="eastAsia" w:ascii="宋体" w:hAnsi="宋体"/>
          <w:color w:val="auto"/>
          <w:szCs w:val="21"/>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6"/>
        <w:pBdr>
          <w:bottom w:val="single" w:color="auto" w:sz="6" w:space="1"/>
        </w:pBdr>
        <w:spacing w:after="0" w:line="360" w:lineRule="auto"/>
        <w:ind w:firstLine="420"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bCs/>
          <w:color w:val="auto"/>
          <w:szCs w:val="21"/>
          <w:highlight w:val="none"/>
        </w:rPr>
        <w:t>1</w:t>
      </w:r>
      <w:r>
        <w:rPr>
          <w:rFonts w:ascii="宋体" w:hAnsi="宋体"/>
          <w:bCs/>
          <w:color w:val="auto"/>
          <w:szCs w:val="21"/>
          <w:highlight w:val="none"/>
        </w:rPr>
        <w:t>3.5</w:t>
      </w:r>
      <w:r>
        <w:rPr>
          <w:rFonts w:hint="eastAsia" w:ascii="宋体" w:hAnsi="宋体" w:eastAsia="宋体" w:cs="宋体"/>
          <w:color w:val="auto"/>
          <w:szCs w:val="21"/>
          <w:highlight w:val="none"/>
          <w:u w:val="single"/>
        </w:rPr>
        <w:t>变更结算方式按招标文件及施工合同相关规定执行。</w:t>
      </w:r>
    </w:p>
    <w:p>
      <w:pPr>
        <w:pStyle w:val="155"/>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条款号：13.5.1</w:t>
      </w:r>
      <w:r>
        <w:rPr>
          <w:rFonts w:ascii="宋体" w:hAnsi="宋体"/>
          <w:b/>
          <w:color w:val="auto"/>
          <w:szCs w:val="21"/>
          <w:highlight w:val="none"/>
        </w:rPr>
        <w:t xml:space="preserve">             </w:t>
      </w:r>
      <w:r>
        <w:rPr>
          <w:rFonts w:hint="eastAsia" w:ascii="宋体" w:hAnsi="宋体"/>
          <w:b/>
          <w:color w:val="auto"/>
          <w:szCs w:val="21"/>
          <w:highlight w:val="none"/>
        </w:rPr>
        <w:t>修改类型：删除</w:t>
      </w:r>
    </w:p>
    <w:p>
      <w:pPr>
        <w:pStyle w:val="155"/>
        <w:pBdr>
          <w:bottom w:val="single" w:color="auto" w:sz="6" w:space="1"/>
        </w:pBdr>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1</w:t>
      </w:r>
      <w:r>
        <w:rPr>
          <w:rFonts w:ascii="宋体" w:hAnsi="宋体"/>
          <w:bCs/>
          <w:color w:val="auto"/>
          <w:szCs w:val="21"/>
          <w:highlight w:val="none"/>
        </w:rPr>
        <w:t>3.5.1</w:t>
      </w:r>
      <w:r>
        <w:rPr>
          <w:rFonts w:hint="eastAsia" w:ascii="宋体" w:hAnsi="宋体"/>
          <w:color w:val="auto"/>
          <w:szCs w:val="21"/>
          <w:highlight w:val="none"/>
        </w:rPr>
        <w:t>中标的投标文件工程量清单中已有相同项目的适用综合单价，则沿用；</w:t>
      </w:r>
    </w:p>
    <w:p>
      <w:pPr>
        <w:pStyle w:val="155"/>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条款号：13.5.2</w:t>
      </w:r>
      <w:r>
        <w:rPr>
          <w:rFonts w:ascii="宋体" w:hAnsi="宋体"/>
          <w:b/>
          <w:color w:val="auto"/>
          <w:szCs w:val="21"/>
          <w:highlight w:val="none"/>
        </w:rPr>
        <w:t xml:space="preserve">             </w:t>
      </w:r>
      <w:r>
        <w:rPr>
          <w:rFonts w:hint="eastAsia" w:ascii="宋体" w:hAnsi="宋体"/>
          <w:b/>
          <w:color w:val="auto"/>
          <w:szCs w:val="21"/>
          <w:highlight w:val="none"/>
        </w:rPr>
        <w:t>修改类型：删除</w:t>
      </w:r>
    </w:p>
    <w:p>
      <w:pPr>
        <w:pStyle w:val="155"/>
        <w:pBdr>
          <w:bottom w:val="single" w:color="auto" w:sz="6" w:space="1"/>
        </w:pBdr>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1</w:t>
      </w:r>
      <w:r>
        <w:rPr>
          <w:rFonts w:ascii="宋体" w:hAnsi="宋体"/>
          <w:bCs/>
          <w:color w:val="auto"/>
          <w:szCs w:val="21"/>
          <w:highlight w:val="none"/>
        </w:rPr>
        <w:t>3.5.2</w:t>
      </w:r>
      <w:r>
        <w:rPr>
          <w:rFonts w:hint="eastAsia" w:ascii="宋体" w:hAnsi="宋体"/>
          <w:color w:val="auto"/>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55"/>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条款号：13.5.3</w:t>
      </w:r>
      <w:r>
        <w:rPr>
          <w:rFonts w:ascii="宋体" w:hAnsi="宋体"/>
          <w:b/>
          <w:color w:val="auto"/>
          <w:szCs w:val="21"/>
          <w:highlight w:val="none"/>
        </w:rPr>
        <w:t xml:space="preserve">             </w:t>
      </w:r>
      <w:r>
        <w:rPr>
          <w:rFonts w:hint="eastAsia" w:ascii="宋体" w:hAnsi="宋体"/>
          <w:b/>
          <w:color w:val="auto"/>
          <w:szCs w:val="21"/>
          <w:highlight w:val="none"/>
        </w:rPr>
        <w:t>修改类型：删除</w:t>
      </w:r>
    </w:p>
    <w:p>
      <w:pPr>
        <w:pStyle w:val="155"/>
        <w:pBdr>
          <w:bottom w:val="single" w:color="auto" w:sz="6" w:space="1"/>
        </w:pBdr>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1</w:t>
      </w:r>
      <w:r>
        <w:rPr>
          <w:rFonts w:ascii="宋体" w:hAnsi="宋体"/>
          <w:bCs/>
          <w:color w:val="auto"/>
          <w:szCs w:val="21"/>
          <w:highlight w:val="none"/>
        </w:rPr>
        <w:t>3.5.3</w:t>
      </w:r>
      <w:r>
        <w:rPr>
          <w:rFonts w:hint="eastAsia" w:ascii="宋体" w:hAnsi="宋体"/>
          <w:color w:val="auto"/>
          <w:szCs w:val="21"/>
          <w:highlight w:val="none"/>
        </w:rPr>
        <w:t>中标的投标文件工程量清单中没有相同项目或类似项目的，如可套取相关定额，则以相关定额为基数下浮计算单价</w:t>
      </w:r>
      <w:r>
        <w:rPr>
          <w:rFonts w:ascii="宋体" w:hAnsi="宋体"/>
          <w:color w:val="auto"/>
          <w:szCs w:val="21"/>
          <w:highlight w:val="none"/>
        </w:rPr>
        <w:t>,</w:t>
      </w:r>
      <w:r>
        <w:rPr>
          <w:rFonts w:hint="eastAsia" w:ascii="宋体" w:hAnsi="宋体"/>
          <w:color w:val="auto"/>
          <w:szCs w:val="21"/>
          <w:highlight w:val="none"/>
        </w:rPr>
        <w:t>下浮率为中标价相对于最高投标限价的下浮率（下浮率</w:t>
      </w:r>
      <w:r>
        <w:rPr>
          <w:rFonts w:ascii="宋体" w:hAnsi="宋体"/>
          <w:color w:val="auto"/>
          <w:szCs w:val="21"/>
          <w:highlight w:val="none"/>
        </w:rPr>
        <w:t>=(</w:t>
      </w:r>
      <w:r>
        <w:rPr>
          <w:rFonts w:hint="eastAsia" w:ascii="宋体" w:hAnsi="宋体"/>
          <w:color w:val="auto"/>
          <w:szCs w:val="21"/>
          <w:highlight w:val="none"/>
        </w:rPr>
        <w:t>最高投标限价</w:t>
      </w:r>
      <w:r>
        <w:rPr>
          <w:rFonts w:ascii="宋体" w:hAnsi="宋体"/>
          <w:color w:val="auto"/>
          <w:szCs w:val="21"/>
          <w:highlight w:val="none"/>
        </w:rPr>
        <w:t>-</w:t>
      </w:r>
      <w:r>
        <w:rPr>
          <w:rFonts w:hint="eastAsia" w:ascii="宋体" w:hAnsi="宋体"/>
          <w:color w:val="auto"/>
          <w:szCs w:val="21"/>
          <w:highlight w:val="none"/>
        </w:rPr>
        <w:t>中标价</w:t>
      </w:r>
      <w:r>
        <w:rPr>
          <w:rFonts w:ascii="宋体" w:hAnsi="宋体"/>
          <w:color w:val="auto"/>
          <w:szCs w:val="21"/>
          <w:highlight w:val="none"/>
        </w:rPr>
        <w:t xml:space="preserve">)/ </w:t>
      </w:r>
      <w:r>
        <w:rPr>
          <w:rFonts w:hint="eastAsia" w:ascii="宋体" w:hAnsi="宋体"/>
          <w:color w:val="auto"/>
          <w:szCs w:val="21"/>
          <w:highlight w:val="none"/>
        </w:rPr>
        <w:t>最高投标限价）。</w:t>
      </w:r>
    </w:p>
    <w:p>
      <w:pPr>
        <w:pStyle w:val="155"/>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条款号：13.5.4</w:t>
      </w:r>
      <w:r>
        <w:rPr>
          <w:rFonts w:ascii="宋体" w:hAnsi="宋体"/>
          <w:b/>
          <w:color w:val="auto"/>
          <w:szCs w:val="21"/>
          <w:highlight w:val="none"/>
        </w:rPr>
        <w:t xml:space="preserve">             </w:t>
      </w:r>
      <w:r>
        <w:rPr>
          <w:rFonts w:hint="eastAsia" w:ascii="宋体" w:hAnsi="宋体"/>
          <w:b/>
          <w:color w:val="auto"/>
          <w:szCs w:val="21"/>
          <w:highlight w:val="none"/>
        </w:rPr>
        <w:t>修改类型：删除</w:t>
      </w:r>
    </w:p>
    <w:p>
      <w:pPr>
        <w:pStyle w:val="155"/>
        <w:pBdr>
          <w:bottom w:val="single" w:color="auto" w:sz="6" w:space="1"/>
        </w:pBdr>
        <w:spacing w:line="360" w:lineRule="auto"/>
        <w:ind w:firstLine="470"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1</w:t>
      </w:r>
      <w:r>
        <w:rPr>
          <w:rFonts w:ascii="宋体" w:hAnsi="宋体"/>
          <w:bCs/>
          <w:color w:val="auto"/>
          <w:szCs w:val="21"/>
          <w:highlight w:val="none"/>
        </w:rPr>
        <w:t>3.5.4</w:t>
      </w:r>
      <w:r>
        <w:rPr>
          <w:rFonts w:hint="eastAsia" w:ascii="宋体" w:hAnsi="宋体"/>
          <w:color w:val="auto"/>
          <w:szCs w:val="21"/>
          <w:highlight w:val="none"/>
        </w:rPr>
        <w:t>如相关定额没有相应子目的，其计价方式由招标人在本招标文件第三章中另行规定。未规定的，中标后双方协商约定。</w:t>
      </w:r>
    </w:p>
    <w:p>
      <w:pPr>
        <w:spacing w:line="360" w:lineRule="auto"/>
        <w:ind w:firstLine="420" w:firstLineChars="200"/>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13.9             </w:t>
      </w:r>
      <w:r>
        <w:rPr>
          <w:rFonts w:hint="eastAsia" w:ascii="宋体" w:hAnsi="宋体" w:cs="宋体"/>
          <w:b/>
          <w:color w:val="auto"/>
          <w:szCs w:val="21"/>
          <w:highlight w:val="none"/>
        </w:rPr>
        <w:t>修改类型：修改</w:t>
      </w:r>
    </w:p>
    <w:p>
      <w:pPr>
        <w:pBdr>
          <w:bottom w:val="single" w:color="auto" w:sz="6" w:space="1"/>
        </w:pBdr>
        <w:spacing w:line="360" w:lineRule="auto"/>
        <w:ind w:firstLine="420" w:firstLineChars="200"/>
        <w:rPr>
          <w:rFonts w:asci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Bdr>
          <w:bottom w:val="single" w:color="auto" w:sz="6" w:space="1"/>
        </w:pBdr>
        <w:spacing w:line="360" w:lineRule="auto"/>
        <w:ind w:firstLine="420" w:firstLineChars="200"/>
        <w:rPr>
          <w:rFonts w:ascii="宋体" w:cs="宋体"/>
          <w:color w:val="auto"/>
          <w:szCs w:val="21"/>
          <w:highlight w:val="none"/>
        </w:rPr>
      </w:pPr>
      <w:r>
        <w:rPr>
          <w:rFonts w:hint="eastAsia" w:ascii="宋体" w:hAnsi="宋体" w:cs="宋体"/>
          <w:b/>
          <w:color w:val="auto"/>
          <w:szCs w:val="21"/>
          <w:highlight w:val="none"/>
        </w:rPr>
        <w:t>现文：</w:t>
      </w:r>
      <w:r>
        <w:rPr>
          <w:rFonts w:ascii="宋体" w:hAnsi="宋体" w:cs="宋体"/>
          <w:b/>
          <w:bCs/>
          <w:color w:val="auto"/>
          <w:szCs w:val="21"/>
          <w:highlight w:val="none"/>
        </w:rPr>
        <w:t>13.9</w:t>
      </w:r>
      <w:r>
        <w:rPr>
          <w:rFonts w:hint="eastAsia" w:hAnsi="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w:t>
      </w:r>
      <w:r>
        <w:rPr>
          <w:rFonts w:hint="eastAsia" w:hAnsi="宋体"/>
          <w:color w:val="auto"/>
          <w:szCs w:val="21"/>
          <w:highlight w:val="none"/>
          <w:u w:val="single"/>
        </w:rPr>
        <w:t>按施工合同相关规定执行。</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16.4.1           </w:t>
      </w:r>
      <w:r>
        <w:rPr>
          <w:rFonts w:hint="eastAsia" w:ascii="宋体" w:hAnsi="宋体" w:cs="宋体"/>
          <w:b/>
          <w:color w:val="auto"/>
          <w:szCs w:val="21"/>
          <w:highlight w:val="none"/>
        </w:rPr>
        <w:t>修改类型：删除</w:t>
      </w:r>
    </w:p>
    <w:p>
      <w:pPr>
        <w:pBdr>
          <w:bottom w:val="single" w:color="auto" w:sz="4" w:space="1"/>
        </w:pBdr>
        <w:spacing w:line="360" w:lineRule="auto"/>
        <w:ind w:firstLine="420" w:firstLineChars="200"/>
        <w:rPr>
          <w:rFonts w:asci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16.4.1</w:t>
      </w:r>
      <w:r>
        <w:rPr>
          <w:rFonts w:hint="eastAsia" w:ascii="宋体" w:hAnsi="宋体" w:cs="宋体"/>
          <w:color w:val="auto"/>
          <w:szCs w:val="21"/>
          <w:highlight w:val="none"/>
        </w:rPr>
        <w:t>因投标人原因造成投标文件未解密的；</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16.5             </w:t>
      </w:r>
      <w:r>
        <w:rPr>
          <w:rFonts w:hint="eastAsia" w:ascii="宋体" w:hAnsi="宋体" w:cs="宋体"/>
          <w:b/>
          <w:color w:val="auto"/>
          <w:szCs w:val="21"/>
          <w:highlight w:val="none"/>
        </w:rPr>
        <w:t>修改类型：修改</w:t>
      </w:r>
    </w:p>
    <w:p>
      <w:pPr>
        <w:spacing w:line="360" w:lineRule="auto"/>
        <w:ind w:firstLine="470" w:firstLineChars="224"/>
        <w:rPr>
          <w:rFonts w:ascii="宋体" w:cs="宋体"/>
          <w:bCs/>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16.5</w:t>
      </w:r>
      <w:r>
        <w:rPr>
          <w:rFonts w:hint="eastAsia" w:ascii="宋体" w:hAnsi="宋体" w:cs="宋体"/>
          <w:bCs/>
          <w:color w:val="auto"/>
          <w:szCs w:val="21"/>
          <w:highlight w:val="none"/>
        </w:rPr>
        <w:t>投标人如存在下列情况之一的，将被拒绝在一定时期内参与招标人后续工程投标（拒绝时限需在招标文件中明确）：</w:t>
      </w:r>
    </w:p>
    <w:p>
      <w:pPr>
        <w:spacing w:line="360" w:lineRule="auto"/>
        <w:ind w:firstLine="470" w:firstLineChars="224"/>
        <w:rPr>
          <w:rFonts w:ascii="宋体" w:cs="宋体"/>
          <w:bCs/>
          <w:color w:val="auto"/>
          <w:szCs w:val="21"/>
          <w:highlight w:val="none"/>
        </w:rPr>
      </w:pPr>
      <w:r>
        <w:rPr>
          <w:rFonts w:ascii="宋体" w:hAnsi="宋体" w:cs="宋体"/>
          <w:b/>
          <w:color w:val="auto"/>
          <w:szCs w:val="21"/>
          <w:highlight w:val="none"/>
        </w:rPr>
        <w:t>16.5.1</w:t>
      </w:r>
      <w:r>
        <w:rPr>
          <w:rFonts w:hint="eastAsia" w:ascii="宋体" w:hAnsi="宋体" w:cs="宋体"/>
          <w:bCs/>
          <w:color w:val="auto"/>
          <w:szCs w:val="21"/>
          <w:highlight w:val="none"/>
        </w:rPr>
        <w:t>投标人存在</w:t>
      </w:r>
      <w:r>
        <w:rPr>
          <w:rFonts w:ascii="宋体" w:hAnsi="宋体" w:cs="宋体"/>
          <w:bCs/>
          <w:color w:val="auto"/>
          <w:szCs w:val="21"/>
          <w:highlight w:val="none"/>
        </w:rPr>
        <w:t>16.4</w:t>
      </w:r>
      <w:r>
        <w:rPr>
          <w:rFonts w:hint="eastAsia" w:ascii="宋体" w:hAnsi="宋体" w:cs="宋体"/>
          <w:bCs/>
          <w:color w:val="auto"/>
          <w:szCs w:val="21"/>
          <w:highlight w:val="none"/>
        </w:rPr>
        <w:t>条款所列情形且投标人提交的保函、担保或保证保险无法兑付的；</w:t>
      </w:r>
    </w:p>
    <w:p>
      <w:pPr>
        <w:spacing w:line="360" w:lineRule="auto"/>
        <w:ind w:firstLine="470" w:firstLineChars="224"/>
        <w:rPr>
          <w:rFonts w:ascii="宋体" w:cs="宋体"/>
          <w:bCs/>
          <w:color w:val="auto"/>
          <w:szCs w:val="21"/>
          <w:highlight w:val="none"/>
        </w:rPr>
      </w:pPr>
      <w:r>
        <w:rPr>
          <w:rFonts w:ascii="宋体" w:hAnsi="宋体" w:cs="宋体"/>
          <w:b/>
          <w:color w:val="auto"/>
          <w:szCs w:val="21"/>
          <w:highlight w:val="none"/>
        </w:rPr>
        <w:t>16.5.2</w:t>
      </w:r>
      <w:r>
        <w:rPr>
          <w:rFonts w:hint="eastAsia" w:ascii="宋体" w:hAnsi="宋体" w:cs="宋体"/>
          <w:bCs/>
          <w:color w:val="auto"/>
          <w:szCs w:val="21"/>
          <w:highlight w:val="none"/>
        </w:rPr>
        <w:t>采用非电子形式提交投标保证金的投标人存在</w:t>
      </w:r>
      <w:r>
        <w:rPr>
          <w:rFonts w:ascii="宋体" w:hAnsi="宋体" w:cs="宋体"/>
          <w:bCs/>
          <w:color w:val="auto"/>
          <w:szCs w:val="21"/>
          <w:highlight w:val="none"/>
        </w:rPr>
        <w:t>16.4</w:t>
      </w:r>
      <w:r>
        <w:rPr>
          <w:rFonts w:hint="eastAsia" w:ascii="宋体" w:hAnsi="宋体" w:cs="宋体"/>
          <w:bCs/>
          <w:color w:val="auto"/>
          <w:szCs w:val="21"/>
          <w:highlight w:val="none"/>
        </w:rPr>
        <w:t>条款所列情形，且未按招标人要求补交银行保函、专业工程担保公司担保或保证保险原件的；</w:t>
      </w:r>
    </w:p>
    <w:p>
      <w:pPr>
        <w:spacing w:line="360" w:lineRule="auto"/>
        <w:ind w:firstLine="470" w:firstLineChars="224"/>
        <w:rPr>
          <w:rFonts w:ascii="宋体" w:cs="宋体"/>
          <w:bCs/>
          <w:color w:val="auto"/>
          <w:szCs w:val="21"/>
          <w:highlight w:val="none"/>
        </w:rPr>
      </w:pPr>
      <w:r>
        <w:rPr>
          <w:rFonts w:ascii="宋体" w:hAnsi="宋体" w:cs="宋体"/>
          <w:b/>
          <w:color w:val="auto"/>
          <w:szCs w:val="21"/>
          <w:highlight w:val="none"/>
        </w:rPr>
        <w:t>16.5.3</w:t>
      </w:r>
      <w:r>
        <w:rPr>
          <w:rFonts w:hint="eastAsia" w:ascii="宋体" w:hAnsi="宋体" w:cs="宋体"/>
          <w:bCs/>
          <w:color w:val="auto"/>
          <w:szCs w:val="21"/>
          <w:highlight w:val="none"/>
        </w:rPr>
        <w:t>按招标文件要求免于提供投标保证金的投标人存在</w:t>
      </w:r>
      <w:r>
        <w:rPr>
          <w:rFonts w:ascii="宋体" w:hAnsi="宋体" w:cs="宋体"/>
          <w:bCs/>
          <w:color w:val="auto"/>
          <w:szCs w:val="21"/>
          <w:highlight w:val="none"/>
        </w:rPr>
        <w:t>16.4</w:t>
      </w:r>
      <w:r>
        <w:rPr>
          <w:rFonts w:hint="eastAsia" w:ascii="宋体" w:hAnsi="宋体" w:cs="宋体"/>
          <w:bCs/>
          <w:color w:val="auto"/>
          <w:szCs w:val="21"/>
          <w:highlight w:val="none"/>
        </w:rPr>
        <w:t>条款所列情形，且未按招标人要求补交投标保证金的；</w:t>
      </w:r>
    </w:p>
    <w:p>
      <w:pPr>
        <w:spacing w:line="360" w:lineRule="auto"/>
        <w:ind w:firstLine="470" w:firstLineChars="224"/>
        <w:rPr>
          <w:rFonts w:ascii="宋体" w:cs="宋体"/>
          <w:bCs/>
          <w:color w:val="auto"/>
          <w:szCs w:val="21"/>
          <w:highlight w:val="none"/>
        </w:rPr>
      </w:pPr>
      <w:r>
        <w:rPr>
          <w:rFonts w:ascii="宋体" w:hAnsi="宋体" w:cs="宋体"/>
          <w:b/>
          <w:color w:val="auto"/>
          <w:szCs w:val="21"/>
          <w:highlight w:val="none"/>
        </w:rPr>
        <w:t>16.5.3</w:t>
      </w:r>
      <w:r>
        <w:rPr>
          <w:rFonts w:hint="eastAsia" w:ascii="宋体" w:hAnsi="宋体" w:cs="宋体"/>
          <w:bCs/>
          <w:color w:val="auto"/>
          <w:szCs w:val="21"/>
          <w:highlight w:val="none"/>
        </w:rPr>
        <w:t>按招标文件要求免于提供投标保证金的投标人存在</w:t>
      </w:r>
      <w:r>
        <w:rPr>
          <w:rFonts w:ascii="宋体" w:hAnsi="宋体" w:cs="宋体"/>
          <w:bCs/>
          <w:color w:val="auto"/>
          <w:szCs w:val="21"/>
          <w:highlight w:val="none"/>
        </w:rPr>
        <w:t>16.4</w:t>
      </w:r>
      <w:r>
        <w:rPr>
          <w:rFonts w:hint="eastAsia" w:ascii="宋体" w:hAnsi="宋体" w:cs="宋体"/>
          <w:bCs/>
          <w:color w:val="auto"/>
          <w:szCs w:val="21"/>
          <w:highlight w:val="none"/>
        </w:rPr>
        <w:t>条款所列情形的。</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注：</w:t>
      </w:r>
      <w:r>
        <w:rPr>
          <w:rFonts w:ascii="宋体" w:hAnsi="宋体" w:cs="宋体"/>
          <w:bCs/>
          <w:color w:val="auto"/>
          <w:szCs w:val="21"/>
          <w:highlight w:val="none"/>
        </w:rPr>
        <w:t>16.5.3</w:t>
      </w:r>
      <w:r>
        <w:rPr>
          <w:rFonts w:hint="eastAsia" w:ascii="宋体" w:hAnsi="宋体" w:cs="宋体"/>
          <w:bCs/>
          <w:color w:val="auto"/>
          <w:szCs w:val="21"/>
          <w:highlight w:val="none"/>
        </w:rPr>
        <w:t>款由招标人二选一，需在招标文件中明确。</w:t>
      </w:r>
    </w:p>
    <w:p>
      <w:pPr>
        <w:pBdr>
          <w:bottom w:val="single" w:color="auto" w:sz="6" w:space="1"/>
        </w:pBdr>
        <w:spacing w:line="360" w:lineRule="auto"/>
        <w:ind w:firstLine="525" w:firstLineChars="250"/>
        <w:rPr>
          <w:rFonts w:ascii="宋体" w:cs="宋体"/>
          <w:bCs/>
          <w:color w:val="auto"/>
          <w:szCs w:val="21"/>
          <w:highlight w:val="none"/>
        </w:rPr>
      </w:pPr>
      <w:r>
        <w:rPr>
          <w:rFonts w:hint="eastAsia" w:ascii="宋体" w:hAnsi="宋体" w:cs="宋体"/>
          <w:b/>
          <w:color w:val="auto"/>
          <w:szCs w:val="21"/>
          <w:highlight w:val="none"/>
        </w:rPr>
        <w:t>现文：</w:t>
      </w:r>
      <w:r>
        <w:rPr>
          <w:rFonts w:ascii="宋体" w:hAnsi="宋体" w:cs="宋体"/>
          <w:b/>
          <w:color w:val="auto"/>
          <w:szCs w:val="21"/>
          <w:highlight w:val="none"/>
        </w:rPr>
        <w:t>16.5</w:t>
      </w:r>
      <w:r>
        <w:rPr>
          <w:rFonts w:hint="eastAsia" w:ascii="宋体" w:hAnsi="宋体" w:cs="宋体"/>
          <w:bCs/>
          <w:color w:val="auto"/>
          <w:szCs w:val="21"/>
          <w:highlight w:val="none"/>
        </w:rPr>
        <w:t>投标人如存在下列情况之一的，将被拒绝在</w:t>
      </w:r>
      <w:r>
        <w:rPr>
          <w:rFonts w:ascii="宋体" w:hAnsi="宋体" w:cs="宋体"/>
          <w:bCs/>
          <w:color w:val="auto"/>
          <w:szCs w:val="21"/>
          <w:highlight w:val="none"/>
          <w:u w:val="single"/>
        </w:rPr>
        <w:t>1</w:t>
      </w:r>
      <w:r>
        <w:rPr>
          <w:rFonts w:hint="eastAsia" w:ascii="宋体" w:hAnsi="宋体" w:cs="宋体"/>
          <w:bCs/>
          <w:color w:val="auto"/>
          <w:szCs w:val="21"/>
          <w:highlight w:val="none"/>
          <w:u w:val="single"/>
        </w:rPr>
        <w:t>年内</w:t>
      </w:r>
      <w:r>
        <w:rPr>
          <w:rFonts w:hint="eastAsia" w:ascii="宋体" w:hAnsi="宋体" w:cs="宋体"/>
          <w:bCs/>
          <w:color w:val="auto"/>
          <w:szCs w:val="21"/>
          <w:highlight w:val="none"/>
        </w:rPr>
        <w:t>参与招标人后续工程投标：</w:t>
      </w:r>
    </w:p>
    <w:p>
      <w:pPr>
        <w:pBdr>
          <w:bottom w:val="single" w:color="auto" w:sz="6" w:space="1"/>
        </w:pBdr>
        <w:spacing w:line="360" w:lineRule="auto"/>
        <w:ind w:firstLine="525" w:firstLineChars="250"/>
        <w:rPr>
          <w:rFonts w:ascii="宋体" w:cs="宋体"/>
          <w:bCs/>
          <w:color w:val="auto"/>
          <w:szCs w:val="21"/>
          <w:highlight w:val="none"/>
        </w:rPr>
      </w:pPr>
      <w:r>
        <w:rPr>
          <w:rFonts w:ascii="宋体" w:hAnsi="宋体" w:cs="宋体"/>
          <w:b/>
          <w:color w:val="auto"/>
          <w:szCs w:val="21"/>
          <w:highlight w:val="none"/>
        </w:rPr>
        <w:t>16.5.1</w:t>
      </w:r>
      <w:r>
        <w:rPr>
          <w:rFonts w:hint="eastAsia" w:ascii="宋体" w:hAnsi="宋体" w:cs="宋体"/>
          <w:bCs/>
          <w:color w:val="auto"/>
          <w:szCs w:val="21"/>
          <w:highlight w:val="none"/>
        </w:rPr>
        <w:t>投标人存在</w:t>
      </w:r>
      <w:r>
        <w:rPr>
          <w:rFonts w:ascii="宋体" w:hAnsi="宋体" w:cs="宋体"/>
          <w:bCs/>
          <w:color w:val="auto"/>
          <w:szCs w:val="21"/>
          <w:highlight w:val="none"/>
        </w:rPr>
        <w:t>16.4</w:t>
      </w:r>
      <w:r>
        <w:rPr>
          <w:rFonts w:hint="eastAsia" w:ascii="宋体" w:hAnsi="宋体" w:cs="宋体"/>
          <w:bCs/>
          <w:color w:val="auto"/>
          <w:szCs w:val="21"/>
          <w:highlight w:val="none"/>
        </w:rPr>
        <w:t>条款所列情形且投标人提交的保函、担保或保证保险无法兑付的；</w:t>
      </w:r>
    </w:p>
    <w:p>
      <w:pPr>
        <w:pBdr>
          <w:bottom w:val="single" w:color="auto" w:sz="6" w:space="1"/>
        </w:pBdr>
        <w:spacing w:line="360" w:lineRule="auto"/>
        <w:ind w:firstLine="525" w:firstLineChars="250"/>
        <w:rPr>
          <w:rFonts w:ascii="宋体" w:cs="宋体"/>
          <w:bCs/>
          <w:color w:val="auto"/>
          <w:szCs w:val="21"/>
          <w:highlight w:val="none"/>
        </w:rPr>
      </w:pPr>
      <w:r>
        <w:rPr>
          <w:rFonts w:ascii="宋体" w:hAnsi="宋体" w:cs="宋体"/>
          <w:b/>
          <w:color w:val="auto"/>
          <w:szCs w:val="21"/>
          <w:highlight w:val="none"/>
        </w:rPr>
        <w:t>16.5.2</w:t>
      </w:r>
      <w:r>
        <w:rPr>
          <w:rFonts w:hint="eastAsia" w:ascii="宋体" w:hAnsi="宋体" w:cs="宋体"/>
          <w:bCs/>
          <w:color w:val="auto"/>
          <w:szCs w:val="21"/>
          <w:highlight w:val="none"/>
        </w:rPr>
        <w:t>采用非电子形式提交投标保证金的投标人存在</w:t>
      </w:r>
      <w:r>
        <w:rPr>
          <w:rFonts w:ascii="宋体" w:hAnsi="宋体" w:cs="宋体"/>
          <w:bCs/>
          <w:color w:val="auto"/>
          <w:szCs w:val="21"/>
          <w:highlight w:val="none"/>
        </w:rPr>
        <w:t>16.4</w:t>
      </w:r>
      <w:r>
        <w:rPr>
          <w:rFonts w:hint="eastAsia" w:ascii="宋体" w:hAnsi="宋体" w:cs="宋体"/>
          <w:bCs/>
          <w:color w:val="auto"/>
          <w:szCs w:val="21"/>
          <w:highlight w:val="none"/>
        </w:rPr>
        <w:t>条款所列情形，且未按招标人要求补交银行保函、专业工程担保公司担保或保证保险原件的；</w:t>
      </w:r>
    </w:p>
    <w:p>
      <w:pPr>
        <w:pBdr>
          <w:bottom w:val="single" w:color="auto" w:sz="6" w:space="1"/>
        </w:pBdr>
        <w:spacing w:line="360" w:lineRule="auto"/>
        <w:ind w:firstLine="525" w:firstLineChars="250"/>
        <w:rPr>
          <w:rFonts w:ascii="宋体" w:cs="宋体"/>
          <w:bCs/>
          <w:color w:val="auto"/>
          <w:szCs w:val="21"/>
          <w:highlight w:val="none"/>
          <w:u w:val="single"/>
        </w:rPr>
      </w:pPr>
      <w:r>
        <w:rPr>
          <w:rFonts w:ascii="宋体" w:hAnsi="宋体" w:cs="宋体"/>
          <w:b/>
          <w:color w:val="auto"/>
          <w:szCs w:val="21"/>
          <w:highlight w:val="none"/>
        </w:rPr>
        <w:t>16.5.3</w:t>
      </w:r>
      <w:r>
        <w:rPr>
          <w:rFonts w:hint="eastAsia" w:ascii="宋体" w:hAnsi="宋体" w:cs="宋体"/>
          <w:bCs/>
          <w:color w:val="auto"/>
          <w:szCs w:val="21"/>
          <w:highlight w:val="none"/>
          <w:u w:val="single"/>
        </w:rPr>
        <w:t>按招标文件要求免于提供投标保证金的投标人存在</w:t>
      </w:r>
      <w:r>
        <w:rPr>
          <w:rFonts w:ascii="宋体" w:hAnsi="宋体" w:cs="宋体"/>
          <w:bCs/>
          <w:color w:val="auto"/>
          <w:szCs w:val="21"/>
          <w:highlight w:val="none"/>
          <w:u w:val="single"/>
        </w:rPr>
        <w:t>16.4</w:t>
      </w:r>
      <w:r>
        <w:rPr>
          <w:rFonts w:hint="eastAsia" w:ascii="宋体" w:hAnsi="宋体" w:cs="宋体"/>
          <w:bCs/>
          <w:color w:val="auto"/>
          <w:szCs w:val="21"/>
          <w:highlight w:val="none"/>
          <w:u w:val="single"/>
        </w:rPr>
        <w:t>条款所列情形，且未按招标人要求补交投标保证金的。</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17.1             </w:t>
      </w:r>
      <w:r>
        <w:rPr>
          <w:rFonts w:hint="eastAsia" w:ascii="宋体" w:hAnsi="宋体" w:cs="宋体"/>
          <w:b/>
          <w:color w:val="auto"/>
          <w:szCs w:val="21"/>
          <w:highlight w:val="none"/>
        </w:rPr>
        <w:t>修改类型：修改</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17.1</w:t>
      </w:r>
      <w:r>
        <w:rPr>
          <w:rFonts w:hint="eastAsia" w:ascii="宋体" w:hAnsi="宋体" w:cs="宋体"/>
          <w:bCs/>
          <w:color w:val="auto"/>
          <w:szCs w:val="21"/>
          <w:highlight w:val="none"/>
        </w:rPr>
        <w:t>投标人应采用单位数字证书，按招标文件要求在相应位置加盖电子印章。投标文件中需个人签字或盖章的，应在线下完成后扫描上传。按照交易平台关于全流程电子化项目的相关指南进行操作。详见：</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pBdr>
          <w:bottom w:val="single" w:color="auto" w:sz="6" w:space="1"/>
        </w:pBdr>
        <w:spacing w:line="360" w:lineRule="auto"/>
        <w:ind w:firstLine="525" w:firstLineChars="250"/>
        <w:rPr>
          <w:rFonts w:ascii="宋体" w:cs="宋体"/>
          <w:color w:val="auto"/>
          <w:szCs w:val="21"/>
          <w:highlight w:val="none"/>
        </w:rPr>
      </w:pPr>
      <w:r>
        <w:rPr>
          <w:rFonts w:hint="eastAsia" w:ascii="宋体" w:hAnsi="宋体" w:cs="宋体"/>
          <w:b/>
          <w:color w:val="auto"/>
          <w:szCs w:val="21"/>
          <w:highlight w:val="none"/>
        </w:rPr>
        <w:t>现文：</w:t>
      </w:r>
      <w:r>
        <w:rPr>
          <w:rFonts w:ascii="宋体" w:hAnsi="宋体" w:cs="宋体"/>
          <w:b/>
          <w:color w:val="auto"/>
          <w:szCs w:val="21"/>
          <w:highlight w:val="none"/>
        </w:rPr>
        <w:t>17.1</w:t>
      </w:r>
      <w:r>
        <w:rPr>
          <w:rFonts w:hint="eastAsia" w:ascii="宋体" w:hAnsi="宋体" w:cs="宋体"/>
          <w:bCs/>
          <w:color w:val="auto"/>
          <w:szCs w:val="21"/>
          <w:highlight w:val="none"/>
        </w:rPr>
        <w:t>投标人应采用单位数字证书，按招标文件要求在相应位置加盖电子印章。投标文件中需个人签字或盖章的，</w:t>
      </w:r>
      <w:r>
        <w:rPr>
          <w:rFonts w:hint="eastAsia" w:ascii="宋体" w:hAnsi="宋体" w:cs="宋体"/>
          <w:bCs/>
          <w:color w:val="auto"/>
          <w:szCs w:val="21"/>
          <w:highlight w:val="none"/>
          <w:u w:val="single"/>
        </w:rPr>
        <w:t>应加盖电子印章或在线下完成后扫描上传</w:t>
      </w:r>
      <w:r>
        <w:rPr>
          <w:rFonts w:hint="eastAsia" w:ascii="宋体" w:hAnsi="宋体" w:cs="宋体"/>
          <w:bCs/>
          <w:color w:val="auto"/>
          <w:szCs w:val="21"/>
          <w:highlight w:val="none"/>
        </w:rPr>
        <w:t>。按照交易平台关于全流程电子化项目的相关指南进行操作。详见：</w:t>
      </w:r>
      <w:r>
        <w:rPr>
          <w:rFonts w:hint="eastAsia" w:ascii="宋体" w:hAnsi="宋体" w:cs="宋体"/>
          <w:b/>
          <w:bCs/>
          <w:color w:val="auto"/>
          <w:szCs w:val="21"/>
          <w:highlight w:val="none"/>
          <w:u w:val="single"/>
        </w:rPr>
        <w:t>广州交易集团有限公司（广州公共资源交易中心）网站(http:/ www.gzggzy.cn)服务指南栏目</w:t>
      </w:r>
      <w:r>
        <w:rPr>
          <w:rFonts w:hint="eastAsia" w:ascii="宋体" w:hAnsi="宋体" w:cs="宋体"/>
          <w:color w:val="auto"/>
          <w:szCs w:val="21"/>
          <w:highlight w:val="none"/>
        </w:rPr>
        <w:t>。</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18.1             </w:t>
      </w:r>
      <w:r>
        <w:rPr>
          <w:rFonts w:hint="eastAsia" w:ascii="宋体" w:hAnsi="宋体" w:cs="宋体"/>
          <w:b/>
          <w:color w:val="auto"/>
          <w:szCs w:val="21"/>
          <w:highlight w:val="none"/>
        </w:rPr>
        <w:t>修改类型：修改</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pBdr>
          <w:bottom w:val="single" w:color="auto" w:sz="6" w:space="1"/>
        </w:pBdr>
        <w:spacing w:line="360" w:lineRule="auto"/>
        <w:ind w:firstLine="420" w:firstLineChars="200"/>
        <w:jc w:val="left"/>
        <w:rPr>
          <w:rFonts w:ascii="宋体" w:cs="宋体"/>
          <w:b/>
          <w:color w:val="auto"/>
          <w:szCs w:val="21"/>
          <w:highlight w:val="none"/>
        </w:rPr>
      </w:pPr>
      <w:r>
        <w:rPr>
          <w:rFonts w:hint="eastAsia" w:ascii="宋体" w:hAnsi="宋体" w:cs="宋体"/>
          <w:b/>
          <w:color w:val="auto"/>
          <w:szCs w:val="21"/>
          <w:highlight w:val="none"/>
        </w:rPr>
        <w:t>现文：</w:t>
      </w:r>
      <w:r>
        <w:rPr>
          <w:rFonts w:ascii="宋体" w:hAnsi="宋体" w:cs="宋体"/>
          <w:b/>
          <w:color w:val="auto"/>
          <w:szCs w:val="21"/>
          <w:highlight w:val="none"/>
        </w:rPr>
        <w:t>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r>
        <w:rPr>
          <w:rFonts w:hint="eastAsia" w:ascii="宋体" w:hAnsi="宋体" w:cs="宋体"/>
          <w:b/>
          <w:bCs/>
          <w:color w:val="auto"/>
          <w:szCs w:val="21"/>
          <w:highlight w:val="none"/>
          <w:u w:val="single"/>
        </w:rPr>
        <w:t>广州交易集团有限公司（广州公共资源交易中心）网站(http:/ www.gzggzy.cn)服务指南栏目</w:t>
      </w:r>
      <w:r>
        <w:rPr>
          <w:rFonts w:hint="eastAsia" w:ascii="宋体" w:hAnsi="宋体" w:cs="宋体"/>
          <w:color w:val="auto"/>
          <w:szCs w:val="21"/>
          <w:highlight w:val="none"/>
        </w:rPr>
        <w:t>。</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18.2             </w:t>
      </w:r>
      <w:r>
        <w:rPr>
          <w:rFonts w:hint="eastAsia" w:ascii="宋体" w:hAnsi="宋体" w:cs="宋体"/>
          <w:b/>
          <w:color w:val="auto"/>
          <w:szCs w:val="21"/>
          <w:highlight w:val="none"/>
        </w:rPr>
        <w:t>修改类型：修改</w:t>
      </w:r>
    </w:p>
    <w:p>
      <w:pPr>
        <w:spacing w:line="360" w:lineRule="auto"/>
        <w:ind w:firstLine="420" w:firstLineChars="200"/>
        <w:rPr>
          <w:rFonts w:ascii="宋体" w:cs="宋体"/>
          <w:bCs/>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18.2</w:t>
      </w:r>
      <w:r>
        <w:rPr>
          <w:rFonts w:ascii="宋体" w:hAnsi="宋体" w:cs="宋体"/>
          <w:bCs/>
          <w:color w:val="auto"/>
          <w:szCs w:val="21"/>
          <w:highlight w:val="none"/>
        </w:rPr>
        <w:t xml:space="preserve"> </w:t>
      </w:r>
      <w:r>
        <w:rPr>
          <w:rFonts w:hint="eastAsia" w:ascii="宋体" w:hAnsi="宋体" w:cs="宋体"/>
          <w:bCs/>
          <w:color w:val="auto"/>
          <w:szCs w:val="21"/>
          <w:highlight w:val="none"/>
        </w:rPr>
        <w:t>未按要求加密的投标文件，</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交易平台将予以拒收。</w:t>
      </w:r>
    </w:p>
    <w:p>
      <w:pPr>
        <w:pBdr>
          <w:bottom w:val="single" w:color="auto" w:sz="6" w:space="1"/>
        </w:pBdr>
        <w:spacing w:line="360" w:lineRule="auto"/>
        <w:ind w:firstLine="420" w:firstLineChars="200"/>
        <w:jc w:val="left"/>
        <w:rPr>
          <w:rFonts w:ascii="宋体" w:cs="宋体"/>
          <w:color w:val="auto"/>
          <w:szCs w:val="21"/>
          <w:highlight w:val="none"/>
        </w:rPr>
      </w:pPr>
      <w:r>
        <w:rPr>
          <w:rFonts w:hint="eastAsia" w:ascii="宋体" w:hAnsi="宋体" w:cs="宋体"/>
          <w:b/>
          <w:color w:val="auto"/>
          <w:szCs w:val="21"/>
          <w:highlight w:val="none"/>
        </w:rPr>
        <w:t>现文：</w:t>
      </w:r>
      <w:r>
        <w:rPr>
          <w:rFonts w:ascii="宋体" w:hAnsi="宋体" w:cs="宋体"/>
          <w:b/>
          <w:color w:val="auto"/>
          <w:szCs w:val="21"/>
          <w:highlight w:val="none"/>
        </w:rPr>
        <w:t>18.2</w:t>
      </w:r>
      <w:r>
        <w:rPr>
          <w:rFonts w:ascii="宋体" w:hAnsi="宋体" w:cs="宋体"/>
          <w:bCs/>
          <w:color w:val="auto"/>
          <w:szCs w:val="21"/>
          <w:highlight w:val="none"/>
        </w:rPr>
        <w:t xml:space="preserve"> </w:t>
      </w:r>
      <w:r>
        <w:rPr>
          <w:rFonts w:hint="eastAsia" w:ascii="宋体" w:hAnsi="宋体" w:cs="宋体"/>
          <w:bCs/>
          <w:color w:val="auto"/>
          <w:szCs w:val="21"/>
          <w:highlight w:val="none"/>
        </w:rPr>
        <w:t>未按要求加密的投标文件，</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bCs/>
          <w:color w:val="auto"/>
          <w:szCs w:val="21"/>
          <w:highlight w:val="none"/>
        </w:rPr>
        <w:t>交易平台将予以拒收。</w:t>
      </w:r>
    </w:p>
    <w:p>
      <w:pPr>
        <w:spacing w:line="360" w:lineRule="auto"/>
        <w:ind w:firstLine="420" w:firstLineChars="200"/>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19               </w:t>
      </w:r>
      <w:r>
        <w:rPr>
          <w:rFonts w:hint="eastAsia" w:ascii="宋体" w:hAnsi="宋体" w:cs="宋体"/>
          <w:b/>
          <w:color w:val="auto"/>
          <w:szCs w:val="21"/>
          <w:highlight w:val="none"/>
        </w:rPr>
        <w:t>修改类型：修改</w:t>
      </w:r>
    </w:p>
    <w:p>
      <w:pPr>
        <w:spacing w:line="360" w:lineRule="auto"/>
        <w:ind w:firstLine="420" w:firstLineChars="200"/>
        <w:rPr>
          <w:rFonts w:asci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19</w:t>
      </w:r>
      <w:r>
        <w:rPr>
          <w:rFonts w:hint="eastAsia" w:ascii="宋体" w:hAnsi="宋体" w:cs="宋体"/>
          <w:color w:val="auto"/>
          <w:szCs w:val="21"/>
          <w:highlight w:val="none"/>
        </w:rPr>
        <w:t>．投标文件的递交和接收</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19.1</w:t>
      </w:r>
      <w:r>
        <w:rPr>
          <w:rFonts w:hint="eastAsia" w:ascii="宋体" w:hAnsi="宋体" w:cs="宋体"/>
          <w:color w:val="auto"/>
          <w:szCs w:val="21"/>
          <w:highlight w:val="none"/>
        </w:rPr>
        <w:t>投标人通过交易平台递交电子投标文件。</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19.2</w:t>
      </w:r>
      <w:r>
        <w:rPr>
          <w:rFonts w:hint="eastAsia" w:ascii="宋体" w:hAnsi="宋体" w:cs="宋体"/>
          <w:color w:val="auto"/>
          <w:szCs w:val="21"/>
          <w:highlight w:val="none"/>
        </w:rPr>
        <w:t>投标人完成电子投标文件上传后，交易平台即时向投标人发出递交回执通知。递交时间以递交回执通知载明的传输完成时间为准。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19.3</w:t>
      </w:r>
      <w:r>
        <w:rPr>
          <w:rFonts w:hint="eastAsia" w:ascii="宋体" w:hAnsi="宋体" w:cs="宋体"/>
          <w:color w:val="auto"/>
          <w:szCs w:val="21"/>
          <w:highlight w:val="none"/>
        </w:rPr>
        <w:t>逾期送达的电子投标文件，交易平台将予以拒收。</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19.4 </w:t>
      </w:r>
      <w:r>
        <w:rPr>
          <w:rFonts w:hint="eastAsia" w:ascii="宋体" w:hAnsi="宋体" w:cs="宋体"/>
          <w:color w:val="auto"/>
          <w:szCs w:val="21"/>
          <w:highlight w:val="none"/>
        </w:rPr>
        <w:t>投标截止前，招标人拒绝接收符合条件的投标文件，投标人可向招标投标监督机构投诉。</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19.5</w:t>
      </w:r>
      <w:r>
        <w:rPr>
          <w:rFonts w:hint="eastAsia" w:ascii="宋体" w:hAnsi="宋体" w:cs="宋体"/>
          <w:color w:val="auto"/>
          <w:szCs w:val="21"/>
          <w:highlight w:val="none"/>
        </w:rPr>
        <w:t>如技术标和经济标先后分别开启，交易平台将按招标文件规定的时间分别开启技术标和经济标。</w:t>
      </w:r>
    </w:p>
    <w:p>
      <w:pPr>
        <w:spacing w:line="360" w:lineRule="auto"/>
        <w:ind w:firstLine="420" w:firstLineChars="200"/>
        <w:rPr>
          <w:rFonts w:ascii="宋体" w:cs="宋体"/>
          <w:color w:val="auto"/>
          <w:szCs w:val="21"/>
          <w:highlight w:val="none"/>
        </w:rPr>
      </w:pPr>
      <w:r>
        <w:rPr>
          <w:rFonts w:hint="eastAsia" w:ascii="宋体" w:hAnsi="宋体" w:cs="宋体"/>
          <w:b/>
          <w:color w:val="auto"/>
          <w:szCs w:val="21"/>
          <w:highlight w:val="none"/>
        </w:rPr>
        <w:t>现文：</w:t>
      </w:r>
      <w:r>
        <w:rPr>
          <w:rFonts w:ascii="宋体" w:hAnsi="宋体" w:cs="宋体"/>
          <w:color w:val="auto"/>
          <w:szCs w:val="21"/>
          <w:highlight w:val="none"/>
        </w:rPr>
        <w:t>19</w:t>
      </w:r>
      <w:r>
        <w:rPr>
          <w:rFonts w:hint="eastAsia" w:ascii="宋体" w:hAnsi="宋体" w:cs="宋体"/>
          <w:color w:val="auto"/>
          <w:szCs w:val="21"/>
          <w:highlight w:val="none"/>
        </w:rPr>
        <w:t>．投标文件的递交和接收</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19.1</w:t>
      </w:r>
      <w:r>
        <w:rPr>
          <w:rFonts w:hint="eastAsia" w:ascii="宋体" w:hAnsi="宋体" w:cs="宋体"/>
          <w:color w:val="auto"/>
          <w:szCs w:val="21"/>
          <w:highlight w:val="none"/>
        </w:rPr>
        <w:t>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pPr>
        <w:pBdr>
          <w:bottom w:val="single" w:color="auto" w:sz="6" w:space="1"/>
        </w:pBdr>
        <w:spacing w:line="360" w:lineRule="auto"/>
        <w:ind w:firstLine="420" w:firstLineChars="200"/>
        <w:rPr>
          <w:rFonts w:ascii="宋体" w:cs="宋体"/>
          <w:color w:val="auto"/>
          <w:szCs w:val="21"/>
          <w:highlight w:val="none"/>
        </w:rPr>
      </w:pPr>
      <w:r>
        <w:rPr>
          <w:rFonts w:ascii="宋体" w:hAnsi="宋体" w:cs="宋体"/>
          <w:color w:val="auto"/>
          <w:szCs w:val="21"/>
          <w:highlight w:val="none"/>
        </w:rPr>
        <w:t>19.2</w:t>
      </w:r>
      <w:r>
        <w:rPr>
          <w:rFonts w:hint="eastAsia" w:ascii="宋体" w:hAnsi="宋体" w:cs="宋体"/>
          <w:color w:val="auto"/>
          <w:szCs w:val="21"/>
          <w:highlight w:val="none"/>
        </w:rPr>
        <w:t>投标人完成电子投标文件上传后，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pBdr>
          <w:bottom w:val="single" w:color="auto" w:sz="6" w:space="1"/>
        </w:pBdr>
        <w:spacing w:line="360" w:lineRule="auto"/>
        <w:ind w:firstLine="420" w:firstLineChars="200"/>
        <w:rPr>
          <w:rFonts w:ascii="宋体" w:cs="宋体"/>
          <w:color w:val="auto"/>
          <w:szCs w:val="21"/>
          <w:highlight w:val="none"/>
        </w:rPr>
      </w:pPr>
      <w:r>
        <w:rPr>
          <w:rFonts w:ascii="宋体" w:hAnsi="宋体" w:cs="宋体"/>
          <w:color w:val="auto"/>
          <w:szCs w:val="21"/>
          <w:highlight w:val="none"/>
        </w:rPr>
        <w:t>19.3</w:t>
      </w:r>
      <w:r>
        <w:rPr>
          <w:rFonts w:hint="eastAsia" w:ascii="宋体" w:hAnsi="宋体" w:cs="宋体"/>
          <w:color w:val="auto"/>
          <w:szCs w:val="21"/>
          <w:highlight w:val="none"/>
        </w:rPr>
        <w:t>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pBdr>
          <w:bottom w:val="single" w:color="auto" w:sz="6" w:space="1"/>
        </w:pBd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19.4 </w:t>
      </w:r>
      <w:r>
        <w:rPr>
          <w:rFonts w:hint="eastAsia" w:ascii="宋体" w:hAnsi="宋体" w:cs="宋体"/>
          <w:color w:val="auto"/>
          <w:szCs w:val="21"/>
          <w:highlight w:val="none"/>
        </w:rPr>
        <w:t>投标截止前，招标人拒绝接收符合条件的投标文件，投标人可向招标投标监督机构投诉。</w:t>
      </w:r>
    </w:p>
    <w:p>
      <w:pPr>
        <w:spacing w:line="360" w:lineRule="auto"/>
        <w:ind w:firstLine="420" w:firstLineChars="200"/>
        <w:rPr>
          <w:rFonts w:asci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21.1                       </w:t>
      </w:r>
      <w:r>
        <w:rPr>
          <w:rFonts w:hint="eastAsia" w:ascii="宋体" w:hAnsi="宋体"/>
          <w:b/>
          <w:color w:val="auto"/>
          <w:szCs w:val="21"/>
          <w:highlight w:val="none"/>
        </w:rPr>
        <w:t>修改类型：修改</w:t>
      </w:r>
    </w:p>
    <w:p>
      <w:pPr>
        <w:pBdr>
          <w:bottom w:val="single" w:color="auto" w:sz="6" w:space="1"/>
        </w:pBdr>
        <w:spacing w:line="360" w:lineRule="auto"/>
        <w:ind w:firstLine="420" w:firstLineChars="200"/>
        <w:rPr>
          <w:rFonts w:asci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21.1 </w:t>
      </w:r>
      <w:r>
        <w:rPr>
          <w:rFonts w:hint="eastAsia" w:ascii="宋体" w:hAnsi="宋体"/>
          <w:color w:val="auto"/>
          <w:szCs w:val="21"/>
          <w:highlight w:val="none"/>
        </w:rPr>
        <w:t>本须知前附表第</w:t>
      </w:r>
      <w:r>
        <w:rPr>
          <w:rFonts w:ascii="宋体" w:hAnsi="宋体"/>
          <w:color w:val="auto"/>
          <w:szCs w:val="21"/>
          <w:highlight w:val="none"/>
        </w:rPr>
        <w:t>17</w:t>
      </w:r>
      <w:r>
        <w:rPr>
          <w:rFonts w:hint="eastAsia" w:ascii="宋体" w:hAnsi="宋体"/>
          <w:color w:val="auto"/>
          <w:szCs w:val="21"/>
          <w:highlight w:val="none"/>
        </w:rPr>
        <w:t>项规定的投标截止时间后送达的电子投标文件，交易平台将予以拒收。</w:t>
      </w:r>
    </w:p>
    <w:p>
      <w:pPr>
        <w:pBdr>
          <w:bottom w:val="single" w:color="auto" w:sz="6" w:space="1"/>
        </w:pBdr>
        <w:spacing w:line="360" w:lineRule="auto"/>
        <w:ind w:firstLine="420" w:firstLineChars="200"/>
        <w:rPr>
          <w:rFonts w:asci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21.1 </w:t>
      </w:r>
      <w:r>
        <w:rPr>
          <w:rFonts w:hint="eastAsia" w:ascii="宋体" w:hAnsi="宋体"/>
          <w:color w:val="auto"/>
          <w:szCs w:val="21"/>
          <w:highlight w:val="none"/>
        </w:rPr>
        <w:t>本须知前附表第</w:t>
      </w:r>
      <w:r>
        <w:rPr>
          <w:rFonts w:ascii="宋体" w:hAnsi="宋体"/>
          <w:color w:val="auto"/>
          <w:szCs w:val="21"/>
          <w:highlight w:val="none"/>
        </w:rPr>
        <w:t>17</w:t>
      </w:r>
      <w:r>
        <w:rPr>
          <w:rFonts w:hint="eastAsia" w:ascii="宋体" w:hAnsi="宋体"/>
          <w:color w:val="auto"/>
          <w:szCs w:val="21"/>
          <w:highlight w:val="none"/>
        </w:rPr>
        <w:t>项规定的投标截止时间后送达的电子投标文件，</w:t>
      </w:r>
      <w:r>
        <w:rPr>
          <w:rFonts w:hint="eastAsia"/>
          <w:color w:val="auto"/>
          <w:szCs w:val="21"/>
          <w:highlight w:val="none"/>
          <w:u w:val="single"/>
        </w:rPr>
        <w:t>广州交易集团有限公司（广州公共资源交易中心）</w:t>
      </w:r>
      <w:r>
        <w:rPr>
          <w:rFonts w:hint="eastAsia" w:ascii="宋体" w:hAnsi="宋体"/>
          <w:color w:val="auto"/>
          <w:szCs w:val="21"/>
          <w:highlight w:val="none"/>
        </w:rPr>
        <w:t>交易平台将予以拒收。</w:t>
      </w:r>
    </w:p>
    <w:p>
      <w:pPr>
        <w:spacing w:line="360" w:lineRule="auto"/>
        <w:ind w:firstLine="420" w:firstLineChars="200"/>
        <w:rPr>
          <w:rFonts w:ascii="宋体"/>
          <w:b/>
          <w:color w:val="auto"/>
          <w:szCs w:val="21"/>
          <w:highlight w:val="none"/>
        </w:rPr>
      </w:pPr>
    </w:p>
    <w:p>
      <w:pPr>
        <w:spacing w:line="360" w:lineRule="auto"/>
        <w:ind w:firstLine="420" w:firstLineChars="200"/>
        <w:rPr>
          <w:rFonts w:asci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27                         </w:t>
      </w:r>
      <w:r>
        <w:rPr>
          <w:rFonts w:hint="eastAsia" w:ascii="宋体" w:hAnsi="宋体"/>
          <w:b/>
          <w:color w:val="auto"/>
          <w:szCs w:val="21"/>
          <w:highlight w:val="none"/>
        </w:rPr>
        <w:t>修改类型：修改</w:t>
      </w:r>
    </w:p>
    <w:p>
      <w:pPr>
        <w:pBdr>
          <w:bottom w:val="single" w:color="auto" w:sz="6" w:space="1"/>
        </w:pBdr>
        <w:spacing w:line="360" w:lineRule="auto"/>
        <w:ind w:firstLine="420" w:firstLineChars="200"/>
        <w:rPr>
          <w:rFonts w:asci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27</w:t>
      </w:r>
      <w:r>
        <w:rPr>
          <w:rFonts w:hint="eastAsia" w:ascii="宋体" w:hAnsi="宋体"/>
          <w:color w:val="auto"/>
          <w:szCs w:val="21"/>
          <w:highlight w:val="none"/>
        </w:rPr>
        <w:t>．中标通知书</w:t>
      </w:r>
    </w:p>
    <w:p>
      <w:pPr>
        <w:pBdr>
          <w:bottom w:val="single" w:color="auto" w:sz="6" w:space="1"/>
        </w:pBdr>
        <w:spacing w:line="360" w:lineRule="auto"/>
        <w:ind w:firstLine="420" w:firstLineChars="200"/>
        <w:rPr>
          <w:rFonts w:ascii="宋体"/>
          <w:color w:val="auto"/>
          <w:szCs w:val="21"/>
          <w:highlight w:val="none"/>
        </w:rPr>
      </w:pPr>
      <w:r>
        <w:rPr>
          <w:rFonts w:ascii="宋体" w:hAnsi="宋体"/>
          <w:color w:val="auto"/>
          <w:szCs w:val="21"/>
          <w:highlight w:val="none"/>
        </w:rPr>
        <w:t>27.1</w:t>
      </w:r>
      <w:r>
        <w:rPr>
          <w:rFonts w:hint="eastAsia" w:ascii="宋体" w:hAnsi="宋体"/>
          <w:color w:val="auto"/>
          <w:szCs w:val="21"/>
          <w:highlight w:val="none"/>
        </w:rPr>
        <w:t>招标人将在</w:t>
      </w:r>
      <w:r>
        <w:rPr>
          <w:rFonts w:hint="eastAsia" w:ascii="宋体" w:hAnsi="宋体" w:cs="宋体"/>
          <w:color w:val="auto"/>
          <w:sz w:val="24"/>
          <w:szCs w:val="24"/>
          <w:highlight w:val="none"/>
          <w:u w:val="single"/>
        </w:rPr>
        <w:t xml:space="preserve">        </w:t>
      </w:r>
      <w:r>
        <w:rPr>
          <w:rFonts w:hint="eastAsia" w:ascii="宋体" w:hAnsi="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420" w:firstLineChars="200"/>
        <w:rPr>
          <w:rFonts w:ascii="宋体"/>
          <w:color w:val="auto"/>
          <w:szCs w:val="21"/>
          <w:highlight w:val="none"/>
        </w:rPr>
      </w:pPr>
      <w:r>
        <w:rPr>
          <w:rFonts w:ascii="宋体" w:hAnsi="宋体"/>
          <w:color w:val="auto"/>
          <w:szCs w:val="21"/>
          <w:highlight w:val="none"/>
        </w:rPr>
        <w:t>27.2</w:t>
      </w:r>
      <w:r>
        <w:rPr>
          <w:rFonts w:hint="eastAsia" w:ascii="宋体" w:hAnsi="宋体"/>
          <w:color w:val="auto"/>
          <w:szCs w:val="21"/>
          <w:highlight w:val="none"/>
        </w:rPr>
        <w:t>招标人应当自确定中标人后，向招标投标监管机构提交招标投标情况的书面报告；经招投标监管机构备案后，方可发出中标通知书。</w:t>
      </w:r>
    </w:p>
    <w:p>
      <w:pPr>
        <w:pBdr>
          <w:bottom w:val="single" w:color="auto" w:sz="6" w:space="1"/>
        </w:pBdr>
        <w:spacing w:line="360" w:lineRule="auto"/>
        <w:ind w:firstLine="420" w:firstLineChars="200"/>
        <w:rPr>
          <w:rFonts w:ascii="宋体"/>
          <w:color w:val="auto"/>
          <w:szCs w:val="21"/>
          <w:highlight w:val="none"/>
        </w:rPr>
      </w:pPr>
      <w:r>
        <w:rPr>
          <w:rFonts w:ascii="宋体" w:hAnsi="宋体"/>
          <w:color w:val="auto"/>
          <w:szCs w:val="21"/>
          <w:highlight w:val="none"/>
        </w:rPr>
        <w:t>27.3</w:t>
      </w:r>
      <w:r>
        <w:rPr>
          <w:rFonts w:hint="eastAsia" w:ascii="宋体" w:hAnsi="宋体"/>
          <w:color w:val="auto"/>
          <w:szCs w:val="21"/>
          <w:highlight w:val="none"/>
        </w:rPr>
        <w:t>中标人必须在收到中标通知书后</w:t>
      </w:r>
      <w:r>
        <w:rPr>
          <w:rFonts w:ascii="宋体" w:hAnsi="宋体"/>
          <w:color w:val="auto"/>
          <w:szCs w:val="21"/>
          <w:highlight w:val="none"/>
        </w:rPr>
        <w:t>24</w:t>
      </w:r>
      <w:r>
        <w:rPr>
          <w:rFonts w:hint="eastAsia" w:ascii="宋体" w:hAnsi="宋体"/>
          <w:color w:val="auto"/>
          <w:szCs w:val="21"/>
          <w:highlight w:val="none"/>
        </w:rPr>
        <w:t>小时之内以书面形式回复招标人，确认收到。</w:t>
      </w:r>
    </w:p>
    <w:p>
      <w:pPr>
        <w:pBdr>
          <w:bottom w:val="single" w:color="auto" w:sz="6" w:space="1"/>
        </w:pBdr>
        <w:spacing w:line="360" w:lineRule="auto"/>
        <w:ind w:firstLine="420" w:firstLineChars="200"/>
        <w:rPr>
          <w:rFonts w:ascii="宋体"/>
          <w:color w:val="auto"/>
          <w:szCs w:val="21"/>
          <w:highlight w:val="none"/>
        </w:rPr>
      </w:pPr>
      <w:r>
        <w:rPr>
          <w:rFonts w:ascii="宋体" w:hAnsi="宋体"/>
          <w:color w:val="auto"/>
          <w:szCs w:val="21"/>
          <w:highlight w:val="none"/>
        </w:rPr>
        <w:t>27.4</w:t>
      </w:r>
      <w:r>
        <w:rPr>
          <w:rFonts w:hint="eastAsia" w:ascii="宋体" w:hAnsi="宋体"/>
          <w:color w:val="auto"/>
          <w:szCs w:val="21"/>
          <w:highlight w:val="none"/>
        </w:rPr>
        <w:t>在产生中标候选人后，招标人将中标候选人的投标文件商务部分文件的所有内容（包括人员、业绩、奖项等资料）在</w:t>
      </w:r>
      <w:r>
        <w:rPr>
          <w:rFonts w:hint="eastAsia" w:ascii="宋体" w:hAnsi="宋体" w:cs="宋体"/>
          <w:color w:val="auto"/>
          <w:sz w:val="24"/>
          <w:szCs w:val="24"/>
          <w:highlight w:val="none"/>
          <w:u w:val="single"/>
        </w:rPr>
        <w:t xml:space="preserve">        </w:t>
      </w:r>
      <w:r>
        <w:rPr>
          <w:rFonts w:hint="eastAsia" w:ascii="宋体" w:hAnsi="宋体"/>
          <w:color w:val="auto"/>
          <w:szCs w:val="21"/>
          <w:highlight w:val="none"/>
        </w:rPr>
        <w:t>交易平台和广东省招标投标监管网公开。</w:t>
      </w:r>
    </w:p>
    <w:p>
      <w:pPr>
        <w:pBdr>
          <w:bottom w:val="single" w:color="auto" w:sz="6" w:space="1"/>
        </w:pBdr>
        <w:spacing w:line="360" w:lineRule="auto"/>
        <w:ind w:firstLine="420" w:firstLineChars="200"/>
        <w:rPr>
          <w:rFonts w:asci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27</w:t>
      </w:r>
      <w:r>
        <w:rPr>
          <w:rFonts w:hint="eastAsia" w:ascii="宋体" w:hAnsi="宋体"/>
          <w:color w:val="auto"/>
          <w:szCs w:val="21"/>
          <w:highlight w:val="none"/>
        </w:rPr>
        <w:t>．中标通知书</w:t>
      </w:r>
    </w:p>
    <w:p>
      <w:pPr>
        <w:pBdr>
          <w:bottom w:val="single" w:color="auto" w:sz="6" w:space="1"/>
        </w:pBdr>
        <w:spacing w:line="360" w:lineRule="auto"/>
        <w:ind w:firstLine="420" w:firstLineChars="200"/>
        <w:rPr>
          <w:rFonts w:ascii="宋体"/>
          <w:color w:val="auto"/>
          <w:szCs w:val="21"/>
          <w:highlight w:val="none"/>
          <w:u w:val="single"/>
        </w:rPr>
      </w:pPr>
      <w:r>
        <w:rPr>
          <w:rFonts w:ascii="宋体" w:hAnsi="宋体"/>
          <w:color w:val="auto"/>
          <w:szCs w:val="21"/>
          <w:highlight w:val="none"/>
        </w:rPr>
        <w:t>27.1</w:t>
      </w:r>
      <w:r>
        <w:rPr>
          <w:rFonts w:hint="eastAsia" w:ascii="宋体" w:hAnsi="宋体"/>
          <w:color w:val="auto"/>
          <w:szCs w:val="21"/>
          <w:highlight w:val="none"/>
        </w:rPr>
        <w:t>招标人将在</w:t>
      </w:r>
      <w:r>
        <w:rPr>
          <w:rFonts w:hint="eastAsia"/>
          <w:color w:val="auto"/>
          <w:szCs w:val="21"/>
          <w:highlight w:val="none"/>
          <w:u w:val="single"/>
        </w:rPr>
        <w:t>广州交易集团有限公司（广州公共资源交易中心）</w:t>
      </w:r>
      <w:r>
        <w:rPr>
          <w:rFonts w:hint="eastAsia" w:ascii="宋体" w:hAnsi="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420" w:firstLineChars="200"/>
        <w:rPr>
          <w:rFonts w:ascii="宋体"/>
          <w:color w:val="auto"/>
          <w:szCs w:val="21"/>
          <w:highlight w:val="none"/>
        </w:rPr>
      </w:pPr>
      <w:r>
        <w:rPr>
          <w:rFonts w:ascii="宋体" w:hAnsi="宋体"/>
          <w:color w:val="auto"/>
          <w:szCs w:val="21"/>
          <w:highlight w:val="none"/>
        </w:rPr>
        <w:t>27.2</w:t>
      </w:r>
      <w:r>
        <w:rPr>
          <w:rFonts w:hint="eastAsia" w:ascii="宋体" w:hAnsi="宋体"/>
          <w:color w:val="auto"/>
          <w:szCs w:val="21"/>
          <w:highlight w:val="none"/>
        </w:rPr>
        <w:t>招标人应当自确定中标人后，向招标投标监管机构提交招标投标情况的书面报告；经招投标监管机构备案后，方可发出中标通知书。</w:t>
      </w:r>
    </w:p>
    <w:p>
      <w:pPr>
        <w:pBdr>
          <w:bottom w:val="single" w:color="auto" w:sz="6" w:space="1"/>
        </w:pBdr>
        <w:spacing w:line="360" w:lineRule="auto"/>
        <w:ind w:firstLine="420" w:firstLineChars="200"/>
        <w:rPr>
          <w:rFonts w:ascii="宋体"/>
          <w:color w:val="auto"/>
          <w:szCs w:val="21"/>
          <w:highlight w:val="none"/>
        </w:rPr>
      </w:pPr>
      <w:r>
        <w:rPr>
          <w:rFonts w:ascii="宋体" w:hAnsi="宋体"/>
          <w:color w:val="auto"/>
          <w:szCs w:val="21"/>
          <w:highlight w:val="none"/>
        </w:rPr>
        <w:t>27.3</w:t>
      </w:r>
      <w:r>
        <w:rPr>
          <w:rFonts w:hint="eastAsia" w:ascii="宋体" w:hAnsi="宋体"/>
          <w:color w:val="auto"/>
          <w:szCs w:val="21"/>
          <w:highlight w:val="none"/>
          <w:u w:val="single"/>
        </w:rPr>
        <w:t>中标人自行于广州交易集团有限公司（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r>
        <w:rPr>
          <w:rFonts w:hint="eastAsia" w:ascii="宋体" w:hAnsi="宋体"/>
          <w:color w:val="auto"/>
          <w:szCs w:val="21"/>
          <w:highlight w:val="none"/>
        </w:rPr>
        <w:t>。</w:t>
      </w:r>
    </w:p>
    <w:p>
      <w:pPr>
        <w:pBdr>
          <w:bottom w:val="single" w:color="auto" w:sz="6" w:space="1"/>
        </w:pBdr>
        <w:spacing w:line="360" w:lineRule="auto"/>
        <w:ind w:firstLine="420" w:firstLineChars="200"/>
        <w:rPr>
          <w:rFonts w:ascii="宋体"/>
          <w:color w:val="auto"/>
          <w:szCs w:val="21"/>
          <w:highlight w:val="none"/>
        </w:rPr>
      </w:pPr>
      <w:r>
        <w:rPr>
          <w:rFonts w:ascii="宋体" w:hAnsi="宋体"/>
          <w:color w:val="auto"/>
          <w:szCs w:val="21"/>
          <w:highlight w:val="none"/>
        </w:rPr>
        <w:t>27.4</w:t>
      </w:r>
      <w:r>
        <w:rPr>
          <w:rFonts w:hint="eastAsia" w:ascii="宋体" w:hAnsi="宋体"/>
          <w:color w:val="auto"/>
          <w:szCs w:val="21"/>
          <w:highlight w:val="none"/>
        </w:rPr>
        <w:t>在产生中标候选人后，招标人将中标候选人的投标文件商务部分文件的人员、业绩、奖项等资料在</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交易平台和广东省招标投标监管网公开。</w:t>
      </w:r>
      <w:r>
        <w:rPr>
          <w:rFonts w:hint="eastAsia" w:ascii="宋体" w:hAnsi="宋体"/>
          <w:color w:val="auto"/>
          <w:szCs w:val="21"/>
          <w:highlight w:val="none"/>
          <w:u w:val="single"/>
        </w:rPr>
        <w:t>在公示前若发现第一中标候选人委派的项目负责人在其他在建项目中任职，已被广东省建筑市场监管公共服务平台锁定的，其中标候选人资格将会被取消，招标人可以确定排名第二的中标候选人补上；若第二中标候选人出现上述情形的，取消其中标候选人资格，招标人可以确定排名第三的中标候选人补上；若第三中标候选人出现上述情形的，本次招标失败，招标人依法重新招标</w:t>
      </w:r>
      <w:r>
        <w:rPr>
          <w:rFonts w:hint="eastAsia" w:ascii="宋体" w:hAnsi="宋体"/>
          <w:color w:val="auto"/>
          <w:szCs w:val="21"/>
          <w:highlight w:val="none"/>
        </w:rPr>
        <w:t>。。</w:t>
      </w:r>
    </w:p>
    <w:p>
      <w:pPr>
        <w:pBdr>
          <w:bottom w:val="single" w:color="auto" w:sz="6" w:space="1"/>
        </w:pBdr>
        <w:spacing w:line="360" w:lineRule="auto"/>
        <w:ind w:firstLine="420" w:firstLineChars="200"/>
        <w:rPr>
          <w:rFonts w:ascii="宋体"/>
          <w:color w:val="auto"/>
          <w:szCs w:val="21"/>
          <w:highlight w:val="none"/>
          <w:u w:val="single"/>
        </w:rPr>
      </w:pPr>
      <w:r>
        <w:rPr>
          <w:rFonts w:ascii="宋体" w:hAnsi="宋体"/>
          <w:color w:val="auto"/>
          <w:szCs w:val="21"/>
          <w:highlight w:val="none"/>
          <w:u w:val="single"/>
        </w:rPr>
        <w:t>27.5</w:t>
      </w:r>
      <w:r>
        <w:rPr>
          <w:rFonts w:hint="eastAsia" w:ascii="宋体" w:hAnsi="宋体"/>
          <w:color w:val="auto"/>
          <w:szCs w:val="21"/>
          <w:highlight w:val="none"/>
          <w:u w:val="single"/>
        </w:rPr>
        <w:t>中标人在签订合同前需向招标人另行提供与投标递交的电子标书一致的纸质投标文件（含投标人须知</w:t>
      </w:r>
      <w:r>
        <w:rPr>
          <w:rFonts w:ascii="宋体" w:hAnsi="宋体"/>
          <w:color w:val="auto"/>
          <w:szCs w:val="21"/>
          <w:highlight w:val="none"/>
          <w:u w:val="single"/>
        </w:rPr>
        <w:t>11.3</w:t>
      </w:r>
      <w:r>
        <w:rPr>
          <w:rFonts w:hint="eastAsia" w:ascii="宋体" w:hAnsi="宋体"/>
          <w:color w:val="auto"/>
          <w:szCs w:val="21"/>
          <w:highlight w:val="none"/>
          <w:u w:val="single"/>
        </w:rPr>
        <w:t>列表明细包含的所有工程量清单报价表）</w:t>
      </w:r>
      <w:r>
        <w:rPr>
          <w:rFonts w:ascii="宋体" w:hAnsi="宋体"/>
          <w:color w:val="auto"/>
          <w:szCs w:val="21"/>
          <w:highlight w:val="none"/>
          <w:u w:val="single"/>
        </w:rPr>
        <w:t>2</w:t>
      </w:r>
      <w:r>
        <w:rPr>
          <w:rFonts w:hint="eastAsia" w:ascii="宋体" w:hAnsi="宋体"/>
          <w:color w:val="auto"/>
          <w:szCs w:val="21"/>
          <w:highlight w:val="none"/>
          <w:u w:val="single"/>
        </w:rPr>
        <w:t>份及电子文件</w:t>
      </w:r>
      <w:r>
        <w:rPr>
          <w:rFonts w:ascii="宋体" w:hAnsi="宋体"/>
          <w:color w:val="auto"/>
          <w:szCs w:val="21"/>
          <w:highlight w:val="none"/>
          <w:u w:val="single"/>
        </w:rPr>
        <w:t>1</w:t>
      </w:r>
      <w:r>
        <w:rPr>
          <w:rFonts w:hint="eastAsia" w:ascii="宋体" w:hAnsi="宋体"/>
          <w:color w:val="auto"/>
          <w:szCs w:val="21"/>
          <w:highlight w:val="none"/>
          <w:u w:val="single"/>
        </w:rPr>
        <w:t>份（不用生成投标书；包括用</w:t>
      </w:r>
      <w:r>
        <w:rPr>
          <w:rFonts w:ascii="宋体" w:hAnsi="宋体"/>
          <w:color w:val="auto"/>
          <w:szCs w:val="21"/>
          <w:highlight w:val="none"/>
          <w:u w:val="single"/>
        </w:rPr>
        <w:t xml:space="preserve">Microsoft Excel </w:t>
      </w:r>
      <w:r>
        <w:rPr>
          <w:rFonts w:hint="eastAsia" w:ascii="宋体" w:hAnsi="宋体"/>
          <w:color w:val="auto"/>
          <w:szCs w:val="21"/>
          <w:highlight w:val="none"/>
          <w:u w:val="single"/>
        </w:rPr>
        <w:t>软件或广州交易集团有限公司（广州公共资源交易中心）提供的投标书制作软件制作的工程量清单报价表和单价分析表，用</w:t>
      </w:r>
      <w:r>
        <w:rPr>
          <w:rFonts w:ascii="宋体" w:hAnsi="宋体"/>
          <w:color w:val="auto"/>
          <w:szCs w:val="21"/>
          <w:highlight w:val="none"/>
          <w:u w:val="single"/>
        </w:rPr>
        <w:t xml:space="preserve"> Microsoft Word </w:t>
      </w:r>
      <w:r>
        <w:rPr>
          <w:rFonts w:hint="eastAsia" w:ascii="宋体" w:hAnsi="宋体"/>
          <w:color w:val="auto"/>
          <w:szCs w:val="21"/>
          <w:highlight w:val="none"/>
          <w:u w:val="single"/>
        </w:rPr>
        <w:t>软件或广州交易集团有限公司（广州公共资源交易中心）提供的投标书制作软件制作的经济投标文件其他部分。电子文件介质使用</w:t>
      </w:r>
      <w:r>
        <w:rPr>
          <w:rFonts w:ascii="宋体" w:hAnsi="宋体"/>
          <w:color w:val="auto"/>
          <w:szCs w:val="21"/>
          <w:highlight w:val="none"/>
          <w:u w:val="single"/>
        </w:rPr>
        <w:t xml:space="preserve">CD-R </w:t>
      </w:r>
      <w:r>
        <w:rPr>
          <w:rFonts w:hint="eastAsia" w:ascii="宋体" w:hAnsi="宋体"/>
          <w:color w:val="auto"/>
          <w:szCs w:val="21"/>
          <w:highlight w:val="none"/>
          <w:u w:val="single"/>
        </w:rPr>
        <w:t>光盘，所有电子文件不能采用压缩处理）。</w:t>
      </w:r>
    </w:p>
    <w:p>
      <w:pPr>
        <w:spacing w:line="360" w:lineRule="auto"/>
        <w:ind w:firstLine="420" w:firstLineChars="200"/>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28.4                       </w:t>
      </w:r>
      <w:r>
        <w:rPr>
          <w:rFonts w:hint="eastAsia" w:ascii="宋体" w:hAnsi="宋体" w:cs="宋体"/>
          <w:b/>
          <w:color w:val="auto"/>
          <w:szCs w:val="21"/>
          <w:highlight w:val="none"/>
        </w:rPr>
        <w:t>修改类型：修改</w:t>
      </w:r>
    </w:p>
    <w:p>
      <w:pPr>
        <w:spacing w:line="360" w:lineRule="auto"/>
        <w:ind w:firstLine="420" w:firstLineChars="200"/>
        <w:rPr>
          <w:rFonts w:asci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28.4</w:t>
      </w:r>
      <w:r>
        <w:rPr>
          <w:rFonts w:hint="eastAsia" w:ascii="宋体" w:hAnsi="宋体" w:cs="宋体"/>
          <w:color w:val="auto"/>
          <w:szCs w:val="21"/>
          <w:highlight w:val="none"/>
        </w:rPr>
        <w:t>招标人支付工程款时，中标人应提供工程所在地发票。</w:t>
      </w:r>
    </w:p>
    <w:p>
      <w:pPr>
        <w:pBdr>
          <w:bottom w:val="single" w:color="auto" w:sz="6" w:space="1"/>
        </w:pBdr>
        <w:spacing w:line="360" w:lineRule="auto"/>
        <w:ind w:firstLine="420" w:firstLineChars="200"/>
        <w:rPr>
          <w:rFonts w:ascii="宋体" w:cs="宋体"/>
          <w:bCs/>
          <w:color w:val="auto"/>
          <w:szCs w:val="21"/>
          <w:highlight w:val="none"/>
        </w:rPr>
      </w:pPr>
      <w:r>
        <w:rPr>
          <w:rFonts w:hint="eastAsia" w:ascii="宋体" w:hAnsi="宋体" w:cs="宋体"/>
          <w:b/>
          <w:color w:val="auto"/>
          <w:szCs w:val="21"/>
          <w:highlight w:val="none"/>
        </w:rPr>
        <w:t>现文：</w:t>
      </w:r>
      <w:r>
        <w:rPr>
          <w:rFonts w:ascii="宋体" w:hAnsi="宋体" w:cs="宋体"/>
          <w:bCs/>
          <w:color w:val="auto"/>
          <w:szCs w:val="21"/>
          <w:highlight w:val="none"/>
        </w:rPr>
        <w:t>28.4</w:t>
      </w:r>
      <w:r>
        <w:rPr>
          <w:rFonts w:hint="eastAsia" w:ascii="宋体" w:hAnsi="宋体" w:cs="宋体"/>
          <w:bCs/>
          <w:color w:val="auto"/>
          <w:szCs w:val="21"/>
          <w:highlight w:val="none"/>
        </w:rPr>
        <w:t>招标人支付工程款时，中标人应提供</w:t>
      </w:r>
      <w:r>
        <w:rPr>
          <w:rFonts w:hint="eastAsia" w:ascii="宋体" w:hAnsi="宋体" w:cs="宋体"/>
          <w:bCs/>
          <w:color w:val="auto"/>
          <w:szCs w:val="21"/>
          <w:highlight w:val="none"/>
          <w:u w:val="single"/>
        </w:rPr>
        <w:t>符合国家税务相关部门要求的</w:t>
      </w:r>
      <w:r>
        <w:rPr>
          <w:rFonts w:hint="eastAsia" w:ascii="宋体" w:hAnsi="宋体" w:cs="宋体"/>
          <w:bCs/>
          <w:color w:val="auto"/>
          <w:szCs w:val="21"/>
          <w:highlight w:val="none"/>
        </w:rPr>
        <w:t>发票。</w:t>
      </w:r>
    </w:p>
    <w:p>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条款号：29.2                 修改类型：修改</w:t>
      </w:r>
    </w:p>
    <w:p>
      <w:pPr>
        <w:spacing w:line="360" w:lineRule="auto"/>
        <w:ind w:firstLine="420"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0" w:firstLineChars="200"/>
        <w:rPr>
          <w:rFonts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29.2中标通知书发出之日起15日后，中标人未按上款的规定提交履约担保，招标人有权解除中标通知书，原中标人的投标保证金不予退还，且依法承担相应法律责任。原中标人给招标人造成的损失超过投标保证金数额的，还应当对超过部分予以赔偿。原中标人有异议的，可以向人民法院起诉。</w:t>
      </w:r>
    </w:p>
    <w:p>
      <w:pPr>
        <w:adjustRightInd w:val="0"/>
        <w:spacing w:line="360" w:lineRule="auto"/>
        <w:textAlignment w:val="baseline"/>
        <w:rPr>
          <w:rFonts w:ascii="宋体" w:hAnsi="宋体" w:cs="宋体"/>
          <w:b/>
          <w:strike/>
          <w:color w:val="auto"/>
          <w:szCs w:val="21"/>
          <w:highlight w:val="none"/>
        </w:rPr>
      </w:pPr>
      <w:r>
        <w:rPr>
          <w:rFonts w:hint="eastAsia" w:ascii="宋体" w:hAnsi="宋体" w:cs="宋体"/>
          <w:b/>
          <w:strike/>
          <w:color w:val="auto"/>
          <w:szCs w:val="21"/>
          <w:highlight w:val="none"/>
        </w:rPr>
        <w:t xml:space="preserve">                                                                                      </w:t>
      </w:r>
    </w:p>
    <w:p>
      <w:pPr>
        <w:adjustRightInd w:val="0"/>
        <w:spacing w:line="360" w:lineRule="auto"/>
        <w:ind w:firstLine="470" w:firstLineChars="224"/>
        <w:textAlignment w:val="baseline"/>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30.1                      </w:t>
      </w:r>
      <w:r>
        <w:rPr>
          <w:rFonts w:hint="eastAsia" w:ascii="宋体" w:hAnsi="宋体" w:cs="宋体"/>
          <w:b/>
          <w:color w:val="auto"/>
          <w:szCs w:val="21"/>
          <w:highlight w:val="none"/>
        </w:rPr>
        <w:t>修改类型：修改</w:t>
      </w:r>
    </w:p>
    <w:p>
      <w:pPr>
        <w:adjustRightInd w:val="0"/>
        <w:spacing w:line="360" w:lineRule="auto"/>
        <w:ind w:firstLine="470" w:firstLineChars="224"/>
        <w:textAlignment w:val="baseline"/>
        <w:rPr>
          <w:rFonts w:ascii="宋体" w:cs="宋体"/>
          <w:b/>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30.1</w:t>
      </w:r>
      <w:r>
        <w:rPr>
          <w:rFonts w:hint="eastAsia" w:ascii="宋体" w:hAnsi="宋体" w:cs="宋体"/>
          <w:color w:val="auto"/>
          <w:szCs w:val="21"/>
          <w:highlight w:val="none"/>
        </w:rPr>
        <w:t>在合同双方全权代表在合同协议书上签字，并分别加盖双方单位的公章后，合同正式生效。</w:t>
      </w:r>
    </w:p>
    <w:p>
      <w:pPr>
        <w:pBdr>
          <w:bottom w:val="single" w:color="auto" w:sz="6" w:space="1"/>
        </w:pBdr>
        <w:adjustRightInd w:val="0"/>
        <w:spacing w:line="360" w:lineRule="auto"/>
        <w:ind w:firstLine="422" w:firstLineChars="201"/>
        <w:textAlignment w:val="baseline"/>
        <w:rPr>
          <w:rFonts w:ascii="宋体" w:hAnsi="宋体" w:cs="宋体"/>
          <w:color w:val="auto"/>
          <w:szCs w:val="21"/>
          <w:highlight w:val="none"/>
          <w:u w:val="single"/>
        </w:rPr>
      </w:pPr>
      <w:r>
        <w:rPr>
          <w:rFonts w:hint="eastAsia" w:ascii="宋体" w:hAnsi="宋体" w:cs="宋体"/>
          <w:b/>
          <w:color w:val="auto"/>
          <w:szCs w:val="21"/>
          <w:highlight w:val="none"/>
        </w:rPr>
        <w:t>现文：</w:t>
      </w:r>
      <w:r>
        <w:rPr>
          <w:rFonts w:ascii="宋体" w:hAnsi="宋体" w:cs="宋体"/>
          <w:color w:val="auto"/>
          <w:szCs w:val="21"/>
          <w:highlight w:val="none"/>
        </w:rPr>
        <w:t>30.1</w:t>
      </w:r>
      <w:r>
        <w:rPr>
          <w:rFonts w:hint="eastAsia" w:ascii="宋体" w:hAnsi="宋体" w:cs="宋体"/>
          <w:color w:val="auto"/>
          <w:szCs w:val="21"/>
          <w:highlight w:val="none"/>
        </w:rPr>
        <w:t>在合同双方全权代表在合同协议书上签字，并分别加盖双方单位的公章</w:t>
      </w:r>
      <w:r>
        <w:rPr>
          <w:rFonts w:hint="eastAsia" w:ascii="宋体" w:hAnsi="宋体" w:cs="宋体"/>
          <w:color w:val="auto"/>
          <w:szCs w:val="21"/>
          <w:highlight w:val="none"/>
          <w:u w:val="single"/>
        </w:rPr>
        <w:t>且承包人提交履约担保后，合同正式生效。</w:t>
      </w:r>
    </w:p>
    <w:p>
      <w:pPr>
        <w:spacing w:line="360" w:lineRule="auto"/>
        <w:ind w:firstLine="210"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8"/>
        <w:rPr>
          <w:color w:val="auto"/>
          <w:highlight w:val="none"/>
        </w:rPr>
      </w:pPr>
      <w:r>
        <w:rPr>
          <w:color w:val="auto"/>
          <w:highlight w:val="none"/>
        </w:rPr>
        <w:br w:type="page"/>
      </w:r>
      <w:bookmarkStart w:id="12" w:name="_Toc2272548"/>
      <w:bookmarkStart w:id="13" w:name="_Toc10410"/>
      <w:r>
        <w:rPr>
          <w:rFonts w:hint="eastAsia"/>
          <w:color w:val="auto"/>
          <w:highlight w:val="none"/>
        </w:rPr>
        <w:t>三、投标须知通用条款</w:t>
      </w:r>
      <w:bookmarkEnd w:id="12"/>
      <w:bookmarkEnd w:id="13"/>
    </w:p>
    <w:p>
      <w:pPr>
        <w:pStyle w:val="10"/>
        <w:spacing w:before="156" w:after="156"/>
        <w:rPr>
          <w:color w:val="auto"/>
          <w:highlight w:val="none"/>
        </w:rPr>
      </w:pPr>
      <w:bookmarkStart w:id="14" w:name="_Toc2272549"/>
      <w:bookmarkStart w:id="15" w:name="_Toc6156"/>
      <w:r>
        <w:rPr>
          <w:rFonts w:hint="eastAsia"/>
          <w:color w:val="auto"/>
          <w:highlight w:val="none"/>
        </w:rPr>
        <w:t>（一）总则</w:t>
      </w:r>
      <w:bookmarkEnd w:id="14"/>
      <w:bookmarkEnd w:id="15"/>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w:t>
      </w:r>
      <w:r>
        <w:rPr>
          <w:rFonts w:hint="eastAsia" w:ascii="宋体" w:hAnsi="宋体" w:eastAsia="宋体"/>
          <w:b/>
          <w:bCs/>
          <w:color w:val="auto"/>
          <w:sz w:val="24"/>
          <w:highlight w:val="none"/>
        </w:rPr>
        <w:t>、定义</w:t>
      </w:r>
    </w:p>
    <w:p>
      <w:pPr>
        <w:pStyle w:val="6"/>
        <w:spacing w:after="0"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本招标文件使用的下列词语具有如下规定的意义：</w:t>
      </w:r>
    </w:p>
    <w:p>
      <w:pPr>
        <w:pStyle w:val="6"/>
        <w:spacing w:after="0" w:line="360" w:lineRule="auto"/>
        <w:ind w:firstLine="480" w:firstLineChars="200"/>
        <w:rPr>
          <w:rFonts w:ascii="宋体" w:hAnsi="宋体" w:eastAsia="宋体"/>
          <w:b/>
          <w:bCs/>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）“招标人”（即发包人）、“项目建设管理单位”（或称“项目代建单位”）、“招标代理”、“设计单位”、“监理单位”均已在投标须知前附表中列明。</w:t>
      </w:r>
    </w:p>
    <w:p>
      <w:pPr>
        <w:pStyle w:val="6"/>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）“投标人”指向招标人提交投标文件的当事人。</w:t>
      </w:r>
      <w:r>
        <w:rPr>
          <w:rFonts w:ascii="宋体" w:hAnsi="宋体" w:eastAsia="宋体"/>
          <w:color w:val="auto"/>
          <w:sz w:val="24"/>
          <w:highlight w:val="none"/>
        </w:rPr>
        <w:t xml:space="preserve">   </w:t>
      </w:r>
    </w:p>
    <w:p>
      <w:pPr>
        <w:pStyle w:val="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w:t>
      </w:r>
      <w:r>
        <w:rPr>
          <w:rFonts w:hint="eastAsia" w:ascii="宋体" w:hAnsi="宋体" w:eastAsia="宋体"/>
          <w:color w:val="auto"/>
          <w:sz w:val="24"/>
          <w:highlight w:val="none"/>
        </w:rPr>
        <w:t>）“承包人”指其投标被招标人接受并与其签订承包合同的当事人。</w:t>
      </w:r>
    </w:p>
    <w:p>
      <w:pPr>
        <w:pStyle w:val="6"/>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）“招标文件”指由招标代理发出的本文件（包括全部章节、附件）及招标答疑会会议纪要和</w:t>
      </w:r>
      <w:r>
        <w:rPr>
          <w:rFonts w:hint="eastAsia" w:ascii="宋体" w:hAnsi="宋体" w:eastAsia="宋体"/>
          <w:bCs/>
          <w:color w:val="auto"/>
          <w:sz w:val="24"/>
          <w:highlight w:val="none"/>
        </w:rPr>
        <w:t>招标文件的澄清与修改</w:t>
      </w:r>
      <w:r>
        <w:rPr>
          <w:rFonts w:hint="eastAsia" w:ascii="宋体" w:hAnsi="宋体" w:eastAsia="宋体"/>
          <w:color w:val="auto"/>
          <w:sz w:val="24"/>
          <w:highlight w:val="none"/>
        </w:rPr>
        <w:t>文件。</w:t>
      </w:r>
    </w:p>
    <w:p>
      <w:pPr>
        <w:pStyle w:val="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）“投标文件”指投标人根据本项目招标文件向招标人提交的全部文件。</w:t>
      </w:r>
    </w:p>
    <w:p>
      <w:pPr>
        <w:pStyle w:val="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6</w:t>
      </w:r>
      <w:r>
        <w:rPr>
          <w:rFonts w:hint="eastAsia" w:ascii="宋体" w:hAnsi="宋体" w:eastAsia="宋体"/>
          <w:color w:val="auto"/>
          <w:sz w:val="24"/>
          <w:highlight w:val="none"/>
        </w:rPr>
        <w:t>）“书面形式”指打字或印刷的文件和数据电文（包括电报、电传、传真、电子数据交换和电子邮件）。</w:t>
      </w:r>
    </w:p>
    <w:p>
      <w:pPr>
        <w:spacing w:line="360" w:lineRule="auto"/>
        <w:ind w:firstLine="480"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10"/>
        <w:spacing w:before="156" w:after="156"/>
        <w:rPr>
          <w:color w:val="auto"/>
          <w:highlight w:val="none"/>
        </w:rPr>
      </w:pPr>
      <w:bookmarkStart w:id="16" w:name="_Toc2272550"/>
      <w:bookmarkStart w:id="17" w:name="_Toc2458"/>
      <w:r>
        <w:rPr>
          <w:rFonts w:hint="eastAsia"/>
          <w:color w:val="auto"/>
          <w:highlight w:val="none"/>
        </w:rPr>
        <w:t>（二）招标文件</w:t>
      </w:r>
      <w:bookmarkEnd w:id="16"/>
      <w:bookmarkEnd w:id="17"/>
    </w:p>
    <w:p>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pPr>
        <w:pStyle w:val="6"/>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第一章</w:t>
      </w:r>
      <w:r>
        <w:rPr>
          <w:rFonts w:ascii="宋体" w:hAnsi="宋体" w:eastAsia="宋体"/>
          <w:bCs/>
          <w:color w:val="auto"/>
          <w:sz w:val="24"/>
          <w:highlight w:val="none"/>
        </w:rPr>
        <w:t xml:space="preserve">  </w:t>
      </w:r>
      <w:r>
        <w:rPr>
          <w:rFonts w:hint="eastAsia" w:ascii="宋体" w:hAnsi="宋体" w:eastAsia="宋体"/>
          <w:color w:val="auto"/>
          <w:sz w:val="24"/>
          <w:highlight w:val="none"/>
        </w:rPr>
        <w:t>投标须知</w:t>
      </w:r>
    </w:p>
    <w:p>
      <w:pPr>
        <w:pStyle w:val="6"/>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第二章</w:t>
      </w:r>
      <w:r>
        <w:rPr>
          <w:rFonts w:ascii="宋体" w:hAnsi="宋体" w:eastAsia="宋体"/>
          <w:bCs/>
          <w:color w:val="auto"/>
          <w:sz w:val="24"/>
          <w:highlight w:val="none"/>
        </w:rPr>
        <w:t xml:space="preserve">  </w:t>
      </w:r>
      <w:r>
        <w:rPr>
          <w:rFonts w:hint="eastAsia" w:ascii="宋体" w:hAnsi="宋体" w:eastAsia="宋体"/>
          <w:color w:val="auto"/>
          <w:sz w:val="24"/>
          <w:highlight w:val="none"/>
        </w:rPr>
        <w:t>开标、评标及定标办法</w:t>
      </w:r>
    </w:p>
    <w:p>
      <w:pPr>
        <w:pStyle w:val="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w:t>
      </w:r>
      <w:r>
        <w:rPr>
          <w:rFonts w:hint="eastAsia" w:ascii="宋体" w:hAnsi="宋体" w:eastAsia="宋体"/>
          <w:color w:val="auto"/>
          <w:sz w:val="24"/>
          <w:highlight w:val="none"/>
        </w:rPr>
        <w:t>合同条款</w:t>
      </w:r>
    </w:p>
    <w:p>
      <w:pPr>
        <w:pStyle w:val="6"/>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第四章</w:t>
      </w:r>
      <w:r>
        <w:rPr>
          <w:rFonts w:ascii="宋体" w:hAnsi="宋体" w:eastAsia="宋体"/>
          <w:bCs/>
          <w:color w:val="auto"/>
          <w:sz w:val="24"/>
          <w:highlight w:val="none"/>
        </w:rPr>
        <w:t xml:space="preserve">  </w:t>
      </w:r>
      <w:r>
        <w:rPr>
          <w:rFonts w:hint="eastAsia" w:ascii="宋体" w:hAnsi="宋体" w:eastAsia="宋体"/>
          <w:color w:val="auto"/>
          <w:sz w:val="24"/>
          <w:highlight w:val="none"/>
        </w:rPr>
        <w:t>投标文件格式</w:t>
      </w:r>
    </w:p>
    <w:p>
      <w:pPr>
        <w:pStyle w:val="6"/>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第五章</w:t>
      </w:r>
      <w:r>
        <w:rPr>
          <w:rFonts w:ascii="宋体" w:hAnsi="宋体" w:eastAsia="宋体"/>
          <w:bCs/>
          <w:color w:val="auto"/>
          <w:sz w:val="24"/>
          <w:highlight w:val="none"/>
        </w:rPr>
        <w:t xml:space="preserve">  </w:t>
      </w:r>
      <w:r>
        <w:rPr>
          <w:rFonts w:hint="eastAsia" w:ascii="宋体" w:hAnsi="宋体" w:eastAsia="宋体"/>
          <w:color w:val="auto"/>
          <w:sz w:val="24"/>
          <w:highlight w:val="none"/>
        </w:rPr>
        <w:t>技术条件（工程建设标准）（另册）</w:t>
      </w:r>
    </w:p>
    <w:p>
      <w:pPr>
        <w:pStyle w:val="6"/>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第六章</w:t>
      </w:r>
      <w:r>
        <w:rPr>
          <w:rFonts w:ascii="宋体" w:hAnsi="宋体" w:eastAsia="宋体"/>
          <w:bCs/>
          <w:color w:val="auto"/>
          <w:sz w:val="24"/>
          <w:highlight w:val="none"/>
        </w:rPr>
        <w:t xml:space="preserve">  </w:t>
      </w:r>
      <w:r>
        <w:rPr>
          <w:rFonts w:hint="eastAsia" w:ascii="宋体" w:hAnsi="宋体" w:eastAsia="宋体"/>
          <w:color w:val="auto"/>
          <w:sz w:val="24"/>
          <w:highlight w:val="none"/>
        </w:rPr>
        <w:t>图纸及勘察资料（另册）</w:t>
      </w:r>
    </w:p>
    <w:p>
      <w:pPr>
        <w:pStyle w:val="6"/>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第七章</w:t>
      </w:r>
      <w:r>
        <w:rPr>
          <w:rFonts w:ascii="宋体" w:hAnsi="宋体" w:eastAsia="宋体"/>
          <w:bCs/>
          <w:color w:val="auto"/>
          <w:sz w:val="24"/>
          <w:highlight w:val="none"/>
        </w:rPr>
        <w:t xml:space="preserve">  </w:t>
      </w:r>
      <w:r>
        <w:rPr>
          <w:rFonts w:hint="eastAsia" w:ascii="宋体" w:hAnsi="宋体" w:eastAsia="宋体"/>
          <w:bCs/>
          <w:color w:val="auto"/>
          <w:sz w:val="24"/>
          <w:highlight w:val="none"/>
        </w:rPr>
        <w:t>招标</w:t>
      </w:r>
      <w:r>
        <w:rPr>
          <w:rFonts w:hint="eastAsia" w:ascii="宋体" w:hAnsi="宋体" w:eastAsia="宋体"/>
          <w:color w:val="auto"/>
          <w:sz w:val="24"/>
          <w:highlight w:val="none"/>
        </w:rPr>
        <w:t>工程量清单（另册）</w:t>
      </w:r>
    </w:p>
    <w:p>
      <w:pPr>
        <w:pStyle w:val="6"/>
        <w:spacing w:after="0" w:line="360" w:lineRule="auto"/>
        <w:ind w:left="-2" w:firstLine="480" w:firstLineChars="200"/>
        <w:rPr>
          <w:rFonts w:ascii="宋体" w:hAnsi="宋体" w:eastAsia="宋体"/>
          <w:color w:val="auto"/>
          <w:sz w:val="24"/>
          <w:highlight w:val="none"/>
        </w:rPr>
      </w:pPr>
      <w:r>
        <w:rPr>
          <w:rFonts w:hint="eastAsia" w:ascii="宋体" w:hAnsi="宋体" w:eastAsia="宋体"/>
          <w:color w:val="auto"/>
          <w:sz w:val="24"/>
          <w:highlight w:val="none"/>
        </w:rPr>
        <w:t>第八章</w:t>
      </w:r>
      <w:r>
        <w:rPr>
          <w:rFonts w:ascii="宋体" w:hAnsi="宋体" w:eastAsia="宋体"/>
          <w:color w:val="auto"/>
          <w:sz w:val="24"/>
          <w:highlight w:val="none"/>
        </w:rPr>
        <w:t xml:space="preserve">  </w:t>
      </w:r>
      <w:r>
        <w:rPr>
          <w:rFonts w:hint="eastAsia" w:ascii="宋体" w:hAnsi="宋体" w:eastAsia="宋体"/>
          <w:color w:val="auto"/>
          <w:sz w:val="24"/>
          <w:highlight w:val="none"/>
        </w:rPr>
        <w:t>最高投标限价</w:t>
      </w:r>
    </w:p>
    <w:p>
      <w:pPr>
        <w:pStyle w:val="6"/>
        <w:spacing w:after="0" w:line="360" w:lineRule="auto"/>
        <w:ind w:left="-2" w:firstLine="480" w:firstLineChars="200"/>
        <w:rPr>
          <w:rFonts w:ascii="宋体" w:hAnsi="宋体" w:eastAsia="宋体"/>
          <w:color w:val="auto"/>
          <w:sz w:val="24"/>
          <w:highlight w:val="none"/>
        </w:rPr>
      </w:pPr>
      <w:r>
        <w:rPr>
          <w:rFonts w:hint="eastAsia" w:ascii="宋体" w:hAnsi="宋体" w:eastAsia="宋体"/>
          <w:color w:val="auto"/>
          <w:sz w:val="24"/>
          <w:highlight w:val="none"/>
        </w:rPr>
        <w:t>注：招标人应在技术条件（工程建设标准）中明确施工现场建筑垃圾源头减量的具体要求和建筑垃圾综合利用产品的使用要求。</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7.2 </w:t>
      </w:r>
      <w:r>
        <w:rPr>
          <w:rFonts w:hint="eastAsia" w:ascii="宋体" w:hAnsi="宋体" w:eastAsia="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7.3 </w:t>
      </w:r>
      <w:r>
        <w:rPr>
          <w:rFonts w:hint="eastAsia" w:ascii="宋体" w:hAnsi="宋体" w:eastAsia="宋体"/>
          <w:color w:val="auto"/>
          <w:sz w:val="24"/>
          <w:highlight w:val="none"/>
        </w:rPr>
        <w:t>投标人一旦中标，招标文件的内容对招标人和中标人双方均有约束力。</w:t>
      </w:r>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8</w:t>
      </w:r>
      <w:r>
        <w:rPr>
          <w:rFonts w:hint="eastAsia" w:ascii="宋体" w:hAnsi="宋体" w:eastAsia="宋体"/>
          <w:b/>
          <w:bCs/>
          <w:color w:val="auto"/>
          <w:sz w:val="24"/>
          <w:highlight w:val="none"/>
        </w:rPr>
        <w:t>．招标答疑</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8.1 </w:t>
      </w:r>
      <w:r>
        <w:rPr>
          <w:rFonts w:hint="eastAsia" w:ascii="宋体" w:hAnsi="宋体" w:eastAsia="宋体"/>
          <w:color w:val="auto"/>
          <w:sz w:val="24"/>
          <w:highlight w:val="none"/>
        </w:rPr>
        <w:t>投标人若对招标文件（包括招标图纸）中有疑问，可以书面形式</w:t>
      </w:r>
      <w:r>
        <w:rPr>
          <w:rFonts w:hint="eastAsia" w:ascii="宋体" w:hAnsi="宋体" w:eastAsia="宋体"/>
          <w:color w:val="auto"/>
          <w:sz w:val="24"/>
          <w:szCs w:val="24"/>
          <w:highlight w:val="none"/>
        </w:rPr>
        <w:t>通过</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交易平台提交</w:t>
      </w:r>
      <w:r>
        <w:rPr>
          <w:rFonts w:hint="eastAsia" w:ascii="宋体" w:hAnsi="宋体" w:eastAsia="宋体"/>
          <w:color w:val="auto"/>
          <w:sz w:val="24"/>
          <w:highlight w:val="none"/>
        </w:rPr>
        <w:t>给招标人或招标代理人，提交形式见本须知前附表第</w:t>
      </w:r>
      <w:r>
        <w:rPr>
          <w:rFonts w:ascii="宋体" w:hAnsi="宋体" w:eastAsia="宋体"/>
          <w:color w:val="auto"/>
          <w:sz w:val="24"/>
          <w:highlight w:val="none"/>
        </w:rPr>
        <w:t>16</w:t>
      </w:r>
      <w:r>
        <w:rPr>
          <w:rFonts w:hint="eastAsia" w:ascii="宋体" w:hAnsi="宋体" w:eastAsia="宋体"/>
          <w:color w:val="auto"/>
          <w:sz w:val="24"/>
          <w:highlight w:val="none"/>
        </w:rPr>
        <w:t>项。</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8.2</w:t>
      </w:r>
      <w:r>
        <w:rPr>
          <w:rFonts w:hint="eastAsia" w:ascii="宋体" w:hAnsi="宋体" w:eastAsia="宋体"/>
          <w:color w:val="auto"/>
          <w:sz w:val="24"/>
          <w:highlight w:val="none"/>
        </w:rPr>
        <w:t>招标答疑会会议纪要将在提交投标文件截止时间</w:t>
      </w:r>
      <w:r>
        <w:rPr>
          <w:rFonts w:ascii="宋体" w:hAnsi="宋体" w:eastAsia="宋体"/>
          <w:color w:val="auto"/>
          <w:sz w:val="24"/>
          <w:highlight w:val="none"/>
        </w:rPr>
        <w:t>15</w:t>
      </w:r>
      <w:r>
        <w:rPr>
          <w:rFonts w:hint="eastAsia" w:ascii="宋体" w:hAnsi="宋体" w:eastAsia="宋体"/>
          <w:color w:val="auto"/>
          <w:sz w:val="24"/>
          <w:highlight w:val="none"/>
        </w:rPr>
        <w:t>日前在</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交易平台</w:t>
      </w:r>
      <w:r>
        <w:rPr>
          <w:rFonts w:ascii="宋体" w:hAnsi="宋体" w:eastAsia="宋体"/>
          <w:color w:val="auto"/>
          <w:sz w:val="24"/>
          <w:highlight w:val="none"/>
        </w:rPr>
        <w:t xml:space="preserve"> </w:t>
      </w:r>
      <w:r>
        <w:rPr>
          <w:rFonts w:hint="eastAsia" w:ascii="宋体" w:hAnsi="宋体" w:eastAsia="宋体"/>
          <w:color w:val="auto"/>
          <w:sz w:val="24"/>
          <w:highlight w:val="none"/>
        </w:rPr>
        <w:t>“项目答疑纪要</w:t>
      </w:r>
      <w:r>
        <w:rPr>
          <w:rFonts w:ascii="宋体" w:hAnsi="宋体" w:eastAsia="宋体"/>
          <w:color w:val="auto"/>
          <w:sz w:val="24"/>
          <w:highlight w:val="none"/>
        </w:rPr>
        <w:t>”</w:t>
      </w:r>
      <w:r>
        <w:rPr>
          <w:rFonts w:hint="eastAsia" w:ascii="宋体" w:hAnsi="宋体" w:eastAsia="宋体"/>
          <w:color w:val="auto"/>
          <w:sz w:val="24"/>
          <w:highlight w:val="none"/>
        </w:rPr>
        <w:t>专区公开发布。答疑纪要一经在</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发布，视作已发放给所有投标人。</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8.3</w:t>
      </w:r>
      <w:r>
        <w:rPr>
          <w:rFonts w:hint="eastAsia" w:ascii="宋体" w:hAnsi="宋体" w:eastAsia="宋体"/>
          <w:color w:val="auto"/>
          <w:sz w:val="24"/>
          <w:highlight w:val="none"/>
        </w:rPr>
        <w:t>答疑会会议纪要为招标文件的一部分。</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8.4</w:t>
      </w:r>
      <w:r>
        <w:rPr>
          <w:rFonts w:hint="eastAsia" w:ascii="宋体" w:hAnsi="宋体" w:eastAsia="宋体"/>
          <w:color w:val="auto"/>
          <w:sz w:val="24"/>
          <w:highlight w:val="none"/>
        </w:rPr>
        <w:t>若招标答疑会会议纪要与招标文件有矛盾，以答疑会议纪要最后发出的书面形式的文件为准。</w:t>
      </w:r>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9.</w:t>
      </w:r>
      <w:r>
        <w:rPr>
          <w:rFonts w:hint="eastAsia" w:ascii="宋体" w:hAnsi="宋体" w:eastAsia="宋体"/>
          <w:b/>
          <w:bCs/>
          <w:color w:val="auto"/>
          <w:sz w:val="24"/>
          <w:highlight w:val="none"/>
        </w:rPr>
        <w:t>招标文件的澄清与修改</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9.1</w:t>
      </w:r>
      <w:r>
        <w:rPr>
          <w:rFonts w:hint="eastAsia" w:ascii="宋体" w:hAnsi="宋体" w:eastAsia="宋体"/>
          <w:color w:val="auto"/>
          <w:sz w:val="24"/>
          <w:highlight w:val="none"/>
        </w:rPr>
        <w:t>招标文件发出后</w:t>
      </w:r>
      <w:r>
        <w:rPr>
          <w:rFonts w:ascii="宋体" w:hAnsi="宋体" w:eastAsia="宋体"/>
          <w:color w:val="auto"/>
          <w:sz w:val="24"/>
          <w:highlight w:val="none"/>
        </w:rPr>
        <w:t>,</w:t>
      </w:r>
      <w:r>
        <w:rPr>
          <w:rFonts w:hint="eastAsia" w:ascii="宋体" w:hAnsi="宋体" w:eastAsia="宋体"/>
          <w:color w:val="auto"/>
          <w:sz w:val="24"/>
          <w:highlight w:val="none"/>
        </w:rPr>
        <w:t>在提交投标文件截止时间</w:t>
      </w:r>
      <w:r>
        <w:rPr>
          <w:rFonts w:ascii="宋体" w:hAnsi="宋体" w:eastAsia="宋体"/>
          <w:color w:val="auto"/>
          <w:sz w:val="24"/>
          <w:highlight w:val="none"/>
        </w:rPr>
        <w:t>15</w:t>
      </w:r>
      <w:r>
        <w:rPr>
          <w:rFonts w:hint="eastAsia" w:ascii="宋体" w:hAnsi="宋体" w:eastAsia="宋体"/>
          <w:color w:val="auto"/>
          <w:sz w:val="24"/>
          <w:highlight w:val="none"/>
        </w:rPr>
        <w:t>日前，招标人可对招标文件进行必要的澄清或修改。</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9.2</w:t>
      </w:r>
      <w:r>
        <w:rPr>
          <w:rFonts w:hint="eastAsia" w:ascii="宋体" w:hAnsi="宋体" w:eastAsia="宋体"/>
          <w:color w:val="auto"/>
          <w:sz w:val="24"/>
          <w:highlight w:val="none"/>
        </w:rPr>
        <w:t>招标文件的澄清或修改将在</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“项目答疑纪要”专区公开发布。答疑纪要一经在</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发布，视作已发放给所有投标人，以</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上网发布时间作为送达时间。</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9.3</w:t>
      </w:r>
      <w:r>
        <w:rPr>
          <w:rFonts w:hint="eastAsia" w:ascii="宋体" w:hAnsi="宋体" w:eastAsia="宋体"/>
          <w:color w:val="auto"/>
          <w:sz w:val="24"/>
          <w:highlight w:val="none"/>
        </w:rPr>
        <w:t>招标文件的修改内容为招标文件的组成部分。</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9.4</w:t>
      </w:r>
      <w:r>
        <w:rPr>
          <w:rFonts w:hint="eastAsia" w:ascii="宋体" w:hAnsi="宋体" w:eastAsia="宋体"/>
          <w:color w:val="auto"/>
          <w:sz w:val="24"/>
          <w:highlight w:val="none"/>
        </w:rPr>
        <w:t>招标文件的澄清或修改均以书面形式明确的内容为准。当招标文件的澄清、修改、补充等在同一内容的表述不一致时，以最后发出的书面形式的文件为准。</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9.5</w:t>
      </w:r>
      <w:r>
        <w:rPr>
          <w:rFonts w:hint="eastAsia" w:ascii="宋体" w:hAnsi="宋体" w:eastAsia="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10"/>
        <w:spacing w:before="156" w:after="156"/>
        <w:rPr>
          <w:color w:val="auto"/>
          <w:highlight w:val="none"/>
        </w:rPr>
      </w:pPr>
      <w:bookmarkStart w:id="18" w:name="_Toc2272551"/>
      <w:bookmarkStart w:id="19" w:name="_Toc31935"/>
      <w:r>
        <w:rPr>
          <w:rFonts w:hint="eastAsia"/>
          <w:color w:val="auto"/>
          <w:highlight w:val="none"/>
        </w:rPr>
        <w:t>（三）投标文件的编制</w:t>
      </w:r>
      <w:bookmarkEnd w:id="18"/>
      <w:bookmarkEnd w:id="19"/>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10</w:t>
      </w:r>
      <w:r>
        <w:rPr>
          <w:rFonts w:hint="eastAsia" w:ascii="宋体" w:hAnsi="宋体" w:eastAsia="宋体"/>
          <w:b/>
          <w:bCs/>
          <w:color w:val="auto"/>
          <w:sz w:val="24"/>
          <w:highlight w:val="none"/>
        </w:rPr>
        <w:t>．投标文件的语言及度量衡单位</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10.1 </w:t>
      </w:r>
      <w:r>
        <w:rPr>
          <w:rFonts w:hint="eastAsia" w:ascii="宋体" w:hAnsi="宋体" w:eastAsia="宋体"/>
          <w:color w:val="auto"/>
          <w:sz w:val="24"/>
          <w:highlight w:val="none"/>
        </w:rPr>
        <w:t>投标文件和与投标有关的所有文件均应使用中文。</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10.2 </w:t>
      </w:r>
      <w:r>
        <w:rPr>
          <w:rFonts w:hint="eastAsia" w:ascii="宋体" w:hAnsi="宋体" w:eastAsia="宋体"/>
          <w:color w:val="auto"/>
          <w:sz w:val="24"/>
          <w:highlight w:val="none"/>
        </w:rPr>
        <w:t>除工程规范另有规定外，投标文件使用的度量衡单位，均采用中华人民共和国法定计量单位。</w:t>
      </w:r>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11</w:t>
      </w:r>
      <w:r>
        <w:rPr>
          <w:rFonts w:hint="eastAsia" w:ascii="宋体" w:hAnsi="宋体" w:eastAsia="宋体"/>
          <w:b/>
          <w:bCs/>
          <w:color w:val="auto"/>
          <w:sz w:val="24"/>
          <w:highlight w:val="none"/>
        </w:rPr>
        <w:t>．投标文件的组成</w:t>
      </w:r>
    </w:p>
    <w:p>
      <w:pPr>
        <w:pStyle w:val="6"/>
        <w:spacing w:after="0" w:line="360" w:lineRule="auto"/>
        <w:ind w:firstLine="480" w:firstLineChars="200"/>
        <w:rPr>
          <w:rFonts w:ascii="宋体" w:hAnsi="宋体" w:eastAsia="宋体"/>
          <w:b/>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投标文件由技术部分（含资格审查文件）和经济部分二部分投标文件组成</w:t>
      </w:r>
      <w:r>
        <w:rPr>
          <w:rFonts w:hint="eastAsia" w:ascii="宋体" w:hAnsi="宋体" w:eastAsia="宋体"/>
          <w:b/>
          <w:color w:val="auto"/>
          <w:sz w:val="24"/>
          <w:highlight w:val="none"/>
        </w:rPr>
        <w:t>。</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pPr>
        <w:spacing w:line="360" w:lineRule="auto"/>
        <w:ind w:firstLine="480" w:firstLineChars="200"/>
        <w:rPr>
          <w:rFonts w:ascii="宋体"/>
          <w:bCs/>
          <w:color w:val="auto"/>
          <w:sz w:val="24"/>
          <w:highlight w:val="none"/>
        </w:rPr>
      </w:pPr>
      <w:r>
        <w:rPr>
          <w:rFonts w:ascii="宋体"/>
          <w:bCs/>
          <w:color w:val="auto"/>
          <w:sz w:val="24"/>
          <w:highlight w:val="none"/>
        </w:rPr>
        <w:t xml:space="preserve">11.2.1 </w:t>
      </w:r>
      <w:r>
        <w:rPr>
          <w:rFonts w:hint="eastAsia" w:ascii="宋体"/>
          <w:bCs/>
          <w:color w:val="auto"/>
          <w:sz w:val="24"/>
          <w:highlight w:val="none"/>
        </w:rPr>
        <w:t>技术投标文件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bCs/>
          <w:color w:val="auto"/>
          <w:sz w:val="24"/>
          <w:highlight w:val="none"/>
        </w:rPr>
        <w:t>；</w:t>
      </w:r>
    </w:p>
    <w:p>
      <w:pPr>
        <w:spacing w:line="360" w:lineRule="auto"/>
        <w:ind w:firstLine="480" w:firstLineChars="200"/>
        <w:rPr>
          <w:rFonts w:ascii="宋体"/>
          <w:bCs/>
          <w:color w:val="auto"/>
          <w:sz w:val="24"/>
          <w:highlight w:val="none"/>
        </w:rPr>
      </w:pPr>
      <w:r>
        <w:rPr>
          <w:rFonts w:ascii="宋体"/>
          <w:bCs/>
          <w:color w:val="auto"/>
          <w:sz w:val="24"/>
          <w:highlight w:val="none"/>
        </w:rPr>
        <w:t xml:space="preserve">11.2.2 </w:t>
      </w:r>
      <w:r>
        <w:rPr>
          <w:rFonts w:hint="eastAsia" w:ascii="宋体"/>
          <w:bCs/>
          <w:color w:val="auto"/>
          <w:sz w:val="24"/>
          <w:highlight w:val="none"/>
        </w:rPr>
        <w:t>资格审查文件：</w:t>
      </w:r>
    </w:p>
    <w:p>
      <w:pPr>
        <w:spacing w:line="360" w:lineRule="auto"/>
        <w:ind w:firstLine="480" w:firstLineChars="200"/>
        <w:rPr>
          <w:rFonts w:ascii="宋体"/>
          <w:bCs/>
          <w:color w:val="auto"/>
          <w:sz w:val="24"/>
          <w:highlight w:val="none"/>
        </w:rPr>
      </w:pPr>
      <w:r>
        <w:rPr>
          <w:rFonts w:hint="eastAsia" w:ascii="宋体"/>
          <w:bCs/>
          <w:color w:val="auto"/>
          <w:sz w:val="24"/>
          <w:highlight w:val="none"/>
        </w:rPr>
        <w:t>（</w:t>
      </w:r>
      <w:r>
        <w:rPr>
          <w:rFonts w:ascii="宋体"/>
          <w:bCs/>
          <w:color w:val="auto"/>
          <w:sz w:val="24"/>
          <w:highlight w:val="none"/>
        </w:rPr>
        <w:t>1</w:t>
      </w:r>
      <w:r>
        <w:rPr>
          <w:rFonts w:hint="eastAsia" w:ascii="宋体"/>
          <w:bCs/>
          <w:color w:val="auto"/>
          <w:sz w:val="24"/>
          <w:highlight w:val="none"/>
        </w:rPr>
        <w:t>）投标人声明；</w:t>
      </w:r>
      <w:r>
        <w:rPr>
          <w:rFonts w:ascii="宋体"/>
          <w:bCs/>
          <w:color w:val="auto"/>
          <w:sz w:val="24"/>
          <w:highlight w:val="none"/>
        </w:rPr>
        <w:t xml:space="preserve"> </w:t>
      </w:r>
    </w:p>
    <w:p>
      <w:pPr>
        <w:spacing w:line="360" w:lineRule="auto"/>
        <w:ind w:firstLine="480" w:firstLineChars="200"/>
        <w:rPr>
          <w:rFonts w:ascii="宋体"/>
          <w:bCs/>
          <w:color w:val="auto"/>
          <w:sz w:val="24"/>
          <w:highlight w:val="none"/>
        </w:rPr>
      </w:pPr>
      <w:r>
        <w:rPr>
          <w:rFonts w:hint="eastAsia" w:ascii="宋体"/>
          <w:bCs/>
          <w:color w:val="auto"/>
          <w:sz w:val="24"/>
          <w:highlight w:val="none"/>
        </w:rPr>
        <w:t>（</w:t>
      </w:r>
      <w:r>
        <w:rPr>
          <w:rFonts w:ascii="宋体"/>
          <w:bCs/>
          <w:color w:val="auto"/>
          <w:sz w:val="24"/>
          <w:highlight w:val="none"/>
        </w:rPr>
        <w:t>2</w:t>
      </w:r>
      <w:r>
        <w:rPr>
          <w:rFonts w:hint="eastAsia" w:ascii="宋体"/>
          <w:bCs/>
          <w:color w:val="auto"/>
          <w:sz w:val="24"/>
          <w:highlight w:val="none"/>
        </w:rPr>
        <w:t>）法定代表人证明书、法定代表人签字或盖章的本投标文件授权委托证明书；</w:t>
      </w:r>
    </w:p>
    <w:p>
      <w:pPr>
        <w:spacing w:line="360" w:lineRule="auto"/>
        <w:ind w:firstLine="480" w:firstLineChars="200"/>
        <w:rPr>
          <w:rFonts w:ascii="宋体"/>
          <w:bCs/>
          <w:color w:val="auto"/>
          <w:sz w:val="24"/>
          <w:highlight w:val="none"/>
        </w:rPr>
      </w:pPr>
      <w:r>
        <w:rPr>
          <w:rFonts w:hint="eastAsia" w:ascii="宋体"/>
          <w:bCs/>
          <w:color w:val="auto"/>
          <w:sz w:val="24"/>
          <w:highlight w:val="none"/>
        </w:rPr>
        <w:t>（</w:t>
      </w:r>
      <w:r>
        <w:rPr>
          <w:rFonts w:ascii="宋体"/>
          <w:bCs/>
          <w:color w:val="auto"/>
          <w:sz w:val="24"/>
          <w:highlight w:val="none"/>
        </w:rPr>
        <w:t>3</w:t>
      </w:r>
      <w:r>
        <w:rPr>
          <w:rFonts w:hint="eastAsia" w:ascii="宋体"/>
          <w:bCs/>
          <w:color w:val="auto"/>
          <w:sz w:val="24"/>
          <w:highlight w:val="none"/>
        </w:rPr>
        <w:t>）企业营业执照（取自库内上传件）；</w:t>
      </w:r>
    </w:p>
    <w:p>
      <w:pPr>
        <w:spacing w:line="360" w:lineRule="auto"/>
        <w:ind w:firstLine="480" w:firstLineChars="200"/>
        <w:rPr>
          <w:rFonts w:ascii="宋体"/>
          <w:bCs/>
          <w:color w:val="auto"/>
          <w:sz w:val="24"/>
          <w:highlight w:val="none"/>
        </w:rPr>
      </w:pPr>
      <w:r>
        <w:rPr>
          <w:rFonts w:hint="eastAsia" w:ascii="宋体"/>
          <w:bCs/>
          <w:color w:val="auto"/>
          <w:sz w:val="24"/>
          <w:highlight w:val="none"/>
        </w:rPr>
        <w:t>（</w:t>
      </w:r>
      <w:r>
        <w:rPr>
          <w:rFonts w:ascii="宋体"/>
          <w:bCs/>
          <w:color w:val="auto"/>
          <w:sz w:val="24"/>
          <w:highlight w:val="none"/>
        </w:rPr>
        <w:t>4</w:t>
      </w:r>
      <w:r>
        <w:rPr>
          <w:rFonts w:hint="eastAsia" w:ascii="宋体"/>
          <w:bCs/>
          <w:color w:val="auto"/>
          <w:sz w:val="24"/>
          <w:highlight w:val="none"/>
        </w:rPr>
        <w:t>）企业资质证书（取自库内上传件）；</w:t>
      </w:r>
    </w:p>
    <w:p>
      <w:pPr>
        <w:spacing w:line="360" w:lineRule="auto"/>
        <w:ind w:firstLine="480" w:firstLineChars="200"/>
        <w:rPr>
          <w:rFonts w:ascii="宋体"/>
          <w:bCs/>
          <w:color w:val="auto"/>
          <w:sz w:val="24"/>
          <w:highlight w:val="none"/>
        </w:rPr>
      </w:pPr>
      <w:r>
        <w:rPr>
          <w:rFonts w:hint="eastAsia" w:ascii="宋体"/>
          <w:bCs/>
          <w:color w:val="auto"/>
          <w:sz w:val="24"/>
          <w:highlight w:val="none"/>
        </w:rPr>
        <w:t>（</w:t>
      </w:r>
      <w:r>
        <w:rPr>
          <w:rFonts w:ascii="宋体"/>
          <w:bCs/>
          <w:color w:val="auto"/>
          <w:sz w:val="24"/>
          <w:highlight w:val="none"/>
        </w:rPr>
        <w:t>5</w:t>
      </w:r>
      <w:r>
        <w:rPr>
          <w:rFonts w:hint="eastAsia" w:ascii="宋体"/>
          <w:bCs/>
          <w:color w:val="auto"/>
          <w:sz w:val="24"/>
          <w:highlight w:val="none"/>
        </w:rPr>
        <w:t>）建筑施工企业安全生产许可证（取自库内上传件）；</w:t>
      </w:r>
    </w:p>
    <w:p>
      <w:pPr>
        <w:spacing w:line="360" w:lineRule="auto"/>
        <w:ind w:firstLine="480" w:firstLineChars="200"/>
        <w:rPr>
          <w:rFonts w:ascii="宋体"/>
          <w:bCs/>
          <w:color w:val="auto"/>
          <w:sz w:val="24"/>
          <w:szCs w:val="24"/>
          <w:highlight w:val="none"/>
        </w:rPr>
      </w:pPr>
      <w:r>
        <w:rPr>
          <w:rFonts w:hint="eastAsia" w:ascii="宋体"/>
          <w:bCs/>
          <w:color w:val="auto"/>
          <w:sz w:val="24"/>
          <w:highlight w:val="none"/>
        </w:rPr>
        <w:t>（</w:t>
      </w:r>
      <w:r>
        <w:rPr>
          <w:rFonts w:ascii="宋体"/>
          <w:bCs/>
          <w:color w:val="auto"/>
          <w:sz w:val="24"/>
          <w:highlight w:val="none"/>
        </w:rPr>
        <w:t>6</w:t>
      </w:r>
      <w:r>
        <w:rPr>
          <w:rFonts w:hint="eastAsia" w:ascii="宋体"/>
          <w:bCs/>
          <w:color w:val="auto"/>
          <w:sz w:val="24"/>
          <w:highlight w:val="none"/>
        </w:rPr>
        <w:t>）</w:t>
      </w:r>
      <w:r>
        <w:rPr>
          <w:rFonts w:hint="eastAsia" w:ascii="宋体" w:hAnsi="宋体"/>
          <w:bCs/>
          <w:color w:val="auto"/>
          <w:sz w:val="24"/>
          <w:szCs w:val="24"/>
          <w:highlight w:val="none"/>
        </w:rPr>
        <w:t>项目负责人（按网上投标登记时选择拟投标的项目负责人）</w:t>
      </w:r>
    </w:p>
    <w:p>
      <w:pPr>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7</w:t>
      </w:r>
      <w:r>
        <w:rPr>
          <w:rFonts w:hint="eastAsia" w:ascii="宋体" w:hAnsi="宋体"/>
          <w:bCs/>
          <w:color w:val="auto"/>
          <w:sz w:val="24"/>
          <w:szCs w:val="24"/>
          <w:highlight w:val="none"/>
        </w:rPr>
        <w:t>）专职安全员（按网上投标登记时选择拟投标的专职安全员）</w:t>
      </w:r>
    </w:p>
    <w:p>
      <w:pPr>
        <w:spacing w:line="360" w:lineRule="auto"/>
        <w:ind w:firstLine="480" w:firstLineChars="200"/>
        <w:rPr>
          <w:rFonts w:ascii="宋体"/>
          <w:bCs/>
          <w:color w:val="auto"/>
          <w:sz w:val="24"/>
          <w:highlight w:val="none"/>
        </w:rPr>
      </w:pPr>
      <w:r>
        <w:rPr>
          <w:rFonts w:hint="eastAsia" w:ascii="宋体"/>
          <w:bCs/>
          <w:color w:val="auto"/>
          <w:sz w:val="24"/>
          <w:highlight w:val="none"/>
        </w:rPr>
        <w:t>（</w:t>
      </w:r>
      <w:r>
        <w:rPr>
          <w:rFonts w:ascii="宋体"/>
          <w:bCs/>
          <w:color w:val="auto"/>
          <w:sz w:val="24"/>
          <w:highlight w:val="none"/>
        </w:rPr>
        <w:t>8</w:t>
      </w:r>
      <w:r>
        <w:rPr>
          <w:rFonts w:hint="eastAsia" w:ascii="宋体"/>
          <w:bCs/>
          <w:color w:val="auto"/>
          <w:sz w:val="24"/>
          <w:highlight w:val="none"/>
        </w:rPr>
        <w:t>）拟委托技术负责人的相关证书、资料（具体要求由招标人明确）</w:t>
      </w:r>
    </w:p>
    <w:p>
      <w:pPr>
        <w:spacing w:line="360" w:lineRule="auto"/>
        <w:ind w:firstLine="480" w:firstLineChars="200"/>
        <w:rPr>
          <w:rFonts w:ascii="宋体"/>
          <w:bCs/>
          <w:color w:val="auto"/>
          <w:sz w:val="24"/>
          <w:highlight w:val="none"/>
        </w:rPr>
      </w:pPr>
      <w:r>
        <w:rPr>
          <w:rFonts w:hint="eastAsia" w:ascii="宋体"/>
          <w:bCs/>
          <w:color w:val="auto"/>
          <w:sz w:val="24"/>
          <w:highlight w:val="none"/>
        </w:rPr>
        <w:t>（</w:t>
      </w:r>
      <w:r>
        <w:rPr>
          <w:rFonts w:ascii="宋体"/>
          <w:bCs/>
          <w:color w:val="auto"/>
          <w:sz w:val="24"/>
          <w:highlight w:val="none"/>
        </w:rPr>
        <w:t>9</w:t>
      </w:r>
      <w:r>
        <w:rPr>
          <w:rFonts w:hint="eastAsia" w:ascii="宋体"/>
          <w:bCs/>
          <w:color w:val="auto"/>
          <w:sz w:val="24"/>
          <w:highlight w:val="none"/>
        </w:rPr>
        <w:t>）拟委派项目负责人的建造师注册证书（取自平台内上传件）；</w:t>
      </w:r>
      <w:r>
        <w:rPr>
          <w:rFonts w:ascii="宋体"/>
          <w:bCs/>
          <w:color w:val="auto"/>
          <w:sz w:val="24"/>
          <w:highlight w:val="none"/>
        </w:rPr>
        <w:t xml:space="preserve"> </w:t>
      </w:r>
    </w:p>
    <w:p>
      <w:pPr>
        <w:spacing w:line="360" w:lineRule="auto"/>
        <w:ind w:firstLine="480" w:firstLineChars="200"/>
        <w:rPr>
          <w:rFonts w:ascii="宋体"/>
          <w:bCs/>
          <w:color w:val="auto"/>
          <w:sz w:val="24"/>
          <w:highlight w:val="none"/>
        </w:rPr>
      </w:pPr>
      <w:r>
        <w:rPr>
          <w:rFonts w:hint="eastAsia" w:ascii="宋体"/>
          <w:bCs/>
          <w:color w:val="auto"/>
          <w:sz w:val="24"/>
          <w:highlight w:val="none"/>
        </w:rPr>
        <w:t>（</w:t>
      </w:r>
      <w:r>
        <w:rPr>
          <w:rFonts w:ascii="宋体"/>
          <w:bCs/>
          <w:color w:val="auto"/>
          <w:sz w:val="24"/>
          <w:highlight w:val="none"/>
        </w:rPr>
        <w:t>10</w:t>
      </w:r>
      <w:r>
        <w:rPr>
          <w:rFonts w:hint="eastAsia" w:ascii="宋体"/>
          <w:bCs/>
          <w:color w:val="auto"/>
          <w:sz w:val="24"/>
          <w:highlight w:val="none"/>
        </w:rPr>
        <w:t>）项目负责人安全生产考核合格证明或在有效期内的安全考核合格证书（B类）或建筑施工企业项目负责人安全生产考核合格证书（取自平台内上传件）</w:t>
      </w:r>
      <w:r>
        <w:rPr>
          <w:rFonts w:hint="eastAsia" w:asci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highlight w:val="none"/>
        </w:rPr>
        <w:t>（</w:t>
      </w:r>
      <w:r>
        <w:rPr>
          <w:rFonts w:ascii="宋体"/>
          <w:bCs/>
          <w:color w:val="auto"/>
          <w:sz w:val="24"/>
          <w:highlight w:val="none"/>
        </w:rPr>
        <w:t>11</w:t>
      </w:r>
      <w:r>
        <w:rPr>
          <w:rFonts w:hint="eastAsia" w:ascii="宋体"/>
          <w:bCs/>
          <w:color w:val="auto"/>
          <w:sz w:val="24"/>
          <w:highlight w:val="none"/>
        </w:rPr>
        <w:t>）专职安全员须具有在有效期内的安全考核合格证书（C证）</w:t>
      </w:r>
      <w:r>
        <w:rPr>
          <w:rFonts w:hint="eastAsia" w:ascii="宋体"/>
          <w:bCs/>
          <w:color w:val="auto"/>
          <w:sz w:val="24"/>
          <w:szCs w:val="24"/>
          <w:highlight w:val="none"/>
        </w:rPr>
        <w:t>（取自库内上传件），</w:t>
      </w:r>
      <w:r>
        <w:rPr>
          <w:rFonts w:hint="eastAsia" w:ascii="宋体" w:hAnsi="宋体"/>
          <w:color w:val="auto"/>
          <w:sz w:val="24"/>
          <w:szCs w:val="24"/>
          <w:highlight w:val="none"/>
        </w:rPr>
        <w:t>或提供广东省建筑施工企业管理人员安全生产考核信息系统安全生产管理人员证书信息的网页截图</w:t>
      </w:r>
      <w:r>
        <w:rPr>
          <w:rFonts w:hint="eastAsia" w:asci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w:t>
      </w:r>
      <w:r>
        <w:rPr>
          <w:rFonts w:ascii="宋体"/>
          <w:bCs/>
          <w:color w:val="auto"/>
          <w:sz w:val="24"/>
          <w:szCs w:val="24"/>
          <w:highlight w:val="none"/>
        </w:rPr>
        <w:t>12</w:t>
      </w:r>
      <w:r>
        <w:rPr>
          <w:rFonts w:hint="eastAsia" w:ascii="宋体"/>
          <w:bCs/>
          <w:color w:val="auto"/>
          <w:sz w:val="24"/>
          <w:szCs w:val="24"/>
          <w:highlight w:val="none"/>
        </w:rPr>
        <w:t>）</w:t>
      </w:r>
      <w:r>
        <w:rPr>
          <w:rFonts w:hint="eastAsia" w:ascii="宋体" w:hAnsi="宋体"/>
          <w:bCs/>
          <w:color w:val="auto"/>
          <w:sz w:val="24"/>
          <w:szCs w:val="24"/>
          <w:highlight w:val="none"/>
        </w:rPr>
        <w:t>用于资格审查的业绩（设置业绩要求时选择此项，投标人</w:t>
      </w:r>
      <w:r>
        <w:rPr>
          <w:rFonts w:hint="eastAsia" w:ascii="宋体" w:hAnsi="宋体"/>
          <w:color w:val="auto"/>
          <w:sz w:val="24"/>
          <w:highlight w:val="none"/>
        </w:rPr>
        <w:t>须提供类似工程业绩的项目名称及项目编号，具体格式由招标人自定</w:t>
      </w:r>
      <w:r>
        <w:rPr>
          <w:rFonts w:hint="eastAsia" w:ascii="宋体" w:hAnsi="宋体"/>
          <w:bCs/>
          <w:color w:val="auto"/>
          <w:sz w:val="24"/>
          <w:szCs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w:t>
      </w:r>
      <w:r>
        <w:rPr>
          <w:rFonts w:ascii="宋体"/>
          <w:bCs/>
          <w:color w:val="auto"/>
          <w:sz w:val="24"/>
          <w:highlight w:val="none"/>
        </w:rPr>
        <w:t>13</w:t>
      </w:r>
      <w:r>
        <w:rPr>
          <w:rFonts w:hint="eastAsia" w:ascii="宋体"/>
          <w:bCs/>
          <w:color w:val="auto"/>
          <w:sz w:val="24"/>
          <w:highlight w:val="none"/>
        </w:rPr>
        <w:t>）资格审查前，投标人须在广州市住房和城乡建设局建立企业诚信档案，拟担任本工程项目负责人须是本企业诚信档案中的在册人员。</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14</w:t>
      </w:r>
      <w:r>
        <w:rPr>
          <w:rFonts w:hint="eastAsia" w:ascii="宋体" w:hAnsi="宋体"/>
          <w:bCs/>
          <w:color w:val="auto"/>
          <w:sz w:val="24"/>
          <w:szCs w:val="24"/>
          <w:highlight w:val="none"/>
        </w:rPr>
        <w:t>）列明主办单位的联合体共同投标协议书（采用联合体投标时需递交，投标人拟任本工程项目负责人应为联合体主办方诚信档案中的在册人员，</w:t>
      </w:r>
      <w:r>
        <w:rPr>
          <w:rFonts w:hint="eastAsia" w:ascii="宋体" w:hAnsi="宋体"/>
          <w:color w:val="auto"/>
          <w:sz w:val="24"/>
          <w:szCs w:val="24"/>
          <w:highlight w:val="none"/>
        </w:rPr>
        <w:t>联合体共同投标协议书应明确约定各方拟承担的工作和责任</w:t>
      </w:r>
      <w:r>
        <w:rPr>
          <w:rFonts w:hint="eastAsia" w:ascii="宋体" w:hAnsi="宋体"/>
          <w:bCs/>
          <w:color w:val="auto"/>
          <w:sz w:val="24"/>
          <w:szCs w:val="24"/>
          <w:highlight w:val="none"/>
        </w:rPr>
        <w:t>）；</w:t>
      </w:r>
      <w:r>
        <w:rPr>
          <w:rFonts w:ascii="宋体" w:hAnsi="宋体"/>
          <w:bCs/>
          <w:color w:val="auto"/>
          <w:sz w:val="24"/>
          <w:szCs w:val="24"/>
          <w:highlight w:val="none"/>
        </w:rPr>
        <w:t xml:space="preserve"> </w:t>
      </w:r>
    </w:p>
    <w:p>
      <w:pPr>
        <w:spacing w:line="360" w:lineRule="auto"/>
        <w:ind w:firstLine="480" w:firstLineChars="200"/>
        <w:rPr>
          <w:rFonts w:ascii="宋体"/>
          <w:bCs/>
          <w:color w:val="auto"/>
          <w:sz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15</w:t>
      </w:r>
      <w:r>
        <w:rPr>
          <w:rFonts w:hint="eastAsia" w:ascii="宋体" w:hAnsi="宋体"/>
          <w:bCs/>
          <w:color w:val="auto"/>
          <w:sz w:val="24"/>
          <w:szCs w:val="24"/>
          <w:highlight w:val="none"/>
        </w:rPr>
        <w:t>）</w:t>
      </w:r>
      <w:r>
        <w:rPr>
          <w:rFonts w:hint="eastAsia" w:ascii="宋体" w:hAnsi="宋体"/>
          <w:color w:val="auto"/>
          <w:sz w:val="24"/>
          <w:szCs w:val="24"/>
          <w:highlight w:val="none"/>
        </w:rPr>
        <w:t>投标人具有在广州地区可使用适合本工程的机械设备的证明文件（</w:t>
      </w:r>
      <w:r>
        <w:rPr>
          <w:rFonts w:hint="eastAsia" w:ascii="宋体" w:hAnsi="宋体"/>
          <w:color w:val="auto"/>
          <w:sz w:val="24"/>
          <w:highlight w:val="none"/>
        </w:rPr>
        <w:t>提供沥青摊铺机自有发票或权属证明及设备现场全貌彩照（彩照须能反映其规格型号）</w:t>
      </w:r>
      <w:r>
        <w:rPr>
          <w:rFonts w:hint="eastAsia" w:ascii="宋体" w:hAnsi="宋体"/>
          <w:color w:val="auto"/>
          <w:sz w:val="24"/>
          <w:szCs w:val="24"/>
          <w:highlight w:val="none"/>
        </w:rPr>
        <w:t>。（含有市政道路面层沥青摊铺且沥青摊铺占预计发包价</w:t>
      </w:r>
      <w:r>
        <w:rPr>
          <w:rFonts w:ascii="宋体" w:hAnsi="宋体"/>
          <w:color w:val="auto"/>
          <w:sz w:val="24"/>
          <w:szCs w:val="24"/>
          <w:highlight w:val="none"/>
        </w:rPr>
        <w:t>50%</w:t>
      </w:r>
      <w:r>
        <w:rPr>
          <w:rFonts w:hint="eastAsia" w:ascii="宋体" w:hAnsi="宋体"/>
          <w:color w:val="auto"/>
          <w:sz w:val="24"/>
          <w:szCs w:val="24"/>
          <w:highlight w:val="none"/>
        </w:rPr>
        <w:t>或以上的大、中修市政公用工程需提供该项内容的证明文件）。</w:t>
      </w:r>
    </w:p>
    <w:p>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11.2.6</w:t>
      </w:r>
      <w:r>
        <w:rPr>
          <w:rFonts w:hint="eastAsia" w:ascii="宋体" w:hAnsi="宋体"/>
          <w:color w:val="auto"/>
          <w:sz w:val="24"/>
          <w:highlight w:val="none"/>
        </w:rPr>
        <w:t>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）工程项目投标报价汇总表；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）单项工程投标报价汇总表；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）单位工程投标报价汇总表；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w:t>
      </w:r>
      <w:r>
        <w:rPr>
          <w:rFonts w:hint="eastAsia" w:ascii="宋体" w:hAnsi="宋体"/>
          <w:color w:val="auto"/>
          <w:sz w:val="24"/>
          <w:szCs w:val="24"/>
          <w:highlight w:val="none"/>
        </w:rPr>
        <w:t>）分部分项工程清单与计价表；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7</w:t>
      </w:r>
      <w:r>
        <w:rPr>
          <w:rFonts w:hint="eastAsia" w:ascii="宋体" w:hAnsi="宋体"/>
          <w:color w:val="auto"/>
          <w:sz w:val="24"/>
          <w:szCs w:val="24"/>
          <w:highlight w:val="none"/>
        </w:rPr>
        <w:t>）单价措施项目清单与计价表；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8</w:t>
      </w:r>
      <w:r>
        <w:rPr>
          <w:rFonts w:hint="eastAsia" w:ascii="宋体" w:hAnsi="宋体"/>
          <w:color w:val="auto"/>
          <w:sz w:val="24"/>
          <w:szCs w:val="24"/>
          <w:highlight w:val="none"/>
        </w:rPr>
        <w:t>）总价措施项目清单与计价表；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9</w:t>
      </w:r>
      <w:r>
        <w:rPr>
          <w:rFonts w:hint="eastAsia" w:ascii="宋体" w:hAnsi="宋体"/>
          <w:color w:val="auto"/>
          <w:sz w:val="24"/>
          <w:szCs w:val="24"/>
          <w:highlight w:val="none"/>
        </w:rPr>
        <w:t>）综合单价分析表；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10</w:t>
      </w:r>
      <w:r>
        <w:rPr>
          <w:rFonts w:hint="eastAsia" w:ascii="宋体" w:hAnsi="宋体"/>
          <w:color w:val="auto"/>
          <w:sz w:val="24"/>
          <w:szCs w:val="24"/>
          <w:highlight w:val="none"/>
        </w:rPr>
        <w:t>）其他项目清单与计价汇总表；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11</w:t>
      </w:r>
      <w:r>
        <w:rPr>
          <w:rFonts w:hint="eastAsia" w:ascii="宋体" w:hAnsi="宋体"/>
          <w:color w:val="auto"/>
          <w:sz w:val="24"/>
          <w:szCs w:val="24"/>
          <w:highlight w:val="none"/>
        </w:rPr>
        <w:t>）暂列金额明细表；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12</w:t>
      </w:r>
      <w:r>
        <w:rPr>
          <w:rFonts w:hint="eastAsia" w:ascii="宋体" w:hAnsi="宋体"/>
          <w:color w:val="auto"/>
          <w:sz w:val="24"/>
          <w:szCs w:val="24"/>
          <w:highlight w:val="none"/>
        </w:rPr>
        <w:t>）材料（工程设备）暂估价明细表；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13</w:t>
      </w:r>
      <w:r>
        <w:rPr>
          <w:rFonts w:hint="eastAsia" w:ascii="宋体" w:hAnsi="宋体"/>
          <w:color w:val="auto"/>
          <w:sz w:val="24"/>
          <w:szCs w:val="24"/>
          <w:highlight w:val="none"/>
        </w:rPr>
        <w:t>）专业工程暂估价明细表；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14</w:t>
      </w:r>
      <w:r>
        <w:rPr>
          <w:rFonts w:hint="eastAsia" w:ascii="宋体" w:hAnsi="宋体"/>
          <w:color w:val="auto"/>
          <w:sz w:val="24"/>
          <w:szCs w:val="24"/>
          <w:highlight w:val="none"/>
        </w:rPr>
        <w:t>）计日工表；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15</w:t>
      </w:r>
      <w:r>
        <w:rPr>
          <w:rFonts w:hint="eastAsia" w:ascii="宋体" w:hAnsi="宋体"/>
          <w:color w:val="auto"/>
          <w:sz w:val="24"/>
          <w:szCs w:val="24"/>
          <w:highlight w:val="none"/>
        </w:rPr>
        <w:t>）总承包服务计价表；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16</w:t>
      </w:r>
      <w:r>
        <w:rPr>
          <w:rFonts w:hint="eastAsia" w:ascii="宋体" w:hAnsi="宋体"/>
          <w:color w:val="auto"/>
          <w:sz w:val="24"/>
          <w:szCs w:val="24"/>
          <w:highlight w:val="none"/>
        </w:rPr>
        <w:t>）规费和税金项目计价表；</w:t>
      </w:r>
    </w:p>
    <w:p>
      <w:pPr>
        <w:spacing w:line="360" w:lineRule="auto"/>
        <w:ind w:firstLine="480" w:firstLineChars="200"/>
        <w:rPr>
          <w:rFonts w:ascii="宋体"/>
          <w:color w:val="auto"/>
          <w:sz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w:t>
      </w:r>
      <w:r>
        <w:rPr>
          <w:rFonts w:ascii="宋体" w:hAnsi="宋体"/>
          <w:color w:val="auto"/>
          <w:sz w:val="24"/>
          <w:szCs w:val="24"/>
          <w:highlight w:val="none"/>
        </w:rPr>
        <w:t>17</w:t>
      </w:r>
      <w:r>
        <w:rPr>
          <w:rFonts w:hint="eastAsia" w:ascii="宋体" w:hAnsi="宋体"/>
          <w:color w:val="auto"/>
          <w:sz w:val="24"/>
          <w:szCs w:val="24"/>
          <w:highlight w:val="none"/>
        </w:rPr>
        <w:t>）人工、主要材料和设备一览表</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11.3.3</w:t>
      </w:r>
      <w:r>
        <w:rPr>
          <w:rFonts w:hint="eastAsia" w:ascii="宋体" w:hAnsi="宋体"/>
          <w:color w:val="auto"/>
          <w:sz w:val="24"/>
          <w:highlight w:val="none"/>
        </w:rPr>
        <w:t>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11.3.4</w:t>
      </w:r>
      <w:r>
        <w:rPr>
          <w:rFonts w:hint="eastAsia" w:ascii="宋体" w:hAnsi="宋体"/>
          <w:color w:val="auto"/>
          <w:sz w:val="24"/>
          <w:highlight w:val="none"/>
        </w:rPr>
        <w:t>若投标人的投标报价低于工程成本警戒价的，投标人还须提供详细的施工组织设计、单价、措施性费用、单价分析表、主要材料价格表、投标人成本分析供评标委员会评审。</w:t>
      </w:r>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12</w:t>
      </w:r>
      <w:r>
        <w:rPr>
          <w:rFonts w:hint="eastAsia" w:ascii="宋体" w:hAnsi="宋体" w:eastAsia="宋体"/>
          <w:b/>
          <w:bCs/>
          <w:color w:val="auto"/>
          <w:sz w:val="24"/>
          <w:highlight w:val="none"/>
        </w:rPr>
        <w:t>．投标文件格式</w:t>
      </w:r>
    </w:p>
    <w:p>
      <w:pPr>
        <w:pStyle w:val="6"/>
        <w:spacing w:after="0" w:line="360" w:lineRule="auto"/>
        <w:ind w:firstLine="480" w:firstLineChars="200"/>
        <w:rPr>
          <w:rFonts w:ascii="宋体" w:hAnsi="宋体" w:eastAsia="宋体"/>
          <w:bCs/>
          <w:color w:val="auto"/>
          <w:sz w:val="24"/>
          <w:szCs w:val="24"/>
          <w:highlight w:val="none"/>
        </w:rPr>
      </w:pPr>
      <w:r>
        <w:rPr>
          <w:rFonts w:ascii="宋体" w:hAnsi="宋体" w:eastAsia="宋体"/>
          <w:bCs/>
          <w:color w:val="auto"/>
          <w:sz w:val="24"/>
          <w:szCs w:val="24"/>
          <w:highlight w:val="none"/>
        </w:rPr>
        <w:t xml:space="preserve">12.1 </w:t>
      </w:r>
      <w:r>
        <w:rPr>
          <w:rFonts w:hint="eastAsia" w:ascii="宋体" w:hAnsi="宋体" w:eastAsia="宋体"/>
          <w:bCs/>
          <w:color w:val="auto"/>
          <w:sz w:val="24"/>
          <w:szCs w:val="24"/>
          <w:highlight w:val="none"/>
        </w:rPr>
        <w:t>投标文件包括本须知第</w:t>
      </w:r>
      <w:r>
        <w:rPr>
          <w:rFonts w:ascii="宋体" w:hAnsi="宋体" w:eastAsia="宋体"/>
          <w:bCs/>
          <w:color w:val="auto"/>
          <w:sz w:val="24"/>
          <w:szCs w:val="24"/>
          <w:highlight w:val="none"/>
        </w:rPr>
        <w:t>11</w:t>
      </w:r>
      <w:r>
        <w:rPr>
          <w:rFonts w:hint="eastAsia" w:ascii="宋体" w:hAnsi="宋体" w:eastAsia="宋体"/>
          <w:bCs/>
          <w:color w:val="auto"/>
          <w:sz w:val="24"/>
          <w:szCs w:val="24"/>
          <w:highlight w:val="none"/>
        </w:rPr>
        <w:t>条中规定的内容，投标人提交的投标文件应当使用招标文件所提供的投标文件全部格式（表格可以按同样格式扩展）。</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bCs/>
          <w:color w:val="auto"/>
          <w:sz w:val="24"/>
          <w:szCs w:val="24"/>
          <w:highlight w:val="none"/>
        </w:rPr>
        <w:t xml:space="preserve">12.2 </w:t>
      </w:r>
      <w:r>
        <w:rPr>
          <w:rFonts w:hint="eastAsia" w:ascii="宋体" w:hAnsi="宋体" w:eastAsia="宋体"/>
          <w:bCs/>
          <w:color w:val="auto"/>
          <w:sz w:val="24"/>
          <w:szCs w:val="24"/>
          <w:highlight w:val="none"/>
        </w:rPr>
        <w:t>投标文件全部采用电子文档，投标文件所附证书证件均为原件扫描件，并采用单位数字证书，按招标</w:t>
      </w:r>
      <w:r>
        <w:rPr>
          <w:rFonts w:hint="eastAsia" w:ascii="宋体" w:hAnsi="宋体" w:eastAsia="宋体"/>
          <w:color w:val="auto"/>
          <w:sz w:val="24"/>
          <w:highlight w:val="none"/>
        </w:rPr>
        <w:t>文件要求在相应位置加盖电子印章。投投标文件中需个人签字或盖章的，应在线下完成后扫描上传。按照交易平台关于</w:t>
      </w:r>
      <w:r>
        <w:rPr>
          <w:rFonts w:hint="eastAsia" w:ascii="宋体" w:hAnsi="宋体" w:eastAsia="宋体"/>
          <w:color w:val="auto"/>
          <w:sz w:val="24"/>
          <w:szCs w:val="24"/>
          <w:highlight w:val="none"/>
        </w:rPr>
        <w:t>全流程电子化项目的相关指南进行操作。详见：</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bCs/>
          <w:color w:val="auto"/>
          <w:sz w:val="24"/>
          <w:szCs w:val="24"/>
          <w:highlight w:val="none"/>
        </w:rPr>
        <w:t>投标文件应按</w:t>
      </w:r>
      <w:r>
        <w:rPr>
          <w:rFonts w:hint="eastAsia" w:ascii="宋体" w:hAnsi="宋体" w:eastAsia="宋体"/>
          <w:color w:val="auto"/>
          <w:sz w:val="24"/>
          <w:highlight w:val="none"/>
        </w:rPr>
        <w:t>照交易平台关于全流程电子化项目的相关指南进行编制，详见：</w:t>
      </w:r>
      <w:r>
        <w:rPr>
          <w:rFonts w:ascii="宋体" w:hAnsi="宋体" w:eastAsia="宋体"/>
          <w:color w:val="auto"/>
          <w:sz w:val="24"/>
          <w:szCs w:val="24"/>
          <w:highlight w:val="none"/>
          <w:u w:val="single"/>
        </w:rPr>
        <w:t xml:space="preserve">            </w:t>
      </w:r>
      <w:r>
        <w:rPr>
          <w:rFonts w:hint="eastAsia" w:ascii="宋体" w:hAnsi="宋体" w:eastAsia="宋体"/>
          <w:color w:val="auto"/>
          <w:sz w:val="24"/>
          <w:highlight w:val="none"/>
        </w:rPr>
        <w:t>。</w:t>
      </w:r>
      <w:r>
        <w:rPr>
          <w:rFonts w:ascii="宋体" w:hAnsi="宋体" w:eastAsia="宋体"/>
          <w:color w:val="auto"/>
          <w:sz w:val="24"/>
          <w:highlight w:val="none"/>
        </w:rPr>
        <w:t xml:space="preserve">               </w:t>
      </w:r>
    </w:p>
    <w:p>
      <w:pPr>
        <w:pStyle w:val="6"/>
        <w:spacing w:after="0" w:line="360" w:lineRule="auto"/>
        <w:ind w:firstLine="0"/>
        <w:rPr>
          <w:rFonts w:ascii="宋体" w:hAnsi="宋体" w:eastAsia="宋体"/>
          <w:color w:val="auto"/>
          <w:sz w:val="24"/>
          <w:highlight w:val="none"/>
        </w:rPr>
      </w:pPr>
      <w:r>
        <w:rPr>
          <w:rFonts w:hint="eastAsia" w:ascii="宋体" w:hAnsi="宋体" w:eastAsia="宋体"/>
          <w:bCs/>
          <w:color w:val="auto"/>
          <w:sz w:val="24"/>
          <w:szCs w:val="24"/>
          <w:highlight w:val="none"/>
        </w:rPr>
        <w:t>如不按上述要求编制引起系统无法检索、读取相关信息的，其后果由投标人承担。</w:t>
      </w:r>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13</w:t>
      </w:r>
      <w:r>
        <w:rPr>
          <w:rFonts w:hint="eastAsia" w:ascii="宋体" w:hAnsi="宋体" w:eastAsia="宋体"/>
          <w:b/>
          <w:bCs/>
          <w:color w:val="auto"/>
          <w:sz w:val="24"/>
          <w:highlight w:val="none"/>
        </w:rPr>
        <w:t>．投标报价及造价承包和变更结算方式</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13.1 </w:t>
      </w:r>
      <w:r>
        <w:rPr>
          <w:rFonts w:hint="eastAsia" w:ascii="宋体" w:hAnsi="宋体" w:eastAsia="宋体"/>
          <w:color w:val="auto"/>
          <w:sz w:val="24"/>
          <w:highlight w:val="none"/>
        </w:rPr>
        <w:t>本工程的投标报价采用投标须知前附表第</w:t>
      </w:r>
      <w:r>
        <w:rPr>
          <w:rFonts w:ascii="宋体" w:hAnsi="宋体" w:eastAsia="宋体"/>
          <w:color w:val="auto"/>
          <w:sz w:val="24"/>
          <w:highlight w:val="none"/>
        </w:rPr>
        <w:t>12</w:t>
      </w:r>
      <w:r>
        <w:rPr>
          <w:rFonts w:hint="eastAsia" w:ascii="宋体" w:hAnsi="宋体" w:eastAsia="宋体"/>
          <w:color w:val="auto"/>
          <w:sz w:val="24"/>
          <w:highlight w:val="none"/>
        </w:rPr>
        <w:t>项所规定的方式。投标报价（含单价及总价）精确到“分”。</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13.2</w:t>
      </w:r>
      <w:r>
        <w:rPr>
          <w:rFonts w:hint="eastAsia" w:ascii="宋体" w:hAnsi="宋体" w:eastAsia="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13.3</w:t>
      </w:r>
      <w:r>
        <w:rPr>
          <w:rFonts w:hint="eastAsia" w:ascii="宋体" w:hAnsi="宋体" w:eastAsia="宋体"/>
          <w:color w:val="auto"/>
          <w:sz w:val="24"/>
          <w:highlight w:val="none"/>
        </w:rPr>
        <w:t>投标人的投标报价，应是按照投标须知前附表第</w:t>
      </w:r>
      <w:r>
        <w:rPr>
          <w:rFonts w:ascii="宋体" w:hAnsi="宋体" w:eastAsia="宋体"/>
          <w:color w:val="auto"/>
          <w:sz w:val="24"/>
          <w:highlight w:val="none"/>
        </w:rPr>
        <w:t>8</w:t>
      </w:r>
      <w:r>
        <w:rPr>
          <w:rFonts w:hint="eastAsia" w:ascii="宋体" w:hAnsi="宋体" w:eastAsia="宋体"/>
          <w:color w:val="auto"/>
          <w:sz w:val="24"/>
          <w:highlight w:val="none"/>
        </w:rPr>
        <w:t>项的工期要求，在投标须知前附表第</w:t>
      </w:r>
      <w:r>
        <w:rPr>
          <w:rFonts w:ascii="宋体" w:hAnsi="宋体" w:eastAsia="宋体"/>
          <w:color w:val="auto"/>
          <w:sz w:val="24"/>
          <w:highlight w:val="none"/>
        </w:rPr>
        <w:t>3</w:t>
      </w:r>
      <w:r>
        <w:rPr>
          <w:rFonts w:hint="eastAsia" w:ascii="宋体" w:hAnsi="宋体" w:eastAsia="宋体"/>
          <w:color w:val="auto"/>
          <w:sz w:val="24"/>
          <w:highlight w:val="none"/>
        </w:rPr>
        <w:t>项的建设地点，完成投标须知前附表第</w:t>
      </w:r>
      <w:r>
        <w:rPr>
          <w:rFonts w:ascii="宋体" w:hAnsi="宋体" w:eastAsia="宋体"/>
          <w:color w:val="auto"/>
          <w:sz w:val="24"/>
          <w:highlight w:val="none"/>
        </w:rPr>
        <w:t>7</w:t>
      </w:r>
      <w:r>
        <w:rPr>
          <w:rFonts w:hint="eastAsia" w:ascii="宋体" w:hAnsi="宋体" w:eastAsia="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13.4</w:t>
      </w:r>
      <w:r>
        <w:rPr>
          <w:rFonts w:hint="eastAsia" w:ascii="宋体" w:hAnsi="宋体" w:eastAsia="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w:t>
      </w:r>
      <w:r>
        <w:rPr>
          <w:rFonts w:hint="eastAsia" w:ascii="宋体" w:hAnsi="宋体" w:eastAsia="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13.5.1</w:t>
      </w:r>
      <w:r>
        <w:rPr>
          <w:rFonts w:hint="eastAsia" w:ascii="宋体" w:hAnsi="宋体" w:eastAsia="宋体"/>
          <w:color w:val="auto"/>
          <w:sz w:val="24"/>
          <w:highlight w:val="none"/>
        </w:rPr>
        <w:t>中标的投标文件工程量清单中已有相同项目的适用综合单价，则沿用；</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13.5.2</w:t>
      </w:r>
      <w:r>
        <w:rPr>
          <w:rFonts w:hint="eastAsia" w:ascii="宋体" w:hAnsi="宋体" w:eastAsia="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13.5.3 </w:t>
      </w:r>
      <w:r>
        <w:rPr>
          <w:rFonts w:hint="eastAsia" w:ascii="宋体" w:hAnsi="宋体" w:eastAsia="宋体"/>
          <w:color w:val="auto"/>
          <w:sz w:val="24"/>
          <w:highlight w:val="none"/>
        </w:rPr>
        <w:t>中标的投标文件工程量清单中没有相同项目或类似项目的，如可套取相关定额，则以相关定额为基数下浮计算单价</w:t>
      </w:r>
      <w:r>
        <w:rPr>
          <w:rFonts w:ascii="宋体" w:hAnsi="宋体" w:eastAsia="宋体"/>
          <w:color w:val="auto"/>
          <w:sz w:val="24"/>
          <w:highlight w:val="none"/>
        </w:rPr>
        <w:t>,</w:t>
      </w:r>
      <w:r>
        <w:rPr>
          <w:rFonts w:hint="eastAsia" w:ascii="宋体" w:hAnsi="宋体" w:eastAsia="宋体"/>
          <w:color w:val="auto"/>
          <w:sz w:val="24"/>
          <w:highlight w:val="none"/>
        </w:rPr>
        <w:t>下浮率为中标价</w:t>
      </w:r>
      <w:r>
        <w:rPr>
          <w:rFonts w:hint="eastAsia" w:ascii="宋体" w:hAnsi="宋体" w:eastAsia="宋体"/>
          <w:color w:val="auto"/>
          <w:sz w:val="24"/>
          <w:szCs w:val="24"/>
          <w:highlight w:val="none"/>
        </w:rPr>
        <w:t>相对于最高投标限价的下</w:t>
      </w:r>
      <w:r>
        <w:rPr>
          <w:rFonts w:hint="eastAsia" w:ascii="宋体" w:hAnsi="宋体" w:eastAsia="宋体"/>
          <w:color w:val="auto"/>
          <w:sz w:val="24"/>
          <w:highlight w:val="none"/>
        </w:rPr>
        <w:t>浮率（下浮率</w:t>
      </w:r>
      <w:r>
        <w:rPr>
          <w:rFonts w:ascii="宋体" w:hAnsi="宋体" w:eastAsia="宋体"/>
          <w:color w:val="auto"/>
          <w:sz w:val="24"/>
          <w:highlight w:val="none"/>
        </w:rPr>
        <w:t>=(</w:t>
      </w:r>
      <w:r>
        <w:rPr>
          <w:rFonts w:hint="eastAsia" w:ascii="宋体" w:hAnsi="宋体" w:eastAsia="宋体"/>
          <w:color w:val="auto"/>
          <w:sz w:val="24"/>
          <w:szCs w:val="24"/>
          <w:highlight w:val="none"/>
        </w:rPr>
        <w:t>最高投标限价</w:t>
      </w:r>
      <w:r>
        <w:rPr>
          <w:rFonts w:ascii="宋体" w:hAnsi="宋体" w:eastAsia="宋体"/>
          <w:color w:val="auto"/>
          <w:sz w:val="24"/>
          <w:highlight w:val="none"/>
        </w:rPr>
        <w:t>-</w:t>
      </w:r>
      <w:r>
        <w:rPr>
          <w:rFonts w:hint="eastAsia" w:ascii="宋体" w:hAnsi="宋体" w:eastAsia="宋体"/>
          <w:color w:val="auto"/>
          <w:sz w:val="24"/>
          <w:highlight w:val="none"/>
        </w:rPr>
        <w:t>中标价</w:t>
      </w:r>
      <w:r>
        <w:rPr>
          <w:rFonts w:ascii="宋体" w:hAnsi="宋体" w:eastAsia="宋体"/>
          <w:color w:val="auto"/>
          <w:sz w:val="24"/>
          <w:highlight w:val="none"/>
        </w:rPr>
        <w:t>)/</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最高投标限价</w:t>
      </w:r>
      <w:r>
        <w:rPr>
          <w:rFonts w:hint="eastAsia" w:ascii="宋体" w:hAnsi="宋体" w:eastAsia="宋体"/>
          <w:color w:val="auto"/>
          <w:sz w:val="24"/>
          <w:highlight w:val="none"/>
        </w:rPr>
        <w:t>）。</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13.5.4 </w:t>
      </w:r>
      <w:r>
        <w:rPr>
          <w:rFonts w:hint="eastAsia" w:ascii="宋体" w:hAnsi="宋体" w:eastAsia="宋体"/>
          <w:color w:val="auto"/>
          <w:sz w:val="24"/>
          <w:highlight w:val="none"/>
        </w:rPr>
        <w:t>如相关定额没有相应子目的，其计价方式由招标人在本招标文件第三章中另行规定。未规定的，中标后双方协商约定。</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w:t>
      </w:r>
      <w:r>
        <w:rPr>
          <w:rFonts w:hint="eastAsia" w:ascii="宋体" w:hAnsi="宋体" w:eastAsia="宋体"/>
          <w:color w:val="auto"/>
          <w:sz w:val="24"/>
          <w:highlight w:val="none"/>
        </w:rPr>
        <w:t>暂列金额、暂估价</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13.6.1</w:t>
      </w:r>
      <w:r>
        <w:rPr>
          <w:rFonts w:hint="eastAsia" w:ascii="宋体" w:hAnsi="宋体" w:eastAsia="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暂估价是指招标人在工程量清单中提供的用于支付必然发生但暂时不能确定价格的材料的单价以及专业工程的金额。</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13.6.2</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13.6.3</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13.6.4</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color w:val="auto"/>
          <w:sz w:val="24"/>
          <w:highlight w:val="none"/>
        </w:rPr>
        <w:t>13.5</w:t>
      </w:r>
      <w:r>
        <w:rPr>
          <w:rFonts w:hint="eastAsia" w:ascii="宋体" w:hAnsi="宋体" w:eastAsia="宋体"/>
          <w:color w:val="auto"/>
          <w:sz w:val="24"/>
          <w:highlight w:val="none"/>
        </w:rPr>
        <w:t>款规定确定。</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13.6.5</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13.6.6 </w:t>
      </w:r>
      <w:r>
        <w:rPr>
          <w:rFonts w:hint="eastAsia" w:ascii="宋体" w:hAnsi="宋体" w:eastAsia="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13.7</w:t>
      </w:r>
      <w:r>
        <w:rPr>
          <w:rFonts w:hint="eastAsia" w:ascii="宋体" w:hAnsi="宋体" w:eastAsia="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13.8</w:t>
      </w:r>
      <w:r>
        <w:rPr>
          <w:rFonts w:hint="eastAsia" w:ascii="宋体" w:hAnsi="宋体" w:eastAsia="宋体"/>
          <w:color w:val="auto"/>
          <w:sz w:val="24"/>
          <w:highlight w:val="none"/>
        </w:rPr>
        <w:t>属于承包人自行采购的主要材料、设备，招标人应当在招标文件中提出材料、设备的技术标准或者质量要求，或者提出不少于</w:t>
      </w:r>
      <w:r>
        <w:rPr>
          <w:rFonts w:ascii="宋体" w:hAnsi="宋体" w:eastAsia="宋体"/>
          <w:color w:val="auto"/>
          <w:sz w:val="24"/>
          <w:highlight w:val="none"/>
        </w:rPr>
        <w:t>3</w:t>
      </w:r>
      <w:r>
        <w:rPr>
          <w:rFonts w:hint="eastAsia" w:ascii="宋体" w:hAnsi="宋体" w:eastAsia="宋体"/>
          <w:color w:val="auto"/>
          <w:sz w:val="24"/>
          <w:highlight w:val="none"/>
        </w:rPr>
        <w:t>个同等档次品牌或分包商供投标人报价时选择</w:t>
      </w:r>
      <w:r>
        <w:rPr>
          <w:rFonts w:ascii="宋体" w:hAnsi="宋体" w:eastAsia="宋体"/>
          <w:color w:val="auto"/>
          <w:sz w:val="24"/>
          <w:highlight w:val="none"/>
        </w:rPr>
        <w:t>,</w:t>
      </w:r>
      <w:r>
        <w:rPr>
          <w:rFonts w:hint="eastAsia" w:ascii="宋体" w:hAnsi="宋体" w:eastAsia="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6"/>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highlight w:val="none"/>
        </w:rPr>
        <w:t>13.9</w:t>
      </w:r>
      <w:r>
        <w:rPr>
          <w:rFonts w:hint="eastAsia" w:ascii="宋体" w:hAnsi="宋体" w:eastAsia="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14</w:t>
      </w:r>
      <w:r>
        <w:rPr>
          <w:rFonts w:hint="eastAsia" w:ascii="宋体" w:hAnsi="宋体" w:eastAsia="宋体"/>
          <w:b/>
          <w:bCs/>
          <w:color w:val="auto"/>
          <w:sz w:val="24"/>
          <w:highlight w:val="none"/>
        </w:rPr>
        <w:t>．投标货币</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14.1 </w:t>
      </w:r>
      <w:r>
        <w:rPr>
          <w:rFonts w:hint="eastAsia" w:ascii="宋体" w:hAnsi="宋体" w:eastAsia="宋体"/>
          <w:color w:val="auto"/>
          <w:sz w:val="24"/>
          <w:highlight w:val="none"/>
        </w:rPr>
        <w:t>本工程投标报价采用的币种为人民币。</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b/>
          <w:bCs/>
          <w:color w:val="auto"/>
          <w:sz w:val="24"/>
          <w:highlight w:val="none"/>
        </w:rPr>
        <w:t>15</w:t>
      </w:r>
      <w:r>
        <w:rPr>
          <w:rFonts w:hint="eastAsia" w:ascii="宋体" w:hAnsi="宋体" w:eastAsia="宋体"/>
          <w:b/>
          <w:bCs/>
          <w:color w:val="auto"/>
          <w:sz w:val="24"/>
          <w:highlight w:val="none"/>
        </w:rPr>
        <w:t>．投标有效期</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15.1 </w:t>
      </w:r>
      <w:r>
        <w:rPr>
          <w:rFonts w:hint="eastAsia" w:ascii="宋体" w:hAnsi="宋体" w:eastAsia="宋体"/>
          <w:color w:val="auto"/>
          <w:sz w:val="24"/>
          <w:highlight w:val="none"/>
        </w:rPr>
        <w:t>投标有效期见投标须知前附表第</w:t>
      </w:r>
      <w:r>
        <w:rPr>
          <w:rFonts w:ascii="宋体" w:hAnsi="宋体" w:eastAsia="宋体"/>
          <w:color w:val="auto"/>
          <w:sz w:val="24"/>
          <w:highlight w:val="none"/>
        </w:rPr>
        <w:t>13</w:t>
      </w:r>
      <w:r>
        <w:rPr>
          <w:rFonts w:hint="eastAsia" w:ascii="宋体" w:hAnsi="宋体" w:eastAsia="宋体"/>
          <w:color w:val="auto"/>
          <w:sz w:val="24"/>
          <w:highlight w:val="none"/>
        </w:rPr>
        <w:t>项所规定的期限，在此期限内，凡符合本招标文件要求的投标文件均保持有效。</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olor w:val="auto"/>
          <w:sz w:val="24"/>
          <w:highlight w:val="none"/>
        </w:rPr>
        <w:t>16</w:t>
      </w:r>
      <w:r>
        <w:rPr>
          <w:rFonts w:hint="eastAsia" w:ascii="宋体" w:hAnsi="宋体" w:eastAsia="宋体"/>
          <w:color w:val="auto"/>
          <w:sz w:val="24"/>
          <w:highlight w:val="none"/>
        </w:rPr>
        <w:t>条关于投标保证金的退还与不予退还的规定仍然适用。</w:t>
      </w:r>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16</w:t>
      </w:r>
      <w:r>
        <w:rPr>
          <w:rFonts w:hint="eastAsia" w:ascii="宋体" w:hAnsi="宋体" w:eastAsia="宋体"/>
          <w:b/>
          <w:bCs/>
          <w:color w:val="auto"/>
          <w:sz w:val="24"/>
          <w:highlight w:val="none"/>
        </w:rPr>
        <w:t>．投标保证金</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16.1</w:t>
      </w:r>
      <w:r>
        <w:rPr>
          <w:rFonts w:hint="eastAsia" w:ascii="宋体" w:hAnsi="宋体" w:eastAsia="宋体"/>
          <w:color w:val="auto"/>
          <w:sz w:val="24"/>
          <w:highlight w:val="none"/>
        </w:rPr>
        <w:t>投标人应按投标须知前附表第</w:t>
      </w:r>
      <w:r>
        <w:rPr>
          <w:rFonts w:ascii="宋体" w:hAnsi="宋体" w:eastAsia="宋体"/>
          <w:color w:val="auto"/>
          <w:sz w:val="24"/>
          <w:highlight w:val="none"/>
        </w:rPr>
        <w:t>14</w:t>
      </w:r>
      <w:r>
        <w:rPr>
          <w:rFonts w:hint="eastAsia" w:ascii="宋体" w:hAnsi="宋体" w:eastAsia="宋体"/>
          <w:color w:val="auto"/>
          <w:sz w:val="24"/>
          <w:highlight w:val="none"/>
        </w:rPr>
        <w:t>项所述金额和时间递交投标保证金。招标人应当允许投标人自主选择现金、银行保函、保证保险、专业工程担保公司担保等方式缴纳投标保证金。</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16.1.1 </w:t>
      </w:r>
      <w:r>
        <w:rPr>
          <w:rFonts w:hint="eastAsia" w:ascii="宋体" w:hAnsi="宋体" w:eastAsia="宋体"/>
          <w:color w:val="auto"/>
          <w:sz w:val="24"/>
          <w:highlight w:val="none"/>
        </w:rPr>
        <w:t>采用现金或者支票形式提交的，投标保证金须从投标人的银行基本账户转出。</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16.1.2 </w:t>
      </w:r>
      <w:r>
        <w:rPr>
          <w:rFonts w:hint="eastAsia" w:ascii="宋体" w:hAnsi="宋体" w:eastAsia="宋体"/>
          <w:color w:val="auto"/>
          <w:sz w:val="24"/>
          <w:highlight w:val="none"/>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Pr>
          <w:rFonts w:ascii="宋体" w:hAnsi="宋体" w:eastAsia="宋体"/>
          <w:color w:val="auto"/>
          <w:sz w:val="24"/>
          <w:highlight w:val="none"/>
        </w:rPr>
        <w:t>16.4</w:t>
      </w:r>
      <w:r>
        <w:rPr>
          <w:rFonts w:hint="eastAsia" w:ascii="宋体" w:hAnsi="宋体" w:eastAsia="宋体"/>
          <w:color w:val="auto"/>
          <w:sz w:val="24"/>
          <w:highlight w:val="none"/>
        </w:rPr>
        <w:t>条款所列情形的，应将纸质原件提交给招标人。</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16.1.3 </w:t>
      </w:r>
      <w:r>
        <w:rPr>
          <w:rFonts w:hint="eastAsia" w:ascii="宋体" w:hAnsi="宋体" w:eastAsia="宋体"/>
          <w:color w:val="auto"/>
          <w:sz w:val="24"/>
          <w:highlight w:val="none"/>
        </w:rPr>
        <w:t>采用电子形式的保函、担保或保证保险提交投标保证金的，应在招标文件中明确电子递交途径。</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16.2</w:t>
      </w:r>
      <w:r>
        <w:rPr>
          <w:rFonts w:hint="eastAsia" w:ascii="宋体" w:hAnsi="宋体" w:eastAsia="宋体"/>
          <w:color w:val="auto"/>
          <w:sz w:val="24"/>
          <w:highlight w:val="none"/>
        </w:rPr>
        <w:t>开标时投标人没有按要求提供投标保证金的，其投标文件将被否决；未按招标文件要求提交符合免予提供投标保证金相关证明材料，且未提交投标保证金的投标人，视为未按要求提供投标保证金。</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16.3</w:t>
      </w:r>
      <w:r>
        <w:rPr>
          <w:rFonts w:hint="eastAsia" w:ascii="宋体" w:hAnsi="宋体" w:eastAsia="宋体"/>
          <w:color w:val="auto"/>
          <w:sz w:val="24"/>
          <w:highlight w:val="none"/>
        </w:rPr>
        <w:t>投标保证金应依据法律法规的相关规定退还。</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16.4</w:t>
      </w:r>
      <w:r>
        <w:rPr>
          <w:rFonts w:hint="eastAsia" w:ascii="宋体" w:hAnsi="宋体" w:eastAsia="宋体"/>
          <w:color w:val="auto"/>
          <w:sz w:val="24"/>
          <w:highlight w:val="none"/>
        </w:rPr>
        <w:t>如有下列情况之一的，招标人可以不予退还投标保证金（是否退还投标保证金由招标人在招标文件中规定）：</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16.4.1</w:t>
      </w:r>
      <w:r>
        <w:rPr>
          <w:rFonts w:hint="eastAsia" w:ascii="宋体" w:hAnsi="宋体" w:eastAsia="宋体"/>
          <w:color w:val="auto"/>
          <w:sz w:val="24"/>
          <w:highlight w:val="none"/>
        </w:rPr>
        <w:t>因投标人原因造成投标文件未解密的；</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16.4.2</w:t>
      </w:r>
      <w:r>
        <w:rPr>
          <w:rFonts w:hint="eastAsia" w:ascii="宋体" w:hAnsi="宋体" w:eastAsia="宋体"/>
          <w:color w:val="auto"/>
          <w:sz w:val="24"/>
          <w:highlight w:val="none"/>
        </w:rPr>
        <w:t>投标人在投标有效期内撤销投标文件；</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16.4.3</w:t>
      </w:r>
      <w:r>
        <w:rPr>
          <w:rFonts w:hint="eastAsia" w:ascii="宋体" w:hAnsi="宋体" w:eastAsia="宋体"/>
          <w:color w:val="auto"/>
          <w:sz w:val="24"/>
          <w:highlight w:val="none"/>
        </w:rPr>
        <w:t>中标人未能在规定期限内按要求提交履约担保；</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16.4.4</w:t>
      </w:r>
      <w:r>
        <w:rPr>
          <w:rFonts w:hint="eastAsia" w:ascii="宋体" w:hAnsi="宋体" w:eastAsia="宋体"/>
          <w:color w:val="auto"/>
          <w:sz w:val="24"/>
          <w:highlight w:val="none"/>
        </w:rPr>
        <w:t>中标人未能在规定期限内签署合同协议。</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16.5</w:t>
      </w:r>
      <w:r>
        <w:rPr>
          <w:rFonts w:hint="eastAsia" w:ascii="宋体" w:hAnsi="宋体" w:eastAsia="宋体"/>
          <w:color w:val="auto"/>
          <w:sz w:val="24"/>
          <w:highlight w:val="none"/>
        </w:rPr>
        <w:t>投标人如存在下列情况之一的，将被拒绝</w:t>
      </w:r>
      <w:r>
        <w:rPr>
          <w:rFonts w:ascii="宋体" w:hAnsi="宋体" w:eastAsia="宋体"/>
          <w:color w:val="auto"/>
          <w:sz w:val="24"/>
          <w:highlight w:val="none"/>
          <w:u w:val="single"/>
        </w:rPr>
        <w:t>1</w:t>
      </w:r>
      <w:r>
        <w:rPr>
          <w:rFonts w:hint="eastAsia" w:ascii="宋体" w:hAnsi="宋体" w:eastAsia="宋体"/>
          <w:color w:val="auto"/>
          <w:sz w:val="24"/>
          <w:highlight w:val="none"/>
          <w:u w:val="single"/>
        </w:rPr>
        <w:t>年内</w:t>
      </w:r>
      <w:r>
        <w:rPr>
          <w:rFonts w:hint="eastAsia" w:ascii="宋体" w:hAnsi="宋体" w:eastAsia="宋体"/>
          <w:color w:val="auto"/>
          <w:sz w:val="24"/>
          <w:highlight w:val="none"/>
        </w:rPr>
        <w:t>参与招标人后续工程投标（拒绝时限需在招标文件中明确）：</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16.5.1</w:t>
      </w:r>
      <w:r>
        <w:rPr>
          <w:rFonts w:hint="eastAsia" w:ascii="宋体" w:hAnsi="宋体" w:eastAsia="宋体"/>
          <w:color w:val="auto"/>
          <w:sz w:val="24"/>
          <w:highlight w:val="none"/>
        </w:rPr>
        <w:t>投标人存在</w:t>
      </w:r>
      <w:r>
        <w:rPr>
          <w:rFonts w:ascii="宋体" w:hAnsi="宋体" w:eastAsia="宋体"/>
          <w:color w:val="auto"/>
          <w:sz w:val="24"/>
          <w:highlight w:val="none"/>
        </w:rPr>
        <w:t>16.4</w:t>
      </w:r>
      <w:r>
        <w:rPr>
          <w:rFonts w:hint="eastAsia" w:ascii="宋体" w:hAnsi="宋体" w:eastAsia="宋体"/>
          <w:color w:val="auto"/>
          <w:sz w:val="24"/>
          <w:highlight w:val="none"/>
        </w:rPr>
        <w:t>条款所列情形且投标人提交的保函、担保或保证保险无法兑付的；</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16.5.2</w:t>
      </w:r>
      <w:r>
        <w:rPr>
          <w:rFonts w:hint="eastAsia" w:ascii="宋体" w:hAnsi="宋体" w:eastAsia="宋体"/>
          <w:color w:val="auto"/>
          <w:sz w:val="24"/>
          <w:highlight w:val="none"/>
        </w:rPr>
        <w:t>采用非电子形式提交投标保证金的投标人存在</w:t>
      </w:r>
      <w:r>
        <w:rPr>
          <w:rFonts w:ascii="宋体" w:hAnsi="宋体" w:eastAsia="宋体"/>
          <w:color w:val="auto"/>
          <w:sz w:val="24"/>
          <w:highlight w:val="none"/>
        </w:rPr>
        <w:t>16.4</w:t>
      </w:r>
      <w:r>
        <w:rPr>
          <w:rFonts w:hint="eastAsia" w:ascii="宋体" w:hAnsi="宋体" w:eastAsia="宋体"/>
          <w:color w:val="auto"/>
          <w:sz w:val="24"/>
          <w:highlight w:val="none"/>
        </w:rPr>
        <w:t>条款所列情形，且未按招标人要求补交银行保函、专业工程担保公司担保或保证保险原件的；</w:t>
      </w:r>
    </w:p>
    <w:p>
      <w:pPr>
        <w:pStyle w:val="6"/>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16.5.3</w:t>
      </w:r>
      <w:r>
        <w:rPr>
          <w:rFonts w:hint="eastAsia" w:ascii="宋体" w:hAnsi="宋体" w:eastAsia="宋体"/>
          <w:color w:val="auto"/>
          <w:sz w:val="24"/>
          <w:highlight w:val="none"/>
        </w:rPr>
        <w:t>按招标文件要求免于提供投标保证金的投标人存在</w:t>
      </w:r>
      <w:r>
        <w:rPr>
          <w:rFonts w:ascii="宋体" w:hAnsi="宋体" w:eastAsia="宋体"/>
          <w:color w:val="auto"/>
          <w:sz w:val="24"/>
          <w:highlight w:val="none"/>
        </w:rPr>
        <w:t>16.4</w:t>
      </w:r>
      <w:r>
        <w:rPr>
          <w:rFonts w:hint="eastAsia" w:ascii="宋体" w:hAnsi="宋体" w:eastAsia="宋体"/>
          <w:color w:val="auto"/>
          <w:sz w:val="24"/>
          <w:highlight w:val="none"/>
        </w:rPr>
        <w:t>条款所列情形，且未按招标人要求补交投标保证金的；</w:t>
      </w:r>
    </w:p>
    <w:p>
      <w:pPr>
        <w:pStyle w:val="6"/>
        <w:spacing w:line="360" w:lineRule="auto"/>
        <w:ind w:firstLine="480" w:firstLineChars="200"/>
        <w:rPr>
          <w:rFonts w:ascii="宋体" w:hAnsi="宋体" w:eastAsia="宋体"/>
          <w:strike/>
          <w:color w:val="auto"/>
          <w:sz w:val="24"/>
          <w:highlight w:val="none"/>
        </w:rPr>
      </w:pPr>
      <w:r>
        <w:rPr>
          <w:rFonts w:ascii="宋体" w:hAnsi="宋体" w:eastAsia="宋体"/>
          <w:strike/>
          <w:color w:val="auto"/>
          <w:sz w:val="24"/>
          <w:highlight w:val="none"/>
        </w:rPr>
        <w:t>16.5.3</w:t>
      </w:r>
      <w:r>
        <w:rPr>
          <w:rFonts w:hint="eastAsia" w:ascii="宋体" w:hAnsi="宋体" w:eastAsia="宋体"/>
          <w:strike/>
          <w:color w:val="auto"/>
          <w:sz w:val="24"/>
          <w:highlight w:val="none"/>
        </w:rPr>
        <w:t>按招标文件要求免于提供投标保证金的投标人存在</w:t>
      </w:r>
      <w:r>
        <w:rPr>
          <w:rFonts w:ascii="宋体" w:hAnsi="宋体" w:eastAsia="宋体"/>
          <w:strike/>
          <w:color w:val="auto"/>
          <w:sz w:val="24"/>
          <w:highlight w:val="none"/>
        </w:rPr>
        <w:t>16.4</w:t>
      </w:r>
      <w:r>
        <w:rPr>
          <w:rFonts w:hint="eastAsia" w:ascii="宋体" w:hAnsi="宋体" w:eastAsia="宋体"/>
          <w:strike/>
          <w:color w:val="auto"/>
          <w:sz w:val="24"/>
          <w:highlight w:val="none"/>
        </w:rPr>
        <w:t>条款所列情形的。</w:t>
      </w:r>
    </w:p>
    <w:p>
      <w:pPr>
        <w:pStyle w:val="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注：</w:t>
      </w:r>
      <w:r>
        <w:rPr>
          <w:rFonts w:ascii="宋体" w:hAnsi="宋体" w:eastAsia="宋体"/>
          <w:color w:val="auto"/>
          <w:sz w:val="24"/>
          <w:highlight w:val="none"/>
        </w:rPr>
        <w:t>16.5.3</w:t>
      </w:r>
      <w:r>
        <w:rPr>
          <w:rFonts w:hint="eastAsia" w:ascii="宋体" w:hAnsi="宋体" w:eastAsia="宋体"/>
          <w:color w:val="auto"/>
          <w:sz w:val="24"/>
          <w:highlight w:val="none"/>
        </w:rPr>
        <w:t>款由招标人二选一，需在招标文件中明确。</w:t>
      </w:r>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17</w:t>
      </w:r>
      <w:r>
        <w:rPr>
          <w:rFonts w:hint="eastAsia" w:ascii="宋体" w:hAnsi="宋体" w:eastAsia="宋体"/>
          <w:b/>
          <w:bCs/>
          <w:color w:val="auto"/>
          <w:sz w:val="24"/>
          <w:highlight w:val="none"/>
        </w:rPr>
        <w:t>．投标文件的签署</w:t>
      </w:r>
    </w:p>
    <w:p>
      <w:pPr>
        <w:spacing w:line="360" w:lineRule="auto"/>
        <w:ind w:firstLine="480" w:firstLineChars="200"/>
        <w:rPr>
          <w:rFonts w:asci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投标人应采用单位数字证书，按招标文件要求在相应位置加盖电子印章。投标文件中需个人签字或盖章的，应在线下完成后扫描上传。按照交易平台关于全流程电子化项目的相关指南进行操作。详见：</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pPr>
        <w:pStyle w:val="10"/>
        <w:spacing w:before="156" w:after="156"/>
        <w:rPr>
          <w:color w:val="auto"/>
          <w:highlight w:val="none"/>
        </w:rPr>
      </w:pPr>
      <w:bookmarkStart w:id="20" w:name="_Toc2272552"/>
      <w:bookmarkStart w:id="21" w:name="_Toc30478"/>
      <w:r>
        <w:rPr>
          <w:rFonts w:hint="eastAsia"/>
          <w:color w:val="auto"/>
          <w:highlight w:val="none"/>
        </w:rPr>
        <w:t>（四）投标文件的提交</w:t>
      </w:r>
      <w:bookmarkEnd w:id="20"/>
      <w:bookmarkEnd w:id="21"/>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18</w:t>
      </w:r>
      <w:r>
        <w:rPr>
          <w:rFonts w:hint="eastAsia" w:ascii="宋体" w:hAnsi="宋体" w:eastAsia="宋体"/>
          <w:b/>
          <w:bCs/>
          <w:color w:val="auto"/>
          <w:sz w:val="24"/>
          <w:highlight w:val="none"/>
        </w:rPr>
        <w:t>．</w:t>
      </w:r>
      <w:r>
        <w:rPr>
          <w:rFonts w:hint="eastAsia" w:ascii="宋体" w:hAnsi="宋体" w:eastAsia="宋体"/>
          <w:b/>
          <w:color w:val="auto"/>
          <w:sz w:val="24"/>
          <w:szCs w:val="24"/>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18.1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w:t>
      </w:r>
    </w:p>
    <w:p>
      <w:pPr>
        <w:spacing w:line="360" w:lineRule="auto"/>
        <w:ind w:firstLine="480" w:firstLineChars="200"/>
        <w:rPr>
          <w:rFonts w:ascii="宋体"/>
          <w:bCs/>
          <w:color w:val="auto"/>
          <w:sz w:val="24"/>
          <w:highlight w:val="none"/>
        </w:rPr>
      </w:pPr>
      <w:r>
        <w:rPr>
          <w:rFonts w:ascii="宋体" w:hAnsi="宋体"/>
          <w:bCs/>
          <w:color w:val="auto"/>
          <w:sz w:val="24"/>
          <w:highlight w:val="none"/>
        </w:rPr>
        <w:t>18.2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pPr>
        <w:spacing w:line="360" w:lineRule="auto"/>
        <w:ind w:firstLine="480" w:firstLineChars="200"/>
        <w:rPr>
          <w:rFonts w:ascii="宋体"/>
          <w:bCs/>
          <w:color w:val="auto"/>
          <w:sz w:val="24"/>
          <w:highlight w:val="none"/>
        </w:rPr>
      </w:pPr>
      <w:r>
        <w:rPr>
          <w:rFonts w:ascii="宋体" w:hAnsi="宋体"/>
          <w:bCs/>
          <w:color w:val="auto"/>
          <w:sz w:val="24"/>
          <w:highlight w:val="none"/>
        </w:rPr>
        <w:t>19.1</w:t>
      </w:r>
      <w:r>
        <w:rPr>
          <w:rFonts w:hint="eastAsia" w:ascii="宋体" w:hAnsi="宋体"/>
          <w:bCs/>
          <w:color w:val="auto"/>
          <w:sz w:val="24"/>
          <w:highlight w:val="none"/>
        </w:rPr>
        <w:t>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pPr>
        <w:spacing w:line="360" w:lineRule="auto"/>
        <w:ind w:firstLine="480" w:firstLineChars="200"/>
        <w:rPr>
          <w:rFonts w:ascii="宋体"/>
          <w:bCs/>
          <w:color w:val="auto"/>
          <w:sz w:val="24"/>
          <w:highlight w:val="none"/>
        </w:rPr>
      </w:pPr>
      <w:r>
        <w:rPr>
          <w:rFonts w:ascii="宋体" w:hAnsi="宋体"/>
          <w:bCs/>
          <w:color w:val="auto"/>
          <w:sz w:val="24"/>
          <w:highlight w:val="none"/>
        </w:rPr>
        <w:t>19.2</w:t>
      </w:r>
      <w:r>
        <w:rPr>
          <w:rFonts w:hint="eastAsia" w:ascii="宋体" w:hAnsi="宋体"/>
          <w:bCs/>
          <w:color w:val="auto"/>
          <w:sz w:val="24"/>
          <w:highlight w:val="none"/>
        </w:rPr>
        <w:t>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pPr>
        <w:spacing w:line="360" w:lineRule="auto"/>
        <w:ind w:firstLine="480" w:firstLineChars="200"/>
        <w:rPr>
          <w:rFonts w:ascii="宋体"/>
          <w:color w:val="auto"/>
          <w:sz w:val="24"/>
          <w:highlight w:val="none"/>
        </w:rPr>
      </w:pPr>
      <w:r>
        <w:rPr>
          <w:rFonts w:ascii="宋体" w:hAnsi="宋体"/>
          <w:bCs/>
          <w:color w:val="auto"/>
          <w:sz w:val="24"/>
          <w:highlight w:val="none"/>
        </w:rPr>
        <w:t>19.3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19.4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pPr>
        <w:spacing w:line="360" w:lineRule="auto"/>
        <w:ind w:firstLine="480" w:firstLineChars="200"/>
        <w:rPr>
          <w:rFonts w:ascii="宋体"/>
          <w:color w:val="auto"/>
          <w:sz w:val="24"/>
          <w:highlight w:val="none"/>
        </w:rPr>
      </w:pPr>
      <w:r>
        <w:rPr>
          <w:rFonts w:ascii="宋体" w:hAnsi="宋体"/>
          <w:color w:val="auto"/>
          <w:sz w:val="24"/>
          <w:highlight w:val="none"/>
        </w:rPr>
        <w:t>19.5</w:t>
      </w:r>
      <w:r>
        <w:rPr>
          <w:rFonts w:hint="eastAsia" w:ascii="宋体" w:hAnsi="宋体"/>
          <w:color w:val="auto"/>
          <w:sz w:val="24"/>
          <w:highlight w:val="none"/>
        </w:rPr>
        <w:t>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pPr>
        <w:spacing w:line="360" w:lineRule="auto"/>
        <w:ind w:firstLine="480" w:firstLineChars="200"/>
        <w:rPr>
          <w:rFonts w:ascii="宋体"/>
          <w:color w:val="auto"/>
          <w:sz w:val="24"/>
          <w:highlight w:val="none"/>
        </w:rPr>
      </w:pPr>
      <w:r>
        <w:rPr>
          <w:rFonts w:ascii="宋体" w:hAnsi="宋体"/>
          <w:color w:val="auto"/>
          <w:sz w:val="24"/>
          <w:szCs w:val="24"/>
          <w:highlight w:val="none"/>
        </w:rPr>
        <w:t>19.6</w:t>
      </w:r>
      <w:r>
        <w:rPr>
          <w:rFonts w:hint="eastAsia" w:ascii="宋体" w:hAnsi="宋体"/>
          <w:color w:val="auto"/>
          <w:sz w:val="24"/>
          <w:szCs w:val="24"/>
          <w:highlight w:val="none"/>
        </w:rPr>
        <w:t>在规定的时间内，项目负责人须到自助签到。按照交易平台有关项目负责人自助签到流程进行操作。项目负责人凡未凭身份证按时到达指定地点签到的，</w:t>
      </w:r>
      <w:r>
        <w:rPr>
          <w:rFonts w:hint="eastAsia" w:ascii="宋体" w:hAnsi="宋体"/>
          <w:color w:val="auto"/>
          <w:sz w:val="24"/>
          <w:highlight w:val="none"/>
        </w:rPr>
        <w:t>该投标文件将不能参与资格审查和评标</w:t>
      </w:r>
      <w:r>
        <w:rPr>
          <w:rFonts w:hint="eastAsia" w:ascii="宋体" w:hAnsi="宋体"/>
          <w:color w:val="auto"/>
          <w:sz w:val="24"/>
          <w:szCs w:val="24"/>
          <w:highlight w:val="none"/>
        </w:rPr>
        <w:t>（选择性条款）。</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ascii="宋体" w:hAnsi="宋体"/>
          <w:color w:val="auto"/>
          <w:sz w:val="24"/>
          <w:highlight w:val="none"/>
        </w:rPr>
        <w:t>17</w:t>
      </w:r>
      <w:r>
        <w:rPr>
          <w:rFonts w:hint="eastAsia" w:ascii="宋体" w:hAnsi="宋体"/>
          <w:color w:val="auto"/>
          <w:sz w:val="24"/>
          <w:highlight w:val="none"/>
        </w:rPr>
        <w:t>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w:t>
      </w:r>
      <w:r>
        <w:rPr>
          <w:rFonts w:ascii="宋体" w:hAnsi="宋体"/>
          <w:color w:val="auto"/>
          <w:sz w:val="24"/>
          <w:highlight w:val="none"/>
        </w:rPr>
        <w:t>3</w:t>
      </w:r>
      <w:r>
        <w:rPr>
          <w:rFonts w:hint="eastAsia" w:ascii="宋体" w:hAnsi="宋体"/>
          <w:color w:val="auto"/>
          <w:sz w:val="24"/>
          <w:highlight w:val="none"/>
        </w:rPr>
        <w:t>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家，则重新组织招标）</w:t>
      </w:r>
      <w:r>
        <w:rPr>
          <w:rFonts w:hint="eastAsia" w:ascii="宋体" w:hAnsi="宋体"/>
          <w:color w:val="auto"/>
          <w:sz w:val="24"/>
          <w:highlight w:val="none"/>
        </w:rPr>
        <w:t>。</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rFonts w:hint="eastAsia"/>
          <w:color w:val="auto"/>
          <w:sz w:val="24"/>
          <w:szCs w:val="24"/>
          <w:highlight w:val="none"/>
        </w:rPr>
        <w:t>投标人修改或撤回已递交的投标文件，需在</w:t>
      </w:r>
      <w:r>
        <w:rPr>
          <w:rFonts w:hint="eastAsia" w:ascii="宋体" w:hAnsi="宋体"/>
          <w:color w:val="auto"/>
          <w:sz w:val="24"/>
          <w:highlight w:val="none"/>
        </w:rPr>
        <w:t>交易平台发出修改或撤回</w:t>
      </w:r>
      <w:r>
        <w:rPr>
          <w:rFonts w:hint="eastAsia"/>
          <w:color w:val="auto"/>
          <w:sz w:val="24"/>
          <w:szCs w:val="24"/>
          <w:highlight w:val="none"/>
        </w:rPr>
        <w:t>通知，并按要求加盖电子印章。</w:t>
      </w:r>
      <w:r>
        <w:rPr>
          <w:rFonts w:hint="eastAsia"/>
          <w:bCs/>
          <w:iCs/>
          <w:color w:val="auto"/>
          <w:sz w:val="24"/>
          <w:szCs w:val="24"/>
          <w:highlight w:val="none"/>
        </w:rPr>
        <w:t>电子招标投标交易平台收到通知后，</w:t>
      </w:r>
      <w:r>
        <w:rPr>
          <w:rFonts w:hint="eastAsia"/>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ascii="宋体" w:hAnsi="宋体"/>
          <w:color w:val="auto"/>
          <w:sz w:val="24"/>
          <w:szCs w:val="24"/>
          <w:highlight w:val="none"/>
        </w:rPr>
        <w:t>22.3</w:t>
      </w:r>
      <w:r>
        <w:rPr>
          <w:rFonts w:hint="eastAsia"/>
          <w:color w:val="auto"/>
          <w:sz w:val="24"/>
          <w:szCs w:val="24"/>
          <w:highlight w:val="none"/>
        </w:rPr>
        <w:t>修改后再次递交的，按</w:t>
      </w:r>
      <w:r>
        <w:rPr>
          <w:color w:val="auto"/>
          <w:sz w:val="24"/>
          <w:szCs w:val="24"/>
          <w:highlight w:val="none"/>
        </w:rPr>
        <w:t>19</w:t>
      </w:r>
      <w:r>
        <w:rPr>
          <w:rFonts w:hint="eastAsia"/>
          <w:color w:val="auto"/>
          <w:sz w:val="24"/>
          <w:szCs w:val="24"/>
          <w:highlight w:val="none"/>
        </w:rPr>
        <w:t>点的规定执行。</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22.4 </w:t>
      </w:r>
      <w:r>
        <w:rPr>
          <w:rFonts w:hint="eastAsia" w:ascii="宋体" w:hAnsi="宋体"/>
          <w:color w:val="auto"/>
          <w:sz w:val="24"/>
          <w:highlight w:val="none"/>
        </w:rPr>
        <w:t>在投标截止时间之后，投标人不得补充、修改和更换投标文件。</w:t>
      </w:r>
    </w:p>
    <w:p>
      <w:pPr>
        <w:pStyle w:val="10"/>
        <w:spacing w:before="156" w:after="156"/>
        <w:rPr>
          <w:color w:val="auto"/>
          <w:highlight w:val="none"/>
        </w:rPr>
      </w:pPr>
      <w:bookmarkStart w:id="22" w:name="_Toc2272553"/>
      <w:bookmarkStart w:id="23" w:name="_Toc19291"/>
      <w:r>
        <w:rPr>
          <w:rFonts w:hint="eastAsia"/>
          <w:color w:val="auto"/>
          <w:highlight w:val="none"/>
        </w:rPr>
        <w:t>（五）开标、评标、定标及合同签定</w:t>
      </w:r>
      <w:bookmarkEnd w:id="22"/>
      <w:bookmarkEnd w:id="23"/>
    </w:p>
    <w:p>
      <w:pPr>
        <w:spacing w:line="360" w:lineRule="auto"/>
        <w:ind w:firstLine="480"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ascii="宋体"/>
          <w:color w:val="auto"/>
          <w:sz w:val="24"/>
          <w:highlight w:val="none"/>
        </w:rPr>
      </w:pPr>
      <w:r>
        <w:rPr>
          <w:rFonts w:ascii="宋体" w:hAnsi="宋体"/>
          <w:color w:val="auto"/>
          <w:sz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color w:val="auto"/>
          <w:sz w:val="24"/>
          <w:szCs w:val="24"/>
          <w:highlight w:val="none"/>
          <w:u w:val="single"/>
        </w:rPr>
        <w:t xml:space="preserve">        </w:t>
      </w:r>
      <w:r>
        <w:rPr>
          <w:rFonts w:hint="eastAsia" w:ascii="宋体" w:hAnsi="宋体"/>
          <w:color w:val="auto"/>
          <w:sz w:val="24"/>
          <w:szCs w:val="24"/>
          <w:highlight w:val="none"/>
        </w:rPr>
        <w:t>交易平台和广东省招标投标监管网</w:t>
      </w:r>
      <w:r>
        <w:rPr>
          <w:rFonts w:hint="eastAsia" w:ascii="宋体" w:hAnsi="宋体"/>
          <w:color w:val="auto"/>
          <w:sz w:val="24"/>
          <w:highlight w:val="none"/>
        </w:rPr>
        <w:t>公开。</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20</w:t>
      </w:r>
      <w:r>
        <w:rPr>
          <w:rFonts w:hint="eastAsia" w:ascii="宋体" w:hAnsi="宋体"/>
          <w:color w:val="auto"/>
          <w:sz w:val="24"/>
          <w:highlight w:val="none"/>
        </w:rPr>
        <w:t>项的规定向招标人提交履约担保。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pPr>
        <w:spacing w:line="360" w:lineRule="auto"/>
        <w:ind w:firstLine="480"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pStyle w:val="6"/>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32</w:t>
      </w:r>
      <w:r>
        <w:rPr>
          <w:rFonts w:hint="eastAsia" w:ascii="宋体" w:hAnsi="宋体" w:eastAsia="宋体"/>
          <w:b/>
          <w:bCs/>
          <w:color w:val="auto"/>
          <w:sz w:val="24"/>
          <w:highlight w:val="none"/>
        </w:rPr>
        <w:t>．腐败与欺诈行为</w:t>
      </w:r>
    </w:p>
    <w:p>
      <w:pPr>
        <w:pStyle w:val="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在招标和合同实施期间，招标人要求投标人和承包人遵守最高的道德标准。</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32</w:t>
      </w: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对本条款的规定，特定义如下词汇：</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）、“腐败行为”是指在招标或合同执行期间，通过提供、给予、接受或索要任何有价值的东西，从而影响招标人有关人员工作的行为；</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6"/>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32</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如果投标人被认定在本招标的竞争中有腐败或欺诈行为，则会被取消投标资格。</w:t>
      </w:r>
    </w:p>
    <w:p>
      <w:pPr>
        <w:pStyle w:val="6"/>
        <w:spacing w:after="0" w:line="360" w:lineRule="auto"/>
        <w:ind w:firstLine="480" w:firstLineChars="200"/>
        <w:rPr>
          <w:color w:val="auto"/>
          <w:sz w:val="36"/>
          <w:szCs w:val="36"/>
          <w:highlight w:val="none"/>
        </w:rPr>
      </w:pPr>
      <w:r>
        <w:rPr>
          <w:rFonts w:ascii="宋体" w:hAnsi="宋体" w:eastAsia="宋体"/>
          <w:color w:val="auto"/>
          <w:sz w:val="24"/>
          <w:highlight w:val="none"/>
        </w:rPr>
        <w:t>32.3</w:t>
      </w:r>
      <w:r>
        <w:rPr>
          <w:rFonts w:hint="eastAsia" w:ascii="宋体" w:hAnsi="宋体" w:eastAsia="宋体"/>
          <w:color w:val="auto"/>
          <w:sz w:val="24"/>
          <w:highlight w:val="none"/>
        </w:rPr>
        <w:t>投标人如在本项目中存在串通投标、弄虚作假骗取中标、行贿情形的，中标无效，行政监督部门将对其违法行为进行政处罚。该投标人将被招标人列入黑名单并限制其参与招标人后续项目的投标。</w:t>
      </w:r>
      <w:r>
        <w:rPr>
          <w:rFonts w:ascii="宋体"/>
          <w:color w:val="auto"/>
          <w:sz w:val="24"/>
          <w:highlight w:val="none"/>
        </w:rPr>
        <w:br w:type="page"/>
      </w:r>
      <w:bookmarkStart w:id="24" w:name="_Toc2272554"/>
      <w:r>
        <w:rPr>
          <w:rFonts w:hint="eastAsia"/>
          <w:color w:val="auto"/>
          <w:sz w:val="36"/>
          <w:szCs w:val="36"/>
          <w:highlight w:val="none"/>
        </w:rPr>
        <w:t>第二章</w:t>
      </w:r>
      <w:r>
        <w:rPr>
          <w:color w:val="auto"/>
          <w:sz w:val="36"/>
          <w:szCs w:val="36"/>
          <w:highlight w:val="none"/>
        </w:rPr>
        <w:t xml:space="preserve">  </w:t>
      </w:r>
      <w:r>
        <w:rPr>
          <w:rFonts w:hint="eastAsia"/>
          <w:color w:val="auto"/>
          <w:sz w:val="36"/>
          <w:szCs w:val="36"/>
          <w:highlight w:val="none"/>
        </w:rPr>
        <w:t>开标、评标及定标办法</w:t>
      </w:r>
      <w:bookmarkEnd w:id="24"/>
    </w:p>
    <w:p>
      <w:pPr>
        <w:pStyle w:val="8"/>
        <w:spacing w:line="360" w:lineRule="auto"/>
        <w:rPr>
          <w:color w:val="auto"/>
          <w:sz w:val="28"/>
          <w:szCs w:val="28"/>
          <w:highlight w:val="none"/>
        </w:rPr>
      </w:pPr>
      <w:bookmarkStart w:id="25" w:name="_Toc2272555"/>
      <w:bookmarkStart w:id="26" w:name="_Toc2424"/>
      <w:r>
        <w:rPr>
          <w:rFonts w:hint="eastAsia"/>
          <w:color w:val="auto"/>
          <w:sz w:val="28"/>
          <w:szCs w:val="28"/>
          <w:highlight w:val="none"/>
        </w:rPr>
        <w:t>一、开标、评标及定标办法修改表</w:t>
      </w:r>
      <w:bookmarkEnd w:id="25"/>
      <w:bookmarkEnd w:id="26"/>
    </w:p>
    <w:p>
      <w:pPr>
        <w:pStyle w:val="6"/>
        <w:spacing w:after="0" w:line="360" w:lineRule="auto"/>
        <w:rPr>
          <w:rFonts w:ascii="宋体" w:hAnsi="宋体" w:eastAsia="宋体"/>
          <w:b/>
          <w:color w:val="auto"/>
          <w:szCs w:val="21"/>
          <w:highlight w:val="none"/>
        </w:rPr>
      </w:pPr>
      <w:r>
        <w:rPr>
          <w:rFonts w:hint="eastAsia" w:ascii="宋体" w:hAnsi="宋体" w:eastAsia="宋体"/>
          <w:b/>
          <w:color w:val="auto"/>
          <w:szCs w:val="21"/>
          <w:highlight w:val="none"/>
        </w:rPr>
        <w:t>声明：本</w:t>
      </w:r>
      <w:r>
        <w:rPr>
          <w:rFonts w:hint="eastAsia" w:ascii="宋体" w:hAnsi="宋体" w:eastAsia="宋体"/>
          <w:b/>
          <w:color w:val="auto"/>
          <w:highlight w:val="none"/>
        </w:rPr>
        <w:t>开标、评标及定标办法使用</w:t>
      </w:r>
      <w:r>
        <w:rPr>
          <w:rFonts w:ascii="宋体" w:hAnsi="宋体" w:eastAsia="宋体"/>
          <w:b/>
          <w:color w:val="auto"/>
          <w:highlight w:val="none"/>
        </w:rPr>
        <w:t>GZZB2018-3</w:t>
      </w:r>
      <w:r>
        <w:rPr>
          <w:rFonts w:hint="eastAsia" w:ascii="宋体" w:hAnsi="宋体" w:eastAsia="宋体"/>
          <w:b/>
          <w:color w:val="auto"/>
          <w:highlight w:val="none"/>
        </w:rPr>
        <w:t>招标文件范本的开标、评标及定标办法通用条款，与该通用条款不同之处，均在本表中列明，并以现文为准，原</w:t>
      </w:r>
      <w:r>
        <w:rPr>
          <w:rFonts w:hint="eastAsia" w:ascii="宋体" w:hAnsi="宋体" w:eastAsia="宋体"/>
          <w:b/>
          <w:color w:val="auto"/>
          <w:szCs w:val="21"/>
          <w:highlight w:val="none"/>
        </w:rPr>
        <w:t>文不再有效。本招标文件中不再转录</w:t>
      </w:r>
      <w:r>
        <w:rPr>
          <w:rFonts w:hint="eastAsia" w:ascii="宋体" w:hAnsi="宋体" w:eastAsia="宋体"/>
          <w:b/>
          <w:color w:val="auto"/>
          <w:highlight w:val="none"/>
        </w:rPr>
        <w:t>开标、评标及定标办法</w:t>
      </w:r>
      <w:r>
        <w:rPr>
          <w:rFonts w:hint="eastAsia" w:ascii="宋体" w:hAnsi="宋体" w:eastAsia="宋体"/>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5"/>
          <w:rFonts w:hint="eastAsia" w:ascii="宋体" w:hAnsi="宋体" w:eastAsia="宋体"/>
          <w:b/>
          <w:color w:val="auto"/>
          <w:szCs w:val="21"/>
          <w:highlight w:val="none"/>
        </w:rPr>
        <w:t>http://zfcj.gz.gov.cn/）下载</w:t>
      </w:r>
      <w:r>
        <w:rPr>
          <w:rStyle w:val="45"/>
          <w:rFonts w:ascii="宋体" w:hAnsi="宋体" w:eastAsia="宋体"/>
          <w:b/>
          <w:color w:val="auto"/>
          <w:szCs w:val="21"/>
          <w:highlight w:val="none"/>
        </w:rPr>
        <w:t>GZZB2018-3</w:t>
      </w:r>
      <w:r>
        <w:rPr>
          <w:rStyle w:val="45"/>
          <w:rFonts w:ascii="宋体" w:hAnsi="宋体" w:eastAsia="宋体"/>
          <w:b/>
          <w:color w:val="auto"/>
          <w:szCs w:val="21"/>
          <w:highlight w:val="none"/>
        </w:rPr>
        <w:fldChar w:fldCharType="end"/>
      </w:r>
      <w:r>
        <w:rPr>
          <w:rFonts w:hint="eastAsia" w:ascii="宋体" w:hAnsi="宋体" w:eastAsia="宋体"/>
          <w:b/>
          <w:color w:val="auto"/>
          <w:szCs w:val="21"/>
          <w:highlight w:val="none"/>
        </w:rPr>
        <w:t>范本查阅。</w:t>
      </w:r>
    </w:p>
    <w:p>
      <w:pPr>
        <w:spacing w:line="360" w:lineRule="auto"/>
        <w:ind w:firstLine="470" w:firstLineChars="224"/>
        <w:rPr>
          <w:rFonts w:ascii="宋体" w:cs="楷体"/>
          <w:b/>
          <w:color w:val="auto"/>
          <w:szCs w:val="21"/>
          <w:highlight w:val="none"/>
        </w:rPr>
      </w:pPr>
      <w:r>
        <w:rPr>
          <w:rFonts w:hint="eastAsia" w:ascii="宋体" w:hAnsi="宋体" w:cs="楷体"/>
          <w:b/>
          <w:color w:val="auto"/>
          <w:szCs w:val="21"/>
          <w:highlight w:val="none"/>
        </w:rPr>
        <w:t>条款号：</w:t>
      </w:r>
      <w:r>
        <w:rPr>
          <w:rFonts w:ascii="宋体" w:hAnsi="宋体" w:cs="楷体"/>
          <w:b/>
          <w:color w:val="auto"/>
          <w:szCs w:val="21"/>
          <w:highlight w:val="none"/>
        </w:rPr>
        <w:t xml:space="preserve">36.1             </w:t>
      </w:r>
      <w:r>
        <w:rPr>
          <w:rFonts w:hint="eastAsia" w:ascii="宋体" w:hAnsi="宋体" w:cs="楷体"/>
          <w:b/>
          <w:color w:val="auto"/>
          <w:szCs w:val="21"/>
          <w:highlight w:val="none"/>
        </w:rPr>
        <w:t>修改类型：修改</w:t>
      </w:r>
    </w:p>
    <w:p>
      <w:pPr>
        <w:spacing w:line="360" w:lineRule="auto"/>
        <w:ind w:firstLine="420" w:firstLineChars="200"/>
        <w:rPr>
          <w:rFonts w:ascii="宋体" w:cs="楷体"/>
          <w:b/>
          <w:color w:val="auto"/>
          <w:szCs w:val="21"/>
          <w:highlight w:val="none"/>
        </w:rPr>
      </w:pPr>
      <w:r>
        <w:rPr>
          <w:rFonts w:hint="eastAsia" w:ascii="宋体" w:hAnsi="宋体" w:cs="楷体"/>
          <w:b/>
          <w:color w:val="auto"/>
          <w:szCs w:val="21"/>
          <w:highlight w:val="none"/>
        </w:rPr>
        <w:t>原文：</w:t>
      </w:r>
      <w:r>
        <w:rPr>
          <w:rFonts w:ascii="宋体" w:hAnsi="宋体" w:cs="楷体"/>
          <w:color w:val="auto"/>
          <w:szCs w:val="21"/>
          <w:highlight w:val="none"/>
        </w:rPr>
        <w:t xml:space="preserve">36.1 </w:t>
      </w:r>
      <w:r>
        <w:rPr>
          <w:rFonts w:hint="eastAsia" w:ascii="宋体" w:hAnsi="宋体" w:cs="楷体"/>
          <w:color w:val="auto"/>
          <w:szCs w:val="21"/>
          <w:highlight w:val="none"/>
        </w:rPr>
        <w:t>招标人按投标须知前附表第</w:t>
      </w:r>
      <w:r>
        <w:rPr>
          <w:rFonts w:ascii="宋体" w:hAnsi="宋体" w:cs="楷体"/>
          <w:color w:val="auto"/>
          <w:szCs w:val="21"/>
          <w:highlight w:val="none"/>
        </w:rPr>
        <w:t>18</w:t>
      </w:r>
      <w:r>
        <w:rPr>
          <w:rFonts w:hint="eastAsia" w:ascii="宋体" w:hAnsi="宋体" w:cs="楷体"/>
          <w:color w:val="auto"/>
          <w:szCs w:val="21"/>
          <w:highlight w:val="none"/>
        </w:rPr>
        <w:t>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525" w:firstLineChars="250"/>
        <w:rPr>
          <w:rFonts w:ascii="宋体" w:cs="楷体"/>
          <w:color w:val="auto"/>
          <w:szCs w:val="21"/>
          <w:highlight w:val="none"/>
        </w:rPr>
      </w:pPr>
      <w:r>
        <w:rPr>
          <w:rFonts w:hint="eastAsia" w:ascii="宋体" w:hAnsi="宋体" w:cs="楷体"/>
          <w:b/>
          <w:color w:val="auto"/>
          <w:szCs w:val="21"/>
          <w:highlight w:val="none"/>
        </w:rPr>
        <w:t>现文：</w:t>
      </w:r>
      <w:r>
        <w:rPr>
          <w:rFonts w:ascii="宋体" w:hAnsi="宋体" w:cs="楷体"/>
          <w:bCs/>
          <w:color w:val="auto"/>
          <w:szCs w:val="21"/>
          <w:highlight w:val="none"/>
        </w:rPr>
        <w:t xml:space="preserve">36.1 </w:t>
      </w:r>
      <w:r>
        <w:rPr>
          <w:rFonts w:hint="eastAsia" w:ascii="宋体" w:hAnsi="宋体" w:cs="楷体"/>
          <w:bCs/>
          <w:color w:val="auto"/>
          <w:szCs w:val="21"/>
          <w:highlight w:val="none"/>
        </w:rPr>
        <w:t>招标人按投标须知前附表第</w:t>
      </w:r>
      <w:r>
        <w:rPr>
          <w:rFonts w:ascii="宋体" w:hAnsi="宋体" w:cs="楷体"/>
          <w:bCs/>
          <w:color w:val="auto"/>
          <w:szCs w:val="21"/>
          <w:highlight w:val="none"/>
        </w:rPr>
        <w:t>18</w:t>
      </w:r>
      <w:r>
        <w:rPr>
          <w:rFonts w:hint="eastAsia" w:ascii="宋体" w:hAnsi="宋体" w:cs="楷体"/>
          <w:bCs/>
          <w:color w:val="auto"/>
          <w:szCs w:val="21"/>
          <w:highlight w:val="none"/>
        </w:rPr>
        <w:t>项所规定的时间和地点公开开标，并邀请所有投标人参加。截标后，开标开始时间因故推迟的，相关评标信息仍以原定的开标开始时间的信息为准。</w:t>
      </w:r>
      <w:r>
        <w:rPr>
          <w:rFonts w:hint="eastAsia" w:ascii="宋体" w:hAnsi="宋体" w:cs="楷体"/>
          <w:b/>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 36.3            </w:t>
      </w:r>
      <w:r>
        <w:rPr>
          <w:rFonts w:hint="eastAsia" w:ascii="宋体" w:hAnsi="宋体" w:cs="宋体"/>
          <w:b/>
          <w:color w:val="auto"/>
          <w:szCs w:val="21"/>
          <w:highlight w:val="none"/>
        </w:rPr>
        <w:t>修改类型：删除</w:t>
      </w:r>
    </w:p>
    <w:p>
      <w:pPr>
        <w:pBdr>
          <w:bottom w:val="single" w:color="auto" w:sz="4" w:space="0"/>
        </w:pBdr>
        <w:spacing w:line="360" w:lineRule="auto"/>
        <w:ind w:firstLine="470" w:firstLineChars="224"/>
        <w:rPr>
          <w:rFonts w:ascii="宋体" w:cs="宋体"/>
          <w:bCs/>
          <w:color w:val="auto"/>
          <w:szCs w:val="21"/>
          <w:highlight w:val="none"/>
        </w:rPr>
      </w:pPr>
      <w:r>
        <w:rPr>
          <w:rFonts w:hint="eastAsia" w:ascii="宋体" w:hAnsi="宋体" w:cs="宋体"/>
          <w:b/>
          <w:color w:val="auto"/>
          <w:szCs w:val="21"/>
          <w:highlight w:val="none"/>
        </w:rPr>
        <w:t>原文：</w:t>
      </w:r>
      <w:r>
        <w:rPr>
          <w:rFonts w:ascii="宋体" w:hAnsi="宋体" w:cs="宋体"/>
          <w:bCs/>
          <w:color w:val="auto"/>
          <w:szCs w:val="21"/>
          <w:highlight w:val="none"/>
        </w:rPr>
        <w:t>36.3</w:t>
      </w:r>
      <w:r>
        <w:rPr>
          <w:rFonts w:hint="eastAsia" w:ascii="宋体" w:hAnsi="宋体" w:cs="宋体"/>
          <w:bCs/>
          <w:color w:val="auto"/>
          <w:szCs w:val="21"/>
          <w:highlight w:val="none"/>
        </w:rPr>
        <w:t>根据投标须知前附表第</w:t>
      </w:r>
      <w:r>
        <w:rPr>
          <w:rFonts w:ascii="宋体" w:hAnsi="宋体" w:cs="宋体"/>
          <w:bCs/>
          <w:color w:val="auto"/>
          <w:szCs w:val="21"/>
          <w:highlight w:val="none"/>
        </w:rPr>
        <w:t>19</w:t>
      </w:r>
      <w:r>
        <w:rPr>
          <w:rFonts w:hint="eastAsia" w:ascii="宋体" w:hAnsi="宋体" w:cs="宋体"/>
          <w:bCs/>
          <w:color w:val="auto"/>
          <w:szCs w:val="21"/>
          <w:highlight w:val="none"/>
        </w:rPr>
        <w:t>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pP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36.4若递交投标文件的投标人不足3家，则重新组织招标。</w:t>
      </w:r>
    </w:p>
    <w:p>
      <w:pPr>
        <w:spacing w:line="360" w:lineRule="auto"/>
        <w:ind w:firstLine="420" w:firstLineChars="200"/>
        <w:rPr>
          <w:b/>
          <w:color w:val="auto"/>
          <w:szCs w:val="21"/>
          <w:highlight w:val="none"/>
        </w:rPr>
      </w:pPr>
      <w:r>
        <w:rPr>
          <w:rFonts w:hint="eastAsia"/>
          <w:b/>
          <w:color w:val="auto"/>
          <w:szCs w:val="21"/>
          <w:highlight w:val="none"/>
        </w:rPr>
        <w:t>条款号：</w:t>
      </w:r>
      <w:r>
        <w:rPr>
          <w:b/>
          <w:color w:val="auto"/>
          <w:szCs w:val="21"/>
          <w:highlight w:val="none"/>
        </w:rPr>
        <w:t xml:space="preserve">36.5.1          </w:t>
      </w:r>
      <w:r>
        <w:rPr>
          <w:rFonts w:hint="eastAsia"/>
          <w:b/>
          <w:color w:val="auto"/>
          <w:szCs w:val="21"/>
          <w:highlight w:val="none"/>
        </w:rPr>
        <w:t>修改类型：修改</w:t>
      </w:r>
    </w:p>
    <w:p>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36.5.1在投标截止时间后半小时内，投标人通过</w:t>
      </w:r>
      <w:r>
        <w:rPr>
          <w:rFonts w:hint="eastAsia" w:ascii="宋体" w:hAnsi="宋体" w:cs="宋体"/>
          <w:color w:val="auto"/>
          <w:sz w:val="24"/>
          <w:szCs w:val="24"/>
          <w:highlight w:val="none"/>
          <w:u w:val="single"/>
        </w:rPr>
        <w:t xml:space="preserve">        </w:t>
      </w:r>
      <w:r>
        <w:rPr>
          <w:rFonts w:hint="eastAsia"/>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470" w:firstLineChars="224"/>
        <w:rPr>
          <w:b/>
          <w:color w:val="auto"/>
          <w:szCs w:val="21"/>
          <w:highlight w:val="none"/>
        </w:rPr>
      </w:pPr>
      <w:r>
        <w:rPr>
          <w:rFonts w:hint="eastAsia"/>
          <w:b/>
          <w:color w:val="auto"/>
          <w:szCs w:val="21"/>
          <w:highlight w:val="none"/>
        </w:rPr>
        <w:t>现文：</w:t>
      </w:r>
      <w:r>
        <w:rPr>
          <w:color w:val="auto"/>
          <w:szCs w:val="21"/>
          <w:highlight w:val="none"/>
        </w:rPr>
        <w:t>36.5.1</w:t>
      </w:r>
      <w:r>
        <w:rPr>
          <w:rFonts w:hint="eastAsia"/>
          <w:color w:val="auto"/>
          <w:szCs w:val="21"/>
          <w:highlight w:val="none"/>
        </w:rPr>
        <w:t>在投标截止时间后半小时内，投标人通过</w:t>
      </w:r>
      <w:r>
        <w:rPr>
          <w:rFonts w:hint="eastAsia"/>
          <w:color w:val="auto"/>
          <w:szCs w:val="21"/>
          <w:highlight w:val="none"/>
          <w:u w:val="single"/>
        </w:rPr>
        <w:t>广州交易集团有限公司（广州公共资源交易中心）</w:t>
      </w:r>
      <w:r>
        <w:rPr>
          <w:rFonts w:hint="eastAsia"/>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条款号：36.5.3</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36.5.3投标人代表、招标人代表、监标人、记录人等有关人员在开标记录上签字确认；若有关人员不签字的，不影响开标程序；</w:t>
      </w:r>
    </w:p>
    <w:p>
      <w:pPr>
        <w:pBdr>
          <w:bottom w:val="single" w:color="auto" w:sz="6" w:space="1"/>
        </w:pBdr>
        <w:spacing w:line="360" w:lineRule="auto"/>
        <w:ind w:firstLine="470" w:firstLineChars="224"/>
        <w:rPr>
          <w:rFonts w:ascii="宋体" w:hAnsi="宋体" w:cs="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ascii="宋体" w:hAnsi="宋体"/>
          <w:color w:val="auto"/>
          <w:szCs w:val="21"/>
          <w:highlight w:val="none"/>
        </w:rPr>
        <w:t>36.5.3投标人代表、招标人代表、监标人、记录人等有关人员在开标记录上签字确认；若有关人员不签字的，不影响开标程序；</w:t>
      </w:r>
      <w:r>
        <w:rPr>
          <w:rFonts w:hint="eastAsia" w:ascii="宋体" w:hAnsi="宋体"/>
          <w:color w:val="auto"/>
          <w:szCs w:val="21"/>
          <w:highlight w:val="none"/>
          <w:u w:val="single"/>
        </w:rPr>
        <w:t>若投标人不参加开标会的，或未在开标记录表上签字确认的，视同该投标人认可开标结果。</w:t>
      </w:r>
    </w:p>
    <w:p>
      <w:pPr>
        <w:spacing w:line="360" w:lineRule="auto"/>
        <w:ind w:firstLine="470" w:firstLineChars="224"/>
        <w:rPr>
          <w:rFonts w:ascii="宋体" w:hAnsi="宋体"/>
          <w:b/>
          <w:color w:val="auto"/>
          <w:szCs w:val="21"/>
          <w:highlight w:val="none"/>
        </w:rPr>
      </w:pPr>
      <w:r>
        <w:rPr>
          <w:rFonts w:hint="eastAsia" w:ascii="宋体" w:hAnsi="宋体"/>
          <w:b/>
          <w:color w:val="auto"/>
          <w:szCs w:val="21"/>
          <w:highlight w:val="none"/>
        </w:rPr>
        <w:t>条款号：38.1             修改类型：修改</w:t>
      </w:r>
    </w:p>
    <w:p>
      <w:pPr>
        <w:spacing w:line="360" w:lineRule="auto"/>
        <w:ind w:firstLine="411" w:firstLineChars="196"/>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38.1</w:t>
      </w:r>
      <w:r>
        <w:rPr>
          <w:rFonts w:hint="eastAsia" w:ascii="宋体" w:hAnsi="宋体"/>
          <w:bCs/>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411" w:firstLineChars="196"/>
        <w:rPr>
          <w:rFonts w:ascii="宋体" w:hAnsi="宋体" w:cs="宋体"/>
          <w:b/>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3</w:t>
      </w:r>
      <w:r>
        <w:rPr>
          <w:rFonts w:ascii="宋体" w:hAnsi="宋体"/>
          <w:color w:val="auto"/>
          <w:szCs w:val="21"/>
          <w:highlight w:val="none"/>
        </w:rPr>
        <w:t>8.1</w:t>
      </w:r>
      <w:r>
        <w:rPr>
          <w:rFonts w:hint="eastAsia" w:ascii="宋体" w:hAnsi="宋体"/>
          <w:bCs/>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bCs/>
          <w:color w:val="auto"/>
          <w:szCs w:val="21"/>
          <w:highlight w:val="none"/>
          <w:u w:val="single"/>
        </w:rPr>
        <w:t>对投标文件含义不明确、对同类问题表述不一致、有明显文字和计算错误的内容以及细微偏差的内容作出澄清。</w:t>
      </w:r>
    </w:p>
    <w:p>
      <w:pPr>
        <w:spacing w:line="360" w:lineRule="auto"/>
        <w:ind w:firstLine="420" w:firstLineChars="200"/>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39.3             </w:t>
      </w:r>
      <w:r>
        <w:rPr>
          <w:rFonts w:hint="eastAsia" w:ascii="宋体" w:hAnsi="宋体" w:cs="宋体"/>
          <w:b/>
          <w:color w:val="auto"/>
          <w:szCs w:val="21"/>
          <w:highlight w:val="none"/>
        </w:rPr>
        <w:t>修改类型：修改</w:t>
      </w:r>
    </w:p>
    <w:p>
      <w:pPr>
        <w:pStyle w:val="6"/>
        <w:pBdr>
          <w:bottom w:val="single" w:color="auto" w:sz="4" w:space="1"/>
        </w:pBdr>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ascii="宋体" w:hAnsi="宋体" w:eastAsia="宋体" w:cs="宋体"/>
          <w:color w:val="auto"/>
          <w:szCs w:val="21"/>
          <w:highlight w:val="none"/>
        </w:rPr>
        <w:t>39.3</w:t>
      </w:r>
      <w:r>
        <w:rPr>
          <w:rFonts w:hint="eastAsia" w:ascii="宋体" w:hAnsi="宋体" w:eastAsia="宋体" w:cs="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Style w:val="6"/>
        <w:pBdr>
          <w:bottom w:val="single" w:color="auto" w:sz="4" w:space="1"/>
        </w:pBdr>
        <w:spacing w:after="0"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b/>
          <w:color w:val="auto"/>
          <w:szCs w:val="21"/>
          <w:highlight w:val="none"/>
        </w:rPr>
        <w:t>现文：</w:t>
      </w:r>
      <w:r>
        <w:rPr>
          <w:rFonts w:ascii="宋体" w:hAnsi="宋体" w:eastAsia="宋体" w:cs="宋体"/>
          <w:color w:val="auto"/>
          <w:szCs w:val="21"/>
          <w:highlight w:val="none"/>
        </w:rPr>
        <w:t>39.3</w:t>
      </w:r>
      <w:r>
        <w:rPr>
          <w:rFonts w:hint="eastAsia" w:ascii="宋体" w:hAnsi="宋体" w:eastAsia="宋体"/>
          <w:bCs/>
          <w:color w:val="auto"/>
          <w:szCs w:val="21"/>
          <w:highlight w:val="none"/>
          <w:u w:val="single"/>
        </w:rPr>
        <w:t>排名第一的中标候选人放弃中标、或因不可抗力提出不能履行合同，或者招标文件规定应当提交履约担保而在规定的期限内未能提交的，或经核查发现委派的项目负责人已在其他在建项目中任职的，招标人可以确定排名第二的中标候选人为中标人。</w:t>
      </w:r>
    </w:p>
    <w:p>
      <w:pPr>
        <w:spacing w:line="360" w:lineRule="auto"/>
        <w:ind w:firstLine="470" w:firstLineChars="224"/>
        <w:rPr>
          <w:rFonts w:ascii="宋体" w:cs="楷体"/>
          <w:b/>
          <w:color w:val="auto"/>
          <w:szCs w:val="21"/>
          <w:highlight w:val="none"/>
        </w:rPr>
      </w:pPr>
      <w:r>
        <w:rPr>
          <w:rFonts w:hint="eastAsia" w:ascii="宋体" w:hAnsi="宋体" w:cs="楷体"/>
          <w:b/>
          <w:color w:val="auto"/>
          <w:szCs w:val="21"/>
          <w:highlight w:val="none"/>
        </w:rPr>
        <w:t>条款号：（二）开标评标办法程序和细则</w:t>
      </w:r>
      <w:r>
        <w:rPr>
          <w:rFonts w:ascii="宋体" w:hAnsi="宋体" w:cs="楷体"/>
          <w:b/>
          <w:color w:val="auto"/>
          <w:szCs w:val="21"/>
          <w:highlight w:val="none"/>
        </w:rPr>
        <w:t xml:space="preserve"> </w:t>
      </w:r>
      <w:r>
        <w:rPr>
          <w:rFonts w:ascii="宋体" w:hAnsi="宋体" w:cs="楷体"/>
          <w:bCs/>
          <w:color w:val="auto"/>
          <w:szCs w:val="21"/>
          <w:highlight w:val="none"/>
        </w:rPr>
        <w:t xml:space="preserve"> </w:t>
      </w:r>
      <w:r>
        <w:rPr>
          <w:rFonts w:ascii="宋体" w:hAnsi="宋体" w:cs="楷体"/>
          <w:b/>
          <w:color w:val="auto"/>
          <w:szCs w:val="21"/>
          <w:highlight w:val="none"/>
        </w:rPr>
        <w:t xml:space="preserve">            </w:t>
      </w:r>
      <w:r>
        <w:rPr>
          <w:rFonts w:hint="eastAsia" w:ascii="宋体" w:hAnsi="宋体" w:cs="楷体"/>
          <w:b/>
          <w:color w:val="auto"/>
          <w:szCs w:val="21"/>
          <w:highlight w:val="none"/>
        </w:rPr>
        <w:t>修改类型：删除</w:t>
      </w:r>
    </w:p>
    <w:p>
      <w:pPr>
        <w:pBdr>
          <w:bottom w:val="single" w:color="auto" w:sz="6" w:space="1"/>
        </w:pBdr>
        <w:spacing w:line="360" w:lineRule="auto"/>
        <w:ind w:firstLine="470" w:firstLineChars="224"/>
        <w:rPr>
          <w:rFonts w:ascii="宋体" w:cs="楷体"/>
          <w:bCs/>
          <w:color w:val="auto"/>
          <w:szCs w:val="21"/>
          <w:highlight w:val="none"/>
        </w:rPr>
      </w:pPr>
      <w:r>
        <w:rPr>
          <w:rFonts w:hint="eastAsia" w:ascii="宋体" w:hAnsi="宋体" w:cs="楷体"/>
          <w:b/>
          <w:color w:val="auto"/>
          <w:szCs w:val="21"/>
          <w:highlight w:val="none"/>
        </w:rPr>
        <w:t>原文：</w:t>
      </w:r>
      <w:r>
        <w:rPr>
          <w:rFonts w:hint="eastAsia" w:ascii="宋体" w:hAnsi="宋体" w:cs="楷体"/>
          <w:bCs/>
          <w:color w:val="auto"/>
          <w:szCs w:val="21"/>
          <w:highlight w:val="none"/>
        </w:rPr>
        <w:t>注：以下八种评标办法所述企业综合诚信评价分数即投标截止当日广州市工程招标代理行业协会网站上公布的企业综合诚信评价</w:t>
      </w:r>
      <w:r>
        <w:rPr>
          <w:rFonts w:ascii="宋体" w:hAnsi="宋体" w:cs="楷体"/>
          <w:bCs/>
          <w:color w:val="auto"/>
          <w:szCs w:val="21"/>
          <w:highlight w:val="none"/>
        </w:rPr>
        <w:t>60</w:t>
      </w:r>
      <w:r>
        <w:rPr>
          <w:rFonts w:hint="eastAsia" w:ascii="宋体" w:hAnsi="宋体" w:cs="楷体"/>
          <w:bCs/>
          <w:color w:val="auto"/>
          <w:szCs w:val="21"/>
          <w:highlight w:val="none"/>
        </w:rPr>
        <w:t>日诚信分。</w:t>
      </w:r>
    </w:p>
    <w:p>
      <w:pPr>
        <w:spacing w:line="360" w:lineRule="auto"/>
        <w:ind w:firstLine="420" w:firstLineChars="200"/>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 41.1             </w:t>
      </w:r>
      <w:r>
        <w:rPr>
          <w:rFonts w:hint="eastAsia" w:ascii="宋体" w:hAnsi="宋体" w:cs="宋体"/>
          <w:b/>
          <w:color w:val="auto"/>
          <w:szCs w:val="21"/>
          <w:highlight w:val="none"/>
        </w:rPr>
        <w:t>修改类型：修改</w:t>
      </w:r>
    </w:p>
    <w:p>
      <w:pPr>
        <w:pBdr>
          <w:bottom w:val="single" w:color="auto" w:sz="6" w:space="1"/>
        </w:pBdr>
        <w:spacing w:line="360" w:lineRule="auto"/>
        <w:ind w:firstLine="525" w:firstLineChars="250"/>
        <w:rPr>
          <w:rFonts w:ascii="宋体" w:cs="宋体"/>
          <w:b/>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 xml:space="preserve">41.1 </w:t>
      </w:r>
      <w:r>
        <w:rPr>
          <w:rFonts w:hint="eastAsia" w:ascii="宋体" w:hAnsi="宋体" w:cs="宋体"/>
          <w:color w:val="auto"/>
          <w:szCs w:val="21"/>
          <w:highlight w:val="none"/>
        </w:rPr>
        <w:t>开标由招标人主持；</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ascii="宋体" w:hAnsi="宋体" w:cs="宋体"/>
          <w:color w:val="auto"/>
          <w:szCs w:val="21"/>
          <w:highlight w:val="none"/>
        </w:rPr>
        <w:t xml:space="preserve">41.1 </w:t>
      </w:r>
      <w:r>
        <w:rPr>
          <w:rFonts w:hint="eastAsia" w:ascii="宋体" w:hAnsi="宋体" w:cs="宋体"/>
          <w:color w:val="auto"/>
          <w:szCs w:val="21"/>
          <w:highlight w:val="none"/>
        </w:rPr>
        <w:t>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条款号：41.2.2            修改类型：删除</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pPr>
        <w:spacing w:line="360" w:lineRule="auto"/>
        <w:ind w:firstLine="420" w:firstLineChars="200"/>
        <w:rPr>
          <w:b/>
          <w:color w:val="auto"/>
          <w:szCs w:val="21"/>
          <w:highlight w:val="none"/>
        </w:rPr>
      </w:pPr>
      <w:r>
        <w:rPr>
          <w:rFonts w:hint="eastAsia"/>
          <w:b/>
          <w:color w:val="auto"/>
          <w:szCs w:val="21"/>
          <w:highlight w:val="none"/>
        </w:rPr>
        <w:t>条款号：</w:t>
      </w:r>
      <w:r>
        <w:rPr>
          <w:b/>
          <w:color w:val="auto"/>
          <w:szCs w:val="21"/>
          <w:highlight w:val="none"/>
        </w:rPr>
        <w:t xml:space="preserve">41.2.1             </w:t>
      </w:r>
      <w:r>
        <w:rPr>
          <w:rFonts w:hint="eastAsia"/>
          <w:b/>
          <w:color w:val="auto"/>
          <w:szCs w:val="21"/>
          <w:highlight w:val="none"/>
        </w:rPr>
        <w:t>修改类型：修改</w:t>
      </w:r>
    </w:p>
    <w:p>
      <w:pPr>
        <w:spacing w:line="360" w:lineRule="auto"/>
        <w:ind w:firstLine="420" w:firstLineChars="200"/>
        <w:rPr>
          <w:color w:val="auto"/>
          <w:szCs w:val="21"/>
          <w:highlight w:val="none"/>
        </w:rPr>
      </w:pPr>
      <w:r>
        <w:rPr>
          <w:rFonts w:hint="eastAsia"/>
          <w:b/>
          <w:color w:val="auto"/>
          <w:szCs w:val="21"/>
          <w:highlight w:val="none"/>
        </w:rPr>
        <w:t>原文：</w:t>
      </w:r>
      <w:r>
        <w:rPr>
          <w:color w:val="auto"/>
          <w:szCs w:val="21"/>
          <w:highlight w:val="none"/>
        </w:rPr>
        <w:t>41.2.1</w:t>
      </w:r>
      <w:r>
        <w:rPr>
          <w:rFonts w:hint="eastAsia"/>
          <w:color w:val="auto"/>
          <w:szCs w:val="21"/>
          <w:highlight w:val="none"/>
        </w:rPr>
        <w:t>投标截止期前，各投标人递交投标文件（包括技术标投标文件、经济标投标文件）至交易平台。有关投标文件提交的事项详见第一章投标须知。</w:t>
      </w:r>
    </w:p>
    <w:p>
      <w:pPr>
        <w:pBdr>
          <w:bottom w:val="single" w:color="auto" w:sz="6" w:space="1"/>
        </w:pBdr>
        <w:spacing w:line="360" w:lineRule="auto"/>
        <w:ind w:firstLine="470" w:firstLineChars="224"/>
        <w:rPr>
          <w:b/>
          <w:color w:val="auto"/>
          <w:szCs w:val="21"/>
          <w:highlight w:val="none"/>
        </w:rPr>
      </w:pPr>
      <w:r>
        <w:rPr>
          <w:rFonts w:hint="eastAsia"/>
          <w:b/>
          <w:color w:val="auto"/>
          <w:szCs w:val="21"/>
          <w:highlight w:val="none"/>
        </w:rPr>
        <w:t>现文：</w:t>
      </w:r>
      <w:r>
        <w:rPr>
          <w:color w:val="auto"/>
          <w:szCs w:val="21"/>
          <w:highlight w:val="none"/>
        </w:rPr>
        <w:t>41.2.1</w:t>
      </w:r>
      <w:r>
        <w:rPr>
          <w:rFonts w:hint="eastAsia"/>
          <w:color w:val="auto"/>
          <w:szCs w:val="21"/>
          <w:highlight w:val="none"/>
        </w:rPr>
        <w:t>投标截止期前，各投标人递交投标文件（包括技术标投标文件、经济标投标文件）至</w:t>
      </w:r>
      <w:r>
        <w:rPr>
          <w:rFonts w:hint="eastAsia"/>
          <w:color w:val="auto"/>
          <w:szCs w:val="21"/>
          <w:highlight w:val="none"/>
          <w:u w:val="single"/>
        </w:rPr>
        <w:t>广州交易集团有限公司（广州公共资源交易中心）</w:t>
      </w:r>
      <w:r>
        <w:rPr>
          <w:rFonts w:hint="eastAsia"/>
          <w:color w:val="auto"/>
          <w:szCs w:val="21"/>
          <w:highlight w:val="none"/>
        </w:rPr>
        <w:t>交易平台。有关投标文件提交的事项详见第一章投标须知。</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42.2              </w:t>
      </w:r>
      <w:r>
        <w:rPr>
          <w:rFonts w:hint="eastAsia" w:ascii="宋体" w:hAnsi="宋体" w:cs="宋体"/>
          <w:b/>
          <w:color w:val="auto"/>
          <w:szCs w:val="21"/>
          <w:highlight w:val="none"/>
        </w:rPr>
        <w:t>修改类型：修改</w:t>
      </w:r>
    </w:p>
    <w:p>
      <w:pPr>
        <w:spacing w:line="360" w:lineRule="auto"/>
        <w:ind w:firstLine="470" w:firstLineChars="224"/>
        <w:rPr>
          <w:rFonts w:ascii="宋体" w:cs="宋体"/>
          <w:bCs/>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42.2</w:t>
      </w:r>
      <w:r>
        <w:rPr>
          <w:rFonts w:hint="eastAsia" w:ascii="宋体" w:hAnsi="宋体" w:cs="宋体"/>
          <w:bCs/>
          <w:color w:val="auto"/>
          <w:szCs w:val="21"/>
          <w:highlight w:val="none"/>
        </w:rPr>
        <w:t>评标委员会的组成：方式</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spacing w:line="360" w:lineRule="auto"/>
        <w:ind w:firstLine="470" w:firstLineChars="224"/>
        <w:rPr>
          <w:rFonts w:ascii="宋体" w:cs="宋体"/>
          <w:bCs/>
          <w:color w:val="auto"/>
          <w:szCs w:val="21"/>
          <w:highlight w:val="none"/>
        </w:rPr>
      </w:pPr>
      <w:r>
        <w:rPr>
          <w:rFonts w:hint="eastAsia" w:ascii="宋体" w:hAnsi="宋体" w:cs="宋体"/>
          <w:bCs/>
          <w:color w:val="auto"/>
          <w:szCs w:val="21"/>
          <w:highlight w:val="none"/>
        </w:rPr>
        <w:t>方式一：评标委员会为综合评标委员会，负责评标工作。</w:t>
      </w:r>
    </w:p>
    <w:p>
      <w:pPr>
        <w:spacing w:line="360" w:lineRule="auto"/>
        <w:ind w:firstLine="470" w:firstLineChars="224"/>
        <w:rPr>
          <w:rFonts w:ascii="宋体" w:cs="宋体"/>
          <w:b/>
          <w:color w:val="auto"/>
          <w:szCs w:val="21"/>
          <w:highlight w:val="none"/>
        </w:rPr>
      </w:pPr>
      <w:r>
        <w:rPr>
          <w:rFonts w:hint="eastAsia" w:ascii="宋体" w:hAnsi="宋体" w:cs="宋体"/>
          <w:bCs/>
          <w:color w:val="auto"/>
          <w:szCs w:val="21"/>
          <w:highlight w:val="none"/>
        </w:rPr>
        <w:t>方式二：评标委员会由技术评审组和经济评审组组成。其中：资格审查、技术评审由技术评标组负责，经济评审由经济评审组负责。</w:t>
      </w:r>
      <w:r>
        <w:rPr>
          <w:rFonts w:ascii="宋体" w:hAnsi="宋体" w:cs="宋体"/>
          <w:bCs/>
          <w:color w:val="auto"/>
          <w:szCs w:val="21"/>
          <w:highlight w:val="none"/>
        </w:rPr>
        <w:t xml:space="preserve"> </w:t>
      </w:r>
    </w:p>
    <w:p>
      <w:pPr>
        <w:spacing w:line="360" w:lineRule="auto"/>
        <w:ind w:firstLine="470" w:firstLineChars="224"/>
        <w:rPr>
          <w:rFonts w:ascii="宋体" w:cs="宋体"/>
          <w:bCs/>
          <w:color w:val="auto"/>
          <w:szCs w:val="21"/>
          <w:highlight w:val="none"/>
        </w:rPr>
      </w:pPr>
      <w:r>
        <w:rPr>
          <w:rFonts w:hint="eastAsia" w:ascii="宋体" w:hAnsi="宋体" w:cs="宋体"/>
          <w:b/>
          <w:color w:val="auto"/>
          <w:szCs w:val="21"/>
          <w:highlight w:val="none"/>
        </w:rPr>
        <w:t>现文：</w:t>
      </w:r>
      <w:r>
        <w:rPr>
          <w:rFonts w:ascii="宋体" w:hAnsi="宋体" w:cs="宋体"/>
          <w:b/>
          <w:color w:val="auto"/>
          <w:szCs w:val="21"/>
          <w:highlight w:val="none"/>
        </w:rPr>
        <w:t>42.2</w:t>
      </w:r>
      <w:r>
        <w:rPr>
          <w:rFonts w:hint="eastAsia" w:ascii="宋体" w:hAnsi="宋体" w:cs="宋体"/>
          <w:bCs/>
          <w:color w:val="auto"/>
          <w:szCs w:val="21"/>
          <w:highlight w:val="none"/>
        </w:rPr>
        <w:t>评标委员会的组成：方式</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一</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pBdr>
          <w:bottom w:val="single" w:color="auto" w:sz="6" w:space="1"/>
        </w:pBdr>
        <w:spacing w:line="360" w:lineRule="auto"/>
        <w:ind w:firstLine="525" w:firstLineChars="250"/>
        <w:rPr>
          <w:color w:val="auto"/>
          <w:highlight w:val="none"/>
        </w:rPr>
      </w:pPr>
      <w:r>
        <w:rPr>
          <w:rFonts w:hint="eastAsia" w:ascii="宋体" w:hAnsi="宋体" w:cs="宋体"/>
          <w:bCs/>
          <w:color w:val="auto"/>
          <w:szCs w:val="21"/>
          <w:highlight w:val="none"/>
        </w:rPr>
        <w:t>方式一：评标委员会为综合评标委员会，负责评标工作。</w:t>
      </w:r>
    </w:p>
    <w:p>
      <w:pPr>
        <w:spacing w:line="360" w:lineRule="auto"/>
        <w:ind w:firstLine="420" w:firstLineChars="200"/>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45                 </w:t>
      </w:r>
      <w:r>
        <w:rPr>
          <w:rFonts w:hint="eastAsia" w:ascii="宋体" w:hAnsi="宋体" w:cs="宋体"/>
          <w:b/>
          <w:color w:val="auto"/>
          <w:szCs w:val="21"/>
          <w:highlight w:val="none"/>
        </w:rPr>
        <w:t>修改类型：修改</w:t>
      </w:r>
    </w:p>
    <w:p>
      <w:pPr>
        <w:pStyle w:val="6"/>
        <w:tabs>
          <w:tab w:val="left" w:pos="7380"/>
        </w:tabs>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ascii="宋体" w:hAnsi="宋体" w:eastAsia="宋体" w:cs="宋体"/>
          <w:color w:val="auto"/>
          <w:szCs w:val="21"/>
          <w:highlight w:val="none"/>
        </w:rPr>
        <w:t>45</w:t>
      </w:r>
      <w:r>
        <w:rPr>
          <w:rFonts w:hint="eastAsia" w:ascii="宋体" w:hAnsi="宋体" w:eastAsia="宋体" w:cs="宋体"/>
          <w:color w:val="auto"/>
          <w:szCs w:val="21"/>
          <w:highlight w:val="none"/>
        </w:rPr>
        <w:t>．经济标评审和得分汇总</w:t>
      </w:r>
    </w:p>
    <w:p>
      <w:pPr>
        <w:pStyle w:val="6"/>
        <w:tabs>
          <w:tab w:val="left" w:pos="7380"/>
        </w:tabs>
        <w:snapToGrid w:val="0"/>
        <w:spacing w:after="0" w:line="360" w:lineRule="auto"/>
        <w:ind w:firstLineChars="200"/>
        <w:rPr>
          <w:rFonts w:ascii="宋体" w:hAnsi="宋体" w:eastAsia="宋体" w:cs="宋体"/>
          <w:color w:val="auto"/>
          <w:szCs w:val="21"/>
          <w:highlight w:val="none"/>
        </w:rPr>
      </w:pPr>
      <w:r>
        <w:rPr>
          <w:rFonts w:ascii="宋体" w:hAnsi="宋体" w:eastAsia="宋体" w:cs="宋体"/>
          <w:color w:val="auto"/>
          <w:szCs w:val="21"/>
          <w:highlight w:val="none"/>
        </w:rPr>
        <w:t>45.1</w:t>
      </w:r>
      <w:r>
        <w:rPr>
          <w:rFonts w:hint="eastAsia" w:ascii="宋体" w:hAnsi="宋体" w:eastAsia="宋体" w:cs="宋体"/>
          <w:color w:val="auto"/>
          <w:szCs w:val="21"/>
          <w:highlight w:val="none"/>
        </w:rPr>
        <w:t>若通过技术标有效性审查的投标人中有投标报价均大于等于最高投标限价</w:t>
      </w:r>
      <w:r>
        <w:rPr>
          <w:rFonts w:ascii="宋体" w:hAnsi="宋体" w:eastAsia="宋体" w:cs="宋体"/>
          <w:color w:val="auto"/>
          <w:szCs w:val="21"/>
          <w:highlight w:val="none"/>
        </w:rPr>
        <w:t>*D%</w:t>
      </w:r>
      <w:r>
        <w:rPr>
          <w:rFonts w:hint="eastAsia" w:ascii="宋体" w:hAnsi="宋体" w:eastAsia="宋体" w:cs="宋体"/>
          <w:color w:val="auto"/>
          <w:szCs w:val="21"/>
          <w:highlight w:val="none"/>
        </w:rPr>
        <w:t>（</w:t>
      </w:r>
      <w:r>
        <w:rPr>
          <w:rFonts w:ascii="宋体" w:hAnsi="宋体" w:eastAsia="宋体" w:cs="宋体"/>
          <w:color w:val="auto"/>
          <w:szCs w:val="21"/>
          <w:highlight w:val="none"/>
        </w:rPr>
        <w:t>D</w:t>
      </w:r>
      <w:r>
        <w:rPr>
          <w:rFonts w:hint="eastAsia" w:ascii="宋体" w:hAnsi="宋体" w:eastAsia="宋体" w:cs="宋体"/>
          <w:color w:val="auto"/>
          <w:szCs w:val="21"/>
          <w:highlight w:val="none"/>
        </w:rPr>
        <w:t>的取值范围为</w:t>
      </w:r>
      <w:r>
        <w:rPr>
          <w:rFonts w:ascii="宋体" w:hAnsi="宋体" w:eastAsia="宋体" w:cs="宋体"/>
          <w:color w:val="auto"/>
          <w:szCs w:val="21"/>
          <w:highlight w:val="none"/>
        </w:rPr>
        <w:t>[94,100],</w:t>
      </w:r>
      <w:r>
        <w:rPr>
          <w:rFonts w:hint="eastAsia" w:ascii="宋体" w:hAnsi="宋体" w:eastAsia="宋体" w:cs="宋体"/>
          <w:color w:val="auto"/>
          <w:szCs w:val="21"/>
          <w:highlight w:val="none"/>
        </w:rPr>
        <w:t>由招标人自主确定）的（具体金额为：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元），则本项目招标失败，由招标人依法重新招标。</w:t>
      </w:r>
    </w:p>
    <w:p>
      <w:pPr>
        <w:pStyle w:val="6"/>
        <w:tabs>
          <w:tab w:val="left" w:pos="7380"/>
        </w:tabs>
        <w:snapToGrid w:val="0"/>
        <w:spacing w:after="0" w:line="360" w:lineRule="auto"/>
        <w:ind w:firstLineChars="200"/>
        <w:rPr>
          <w:rFonts w:ascii="宋体" w:hAnsi="宋体" w:eastAsia="宋体" w:cs="宋体"/>
          <w:color w:val="auto"/>
          <w:szCs w:val="21"/>
          <w:highlight w:val="none"/>
        </w:rPr>
      </w:pPr>
      <w:r>
        <w:rPr>
          <w:rFonts w:ascii="宋体" w:hAnsi="宋体" w:eastAsia="宋体" w:cs="宋体"/>
          <w:color w:val="auto"/>
          <w:szCs w:val="21"/>
          <w:highlight w:val="none"/>
        </w:rPr>
        <w:t>45.2</w:t>
      </w:r>
      <w:r>
        <w:rPr>
          <w:rFonts w:hint="eastAsia" w:ascii="宋体" w:hAnsi="宋体" w:eastAsia="宋体" w:cs="宋体"/>
          <w:color w:val="auto"/>
          <w:szCs w:val="21"/>
          <w:highlight w:val="none"/>
        </w:rPr>
        <w:t>按方法</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计算评标参考价：</w:t>
      </w:r>
    </w:p>
    <w:p>
      <w:pPr>
        <w:widowControl/>
        <w:spacing w:line="360" w:lineRule="auto"/>
        <w:ind w:firstLine="420" w:firstLineChars="200"/>
        <w:rPr>
          <w:rFonts w:asci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技术标或技术标加诚信得分（具体由招标人自定）前</w:t>
      </w:r>
      <w:r>
        <w:rPr>
          <w:rFonts w:ascii="宋体" w:hAnsi="宋体" w:cs="宋体"/>
          <w:color w:val="auto"/>
          <w:szCs w:val="21"/>
          <w:highlight w:val="none"/>
        </w:rPr>
        <w:t>N</w:t>
      </w:r>
      <w:r>
        <w:rPr>
          <w:rFonts w:hint="eastAsia" w:ascii="宋体" w:hAnsi="宋体" w:cs="宋体"/>
          <w:color w:val="auto"/>
          <w:szCs w:val="21"/>
          <w:highlight w:val="none"/>
        </w:rPr>
        <w:t>名（</w:t>
      </w:r>
      <w:r>
        <w:rPr>
          <w:rFonts w:ascii="宋体" w:hAnsi="宋体" w:cs="宋体"/>
          <w:color w:val="auto"/>
          <w:szCs w:val="21"/>
          <w:highlight w:val="none"/>
        </w:rPr>
        <w:t>N</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，具体由招标人自定）的经济报价加权平均，计算评标参考价。公式如下：</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评标参考价</w:t>
      </w:r>
      <w:r>
        <w:rPr>
          <w:rFonts w:ascii="宋体" w:hAnsi="宋体" w:cs="宋体"/>
          <w:color w:val="auto"/>
          <w:szCs w:val="21"/>
          <w:highlight w:val="none"/>
        </w:rPr>
        <w:t>=</w:t>
      </w:r>
      <w:r>
        <w:rPr>
          <w:rFonts w:hint="eastAsia" w:ascii="宋体" w:hAnsi="宋体" w:cs="宋体"/>
          <w:color w:val="auto"/>
          <w:szCs w:val="21"/>
          <w:highlight w:val="none"/>
        </w:rPr>
        <w:t>Σ（投标人的投标报价</w:t>
      </w:r>
      <w:r>
        <w:rPr>
          <w:rFonts w:ascii="宋体" w:hAnsi="宋体" w:cs="宋体"/>
          <w:color w:val="auto"/>
          <w:szCs w:val="21"/>
          <w:highlight w:val="none"/>
        </w:rPr>
        <w:t>*</w:t>
      </w:r>
      <w:r>
        <w:rPr>
          <w:rFonts w:hint="eastAsia" w:ascii="宋体" w:hAnsi="宋体" w:cs="宋体"/>
          <w:color w:val="auto"/>
          <w:szCs w:val="21"/>
          <w:highlight w:val="none"/>
        </w:rPr>
        <w:t>报价权重）。</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其中：报价权重的计算方法为：将</w:t>
      </w:r>
      <w:r>
        <w:rPr>
          <w:rFonts w:ascii="宋体" w:hAnsi="宋体" w:cs="宋体"/>
          <w:color w:val="auto"/>
          <w:szCs w:val="21"/>
          <w:highlight w:val="none"/>
        </w:rPr>
        <w:t>N</w:t>
      </w:r>
      <w:r>
        <w:rPr>
          <w:rFonts w:hint="eastAsia" w:ascii="宋体" w:hAnsi="宋体" w:cs="宋体"/>
          <w:color w:val="auto"/>
          <w:szCs w:val="21"/>
          <w:highlight w:val="none"/>
        </w:rPr>
        <w:t>名投标人按技术分由高至低进行排序，第一名投标人的权重为（</w:t>
      </w:r>
      <w:r>
        <w:rPr>
          <w:rFonts w:ascii="宋体" w:hAnsi="宋体" w:cs="宋体"/>
          <w:color w:val="auto"/>
          <w:szCs w:val="21"/>
          <w:highlight w:val="none"/>
        </w:rPr>
        <w:fldChar w:fldCharType="begin"/>
      </w:r>
      <w:r>
        <w:rPr>
          <w:rFonts w:ascii="宋体" w:hAnsi="宋体" w:cs="宋体"/>
          <w:color w:val="auto"/>
          <w:szCs w:val="21"/>
          <w:highlight w:val="none"/>
        </w:rPr>
        <w:instrText xml:space="preserve"> QUOTE </w:instrText>
      </w:r>
      <w:r>
        <w:rPr>
          <w:rFonts w:ascii="宋体" w:cs="宋体"/>
          <w:color w:val="auto"/>
          <w:szCs w:val="21"/>
          <w:highlight w:val="none"/>
        </w:rPr>
        <w:drawing>
          <wp:inline distT="0" distB="0" distL="0" distR="0">
            <wp:extent cx="382905" cy="446405"/>
            <wp:effectExtent l="0" t="0" r="0" b="0"/>
            <wp:docPr id="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宋体"/>
          <w:color w:val="auto"/>
          <w:szCs w:val="21"/>
          <w:highlight w:val="none"/>
        </w:rPr>
        <w:fldChar w:fldCharType="separate"/>
      </w:r>
      <w:r>
        <w:rPr>
          <w:rFonts w:ascii="宋体" w:cs="宋体"/>
          <w:color w:val="auto"/>
          <w:szCs w:val="21"/>
          <w:highlight w:val="none"/>
        </w:rPr>
        <w:drawing>
          <wp:inline distT="0" distB="0" distL="0" distR="0">
            <wp:extent cx="382905" cy="446405"/>
            <wp:effectExtent l="0" t="0" r="0" b="0"/>
            <wp:docPr id="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ascii="宋体" w:hAnsi="宋体" w:cs="宋体"/>
          <w:color w:val="auto"/>
          <w:szCs w:val="21"/>
          <w:highlight w:val="none"/>
        </w:rPr>
        <w:fldChar w:fldCharType="begin"/>
      </w:r>
      <w:r>
        <w:rPr>
          <w:rFonts w:ascii="宋体" w:hAnsi="宋体" w:cs="宋体"/>
          <w:color w:val="auto"/>
          <w:szCs w:val="21"/>
          <w:highlight w:val="none"/>
        </w:rPr>
        <w:instrText xml:space="preserve"> QUOTE </w:instrText>
      </w:r>
      <w:r>
        <w:rPr>
          <w:rFonts w:ascii="宋体" w:cs="宋体"/>
          <w:color w:val="auto"/>
          <w:position w:val="-23"/>
          <w:szCs w:val="21"/>
          <w:highlight w:val="none"/>
        </w:rPr>
        <w:drawing>
          <wp:inline distT="0" distB="0" distL="0" distR="0">
            <wp:extent cx="318770" cy="414655"/>
            <wp:effectExtent l="0" t="0" r="5080" b="4445"/>
            <wp:docPr id="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宋体"/>
          <w:color w:val="auto"/>
          <w:szCs w:val="21"/>
          <w:highlight w:val="none"/>
        </w:rPr>
        <w:fldChar w:fldCharType="separate"/>
      </w:r>
      <w:r>
        <w:rPr>
          <w:rFonts w:ascii="宋体" w:cs="宋体"/>
          <w:color w:val="auto"/>
          <w:position w:val="-23"/>
          <w:szCs w:val="21"/>
          <w:highlight w:val="none"/>
        </w:rPr>
        <w:drawing>
          <wp:inline distT="0" distB="0" distL="0" distR="0">
            <wp:extent cx="318770" cy="414655"/>
            <wp:effectExtent l="0" t="0" r="5080" b="4445"/>
            <wp:docPr id="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ascii="宋体" w:hAnsi="宋体" w:cs="宋体"/>
          <w:color w:val="auto"/>
          <w:szCs w:val="21"/>
          <w:highlight w:val="none"/>
        </w:rPr>
        <w:fldChar w:fldCharType="begin"/>
      </w:r>
      <w:r>
        <w:rPr>
          <w:rFonts w:ascii="宋体" w:hAnsi="宋体" w:cs="宋体"/>
          <w:color w:val="auto"/>
          <w:szCs w:val="21"/>
          <w:highlight w:val="none"/>
        </w:rPr>
        <w:instrText xml:space="preserve"> QUOTE </w:instrText>
      </w:r>
      <w:r>
        <w:rPr>
          <w:rFonts w:ascii="宋体" w:cs="宋体"/>
          <w:color w:val="auto"/>
          <w:position w:val="-23"/>
          <w:szCs w:val="21"/>
          <w:highlight w:val="none"/>
        </w:rPr>
        <w:drawing>
          <wp:inline distT="0" distB="0" distL="0" distR="0">
            <wp:extent cx="318770" cy="414655"/>
            <wp:effectExtent l="0" t="0" r="5080" b="4445"/>
            <wp:docPr id="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宋体"/>
          <w:color w:val="auto"/>
          <w:szCs w:val="21"/>
          <w:highlight w:val="none"/>
        </w:rPr>
        <w:fldChar w:fldCharType="separate"/>
      </w:r>
      <w:r>
        <w:rPr>
          <w:rFonts w:ascii="宋体" w:cs="宋体"/>
          <w:color w:val="auto"/>
          <w:position w:val="-23"/>
          <w:szCs w:val="21"/>
          <w:highlight w:val="none"/>
        </w:rPr>
        <w:drawing>
          <wp:inline distT="0" distB="0" distL="0" distR="0">
            <wp:extent cx="318770" cy="414655"/>
            <wp:effectExtent l="0" t="0" r="5080" b="4445"/>
            <wp:docPr id="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宋体"/>
          <w:color w:val="auto"/>
          <w:szCs w:val="21"/>
          <w:highlight w:val="none"/>
        </w:rPr>
        <w:fldChar w:fldCharType="end"/>
      </w:r>
      <w:r>
        <w:rPr>
          <w:rFonts w:hint="eastAsia" w:ascii="宋体" w:hAnsi="宋体" w:cs="宋体"/>
          <w:color w:val="auto"/>
          <w:szCs w:val="21"/>
          <w:highlight w:val="none"/>
        </w:rPr>
        <w:t>）。</w:t>
      </w:r>
    </w:p>
    <w:p>
      <w:pPr>
        <w:widowControl/>
        <w:spacing w:line="360" w:lineRule="auto"/>
        <w:ind w:firstLine="420" w:firstLineChars="200"/>
        <w:rPr>
          <w:rFonts w:ascii="宋体" w:cs="宋体"/>
          <w:b/>
          <w:bCs/>
          <w:color w:val="auto"/>
          <w:kern w:val="0"/>
          <w:szCs w:val="21"/>
          <w:highlight w:val="none"/>
        </w:rPr>
      </w:pPr>
      <w:r>
        <w:rPr>
          <w:rFonts w:hint="eastAsia" w:ascii="宋体" w:hAnsi="宋体" w:cs="宋体"/>
          <w:b/>
          <w:bCs/>
          <w:color w:val="auto"/>
          <w:kern w:val="0"/>
          <w:szCs w:val="21"/>
          <w:highlight w:val="none"/>
        </w:rPr>
        <w:t>方法二：区间抽取法</w:t>
      </w:r>
    </w:p>
    <w:p>
      <w:pPr>
        <w:widowControl/>
        <w:snapToGrid w:val="0"/>
        <w:spacing w:line="360" w:lineRule="auto"/>
        <w:ind w:firstLine="420" w:firstLineChars="200"/>
        <w:rPr>
          <w:rFonts w:asci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rFonts w:ascii="宋体" w:cs="宋体"/>
          <w:color w:val="auto"/>
          <w:kern w:val="0"/>
          <w:szCs w:val="21"/>
          <w:highlight w:val="none"/>
          <w:vertAlign w:val="subscript"/>
        </w:rPr>
      </w:pPr>
      <w:r>
        <w:rPr>
          <w:rFonts w:hint="eastAsia" w:ascii="宋体" w:hAnsi="宋体" w:cs="宋体"/>
          <w:color w:val="auto"/>
          <w:kern w:val="0"/>
          <w:szCs w:val="21"/>
          <w:highlight w:val="none"/>
        </w:rPr>
        <w:t>评标参考价</w:t>
      </w:r>
      <w:r>
        <w:rPr>
          <w:rFonts w:ascii="宋体" w:hAnsi="宋体" w:cs="宋体"/>
          <w:color w:val="auto"/>
          <w:kern w:val="0"/>
          <w:szCs w:val="21"/>
          <w:highlight w:val="none"/>
        </w:rPr>
        <w:t>=</w:t>
      </w:r>
      <w:r>
        <w:rPr>
          <w:rFonts w:hint="eastAsia" w:ascii="宋体" w:hAnsi="宋体" w:cs="宋体"/>
          <w:color w:val="auto"/>
          <w:kern w:val="0"/>
          <w:szCs w:val="21"/>
          <w:highlight w:val="none"/>
        </w:rPr>
        <w:t>（</w:t>
      </w:r>
      <w:r>
        <w:rPr>
          <w:rFonts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w:t>
      </w:r>
      <w:r>
        <w:rPr>
          <w:rFonts w:ascii="宋体" w:hAnsi="宋体" w:cs="宋体"/>
          <w:color w:val="auto"/>
          <w:kern w:val="0"/>
          <w:szCs w:val="21"/>
          <w:highlight w:val="none"/>
        </w:rPr>
        <w:t>/100*</w:t>
      </w:r>
      <w:r>
        <w:rPr>
          <w:rFonts w:hint="eastAsia" w:ascii="宋体" w:hAnsi="宋体" w:cs="宋体"/>
          <w:color w:val="auto"/>
          <w:kern w:val="0"/>
          <w:szCs w:val="21"/>
          <w:highlight w:val="none"/>
        </w:rPr>
        <w:t>Ｘ</w:t>
      </w:r>
      <w:r>
        <w:rPr>
          <w:rFonts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p>
    <w:p>
      <w:pPr>
        <w:widowControl/>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r>
        <w:rPr>
          <w:rFonts w:ascii="宋体" w:hAnsi="宋体" w:cs="宋体"/>
          <w:color w:val="auto"/>
          <w:szCs w:val="21"/>
          <w:highlight w:val="none"/>
        </w:rPr>
        <w:t>*D%</w:t>
      </w:r>
      <w:r>
        <w:rPr>
          <w:rFonts w:hint="eastAsia" w:ascii="宋体" w:hAnsi="宋体" w:cs="宋体"/>
          <w:color w:val="auto"/>
          <w:szCs w:val="21"/>
          <w:highlight w:val="none"/>
        </w:rPr>
        <w:t>）（</w:t>
      </w:r>
      <w:r>
        <w:rPr>
          <w:rFonts w:ascii="宋体" w:hAnsi="宋体" w:cs="宋体"/>
          <w:color w:val="auto"/>
          <w:szCs w:val="21"/>
          <w:highlight w:val="none"/>
        </w:rPr>
        <w:t>D</w:t>
      </w:r>
      <w:r>
        <w:rPr>
          <w:rFonts w:hint="eastAsia" w:ascii="宋体" w:hAnsi="宋体" w:cs="宋体"/>
          <w:color w:val="auto"/>
          <w:szCs w:val="21"/>
          <w:highlight w:val="none"/>
        </w:rPr>
        <w:t>的取值范围为</w:t>
      </w:r>
      <w:r>
        <w:rPr>
          <w:rFonts w:ascii="宋体" w:hAnsi="宋体" w:cs="宋体"/>
          <w:color w:val="auto"/>
          <w:szCs w:val="21"/>
          <w:highlight w:val="none"/>
        </w:rPr>
        <w:t>[94,100],</w:t>
      </w:r>
      <w:r>
        <w:rPr>
          <w:rFonts w:hint="eastAsia" w:ascii="宋体" w:hAnsi="宋体" w:cs="宋体"/>
          <w:color w:val="auto"/>
          <w:szCs w:val="21"/>
          <w:highlight w:val="none"/>
        </w:rPr>
        <w:t>由招标人自定）</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X:</w:t>
      </w:r>
      <w:r>
        <w:rPr>
          <w:rFonts w:hint="eastAsia" w:ascii="宋体" w:hAnsi="宋体" w:cs="宋体"/>
          <w:color w:val="auto"/>
          <w:szCs w:val="21"/>
          <w:highlight w:val="none"/>
        </w:rPr>
        <w:t>为等分点值，在开标前从</w:t>
      </w:r>
      <w:r>
        <w:rPr>
          <w:rFonts w:ascii="宋体" w:hAnsi="宋体" w:cs="宋体"/>
          <w:color w:val="auto"/>
          <w:szCs w:val="21"/>
          <w:highlight w:val="none"/>
        </w:rPr>
        <w:t>[0,100]</w:t>
      </w:r>
      <w:r>
        <w:rPr>
          <w:rFonts w:hint="eastAsia" w:ascii="宋体" w:hAnsi="宋体" w:cs="宋体"/>
          <w:color w:val="auto"/>
          <w:szCs w:val="21"/>
          <w:highlight w:val="none"/>
        </w:rPr>
        <w:t>整数中随机抽取</w:t>
      </w:r>
    </w:p>
    <w:p>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45.3</w:t>
      </w:r>
      <w:r>
        <w:rPr>
          <w:rFonts w:hint="eastAsia" w:ascii="宋体" w:hAnsi="宋体" w:cs="宋体"/>
          <w:color w:val="auto"/>
          <w:szCs w:val="21"/>
          <w:highlight w:val="none"/>
        </w:rPr>
        <w:t>当标价等于评标参考价时得</w:t>
      </w:r>
      <w:r>
        <w:rPr>
          <w:rFonts w:ascii="宋体" w:hAnsi="宋体" w:cs="宋体"/>
          <w:color w:val="auto"/>
          <w:szCs w:val="21"/>
          <w:highlight w:val="none"/>
        </w:rPr>
        <w:t>100</w:t>
      </w:r>
      <w:r>
        <w:rPr>
          <w:rFonts w:hint="eastAsia" w:ascii="宋体" w:hAnsi="宋体" w:cs="宋体"/>
          <w:color w:val="auto"/>
          <w:szCs w:val="21"/>
          <w:highlight w:val="none"/>
        </w:rPr>
        <w:t>分，标价每高于评标参考价</w:t>
      </w:r>
      <w:r>
        <w:rPr>
          <w:rFonts w:ascii="宋体" w:hAnsi="宋体" w:cs="宋体"/>
          <w:color w:val="auto"/>
          <w:szCs w:val="21"/>
          <w:highlight w:val="none"/>
        </w:rPr>
        <w:t>1%</w:t>
      </w:r>
      <w:r>
        <w:rPr>
          <w:rFonts w:hint="eastAsia" w:ascii="宋体" w:hAnsi="宋体" w:cs="宋体"/>
          <w:color w:val="auto"/>
          <w:szCs w:val="21"/>
          <w:highlight w:val="none"/>
        </w:rPr>
        <w:t>，扣</w:t>
      </w:r>
      <w:r>
        <w:rPr>
          <w:rFonts w:ascii="宋体" w:hAnsi="宋体" w:cs="宋体"/>
          <w:color w:val="auto"/>
          <w:szCs w:val="21"/>
          <w:highlight w:val="none"/>
        </w:rPr>
        <w:t>1.5</w:t>
      </w:r>
      <w:r>
        <w:rPr>
          <w:rFonts w:hint="eastAsia" w:ascii="宋体" w:hAnsi="宋体" w:cs="宋体"/>
          <w:color w:val="auto"/>
          <w:szCs w:val="21"/>
          <w:highlight w:val="none"/>
        </w:rPr>
        <w:t>分，每低于评标参考价</w:t>
      </w:r>
      <w:r>
        <w:rPr>
          <w:rFonts w:ascii="宋体" w:hAnsi="宋体" w:cs="宋体"/>
          <w:color w:val="auto"/>
          <w:szCs w:val="21"/>
          <w:highlight w:val="none"/>
        </w:rPr>
        <w:t>1%</w:t>
      </w:r>
      <w:r>
        <w:rPr>
          <w:rFonts w:hint="eastAsia" w:ascii="宋体" w:hAnsi="宋体" w:cs="宋体"/>
          <w:color w:val="auto"/>
          <w:szCs w:val="21"/>
          <w:highlight w:val="none"/>
        </w:rPr>
        <w:t>，扣</w:t>
      </w:r>
      <w:r>
        <w:rPr>
          <w:rFonts w:ascii="宋体" w:hAnsi="宋体" w:cs="宋体"/>
          <w:color w:val="auto"/>
          <w:szCs w:val="21"/>
          <w:highlight w:val="none"/>
        </w:rPr>
        <w:t>1</w:t>
      </w:r>
      <w:r>
        <w:rPr>
          <w:rFonts w:hint="eastAsia" w:ascii="宋体" w:hAnsi="宋体" w:cs="宋体"/>
          <w:color w:val="auto"/>
          <w:szCs w:val="21"/>
          <w:highlight w:val="none"/>
        </w:rPr>
        <w:t>分，扣至</w:t>
      </w:r>
      <w:r>
        <w:rPr>
          <w:rFonts w:ascii="宋体" w:cs="宋体"/>
          <w:color w:val="auto"/>
          <w:szCs w:val="21"/>
          <w:highlight w:val="none"/>
        </w:rPr>
        <w:t>0</w:t>
      </w:r>
      <w:r>
        <w:rPr>
          <w:rFonts w:hint="eastAsia" w:ascii="宋体" w:hAnsi="宋体" w:cs="宋体"/>
          <w:color w:val="auto"/>
          <w:szCs w:val="21"/>
          <w:highlight w:val="none"/>
        </w:rPr>
        <w:t>分为止，得出经济分，精确到小数点后两位。</w:t>
      </w:r>
    </w:p>
    <w:p>
      <w:pPr>
        <w:pStyle w:val="6"/>
        <w:tabs>
          <w:tab w:val="left" w:pos="7380"/>
        </w:tabs>
        <w:snapToGrid w:val="0"/>
        <w:spacing w:after="0" w:line="360" w:lineRule="auto"/>
        <w:ind w:firstLineChars="200"/>
        <w:rPr>
          <w:rFonts w:ascii="宋体" w:eastAsia="宋体" w:cs="宋体"/>
          <w:color w:val="auto"/>
          <w:szCs w:val="21"/>
          <w:highlight w:val="none"/>
        </w:rPr>
      </w:pPr>
      <w:r>
        <w:rPr>
          <w:rFonts w:ascii="宋体" w:hAnsi="宋体" w:cs="宋体"/>
          <w:color w:val="auto"/>
          <w:szCs w:val="21"/>
          <w:highlight w:val="none"/>
        </w:rPr>
        <w:t>45.4</w:t>
      </w:r>
      <w:r>
        <w:rPr>
          <w:rFonts w:hint="eastAsia" w:ascii="宋体" w:hAnsi="宋体" w:eastAsia="宋体" w:cs="宋体"/>
          <w:color w:val="auto"/>
          <w:szCs w:val="21"/>
          <w:highlight w:val="none"/>
        </w:rPr>
        <w:t>计算通过技术标有效性审查的投标人总得分。投标人总得分</w:t>
      </w:r>
      <w:r>
        <w:rPr>
          <w:rFonts w:ascii="宋体" w:hAnsi="宋体" w:eastAsia="宋体" w:cs="宋体"/>
          <w:color w:val="auto"/>
          <w:szCs w:val="21"/>
          <w:highlight w:val="none"/>
        </w:rPr>
        <w:t>=</w:t>
      </w:r>
      <w:r>
        <w:rPr>
          <w:rFonts w:hint="eastAsia" w:ascii="宋体" w:hAnsi="宋体" w:eastAsia="宋体" w:cs="宋体"/>
          <w:color w:val="auto"/>
          <w:szCs w:val="21"/>
          <w:highlight w:val="none"/>
        </w:rPr>
        <w:t>（技术得分</w:t>
      </w:r>
      <w:r>
        <w:rPr>
          <w:rFonts w:ascii="宋体" w:hAnsi="宋体" w:eastAsia="宋体" w:cs="宋体"/>
          <w:color w:val="auto"/>
          <w:szCs w:val="21"/>
          <w:highlight w:val="none"/>
        </w:rPr>
        <w:t>×</w:t>
      </w:r>
      <w:r>
        <w:rPr>
          <w:rFonts w:hint="eastAsia" w:ascii="宋体" w:hAnsi="宋体" w:eastAsia="宋体" w:cs="宋体"/>
          <w:color w:val="auto"/>
          <w:szCs w:val="21"/>
          <w:highlight w:val="none"/>
        </w:rPr>
        <w:t>技术得分权重＋经济得分</w:t>
      </w:r>
      <w:r>
        <w:rPr>
          <w:rFonts w:ascii="宋体" w:hAnsi="宋体" w:eastAsia="宋体" w:cs="宋体"/>
          <w:color w:val="auto"/>
          <w:szCs w:val="21"/>
          <w:highlight w:val="none"/>
        </w:rPr>
        <w:t>×</w:t>
      </w:r>
      <w:r>
        <w:rPr>
          <w:rFonts w:hint="eastAsia" w:ascii="宋体" w:hAnsi="宋体" w:eastAsia="宋体" w:cs="宋体"/>
          <w:color w:val="auto"/>
          <w:szCs w:val="21"/>
          <w:highlight w:val="none"/>
        </w:rPr>
        <w:t>经济得分权重）</w:t>
      </w:r>
      <w:r>
        <w:rPr>
          <w:rFonts w:ascii="宋体" w:hAnsi="宋体" w:eastAsia="宋体" w:cs="宋体"/>
          <w:color w:val="auto"/>
          <w:szCs w:val="21"/>
          <w:highlight w:val="none"/>
        </w:rPr>
        <w:t>×</w:t>
      </w:r>
      <w:r>
        <w:rPr>
          <w:rFonts w:hint="eastAsia" w:ascii="宋体" w:hAnsi="宋体" w:eastAsia="宋体" w:cs="宋体"/>
          <w:color w:val="auto"/>
          <w:szCs w:val="21"/>
          <w:highlight w:val="none"/>
        </w:rPr>
        <w:t>（</w:t>
      </w:r>
      <w:r>
        <w:rPr>
          <w:rFonts w:ascii="宋体" w:hAnsi="宋体" w:eastAsia="宋体" w:cs="宋体"/>
          <w:color w:val="auto"/>
          <w:szCs w:val="21"/>
          <w:highlight w:val="none"/>
        </w:rPr>
        <w:t>1-</w:t>
      </w:r>
      <w:r>
        <w:rPr>
          <w:rFonts w:hint="eastAsia" w:ascii="宋体" w:hAnsi="宋体" w:eastAsia="宋体" w:cs="宋体"/>
          <w:color w:val="auto"/>
          <w:szCs w:val="21"/>
          <w:highlight w:val="none"/>
        </w:rPr>
        <w:t>综合诚信评价分数权重）＋综合诚信评价排名得分</w:t>
      </w:r>
      <w:r>
        <w:rPr>
          <w:rFonts w:ascii="宋体" w:hAnsi="宋体" w:eastAsia="宋体" w:cs="宋体"/>
          <w:color w:val="auto"/>
          <w:szCs w:val="21"/>
          <w:highlight w:val="none"/>
        </w:rPr>
        <w:t>×</w:t>
      </w:r>
      <w:r>
        <w:rPr>
          <w:rFonts w:hint="eastAsia" w:ascii="宋体" w:hAnsi="宋体" w:eastAsia="宋体" w:cs="宋体"/>
          <w:color w:val="auto"/>
          <w:szCs w:val="21"/>
          <w:highlight w:val="none"/>
        </w:rPr>
        <w:t>综合诚信评价分数权重）。技术、经济得分权重按投标须知前附表的规定执行。总得分四舍五入保留两位小数。</w:t>
      </w:r>
    </w:p>
    <w:p>
      <w:pPr>
        <w:pStyle w:val="6"/>
        <w:tabs>
          <w:tab w:val="left" w:pos="7380"/>
        </w:tabs>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ascii="宋体" w:hAnsi="宋体" w:eastAsia="宋体" w:cs="宋体"/>
          <w:color w:val="auto"/>
          <w:szCs w:val="21"/>
          <w:highlight w:val="none"/>
        </w:rPr>
        <w:t>45</w:t>
      </w:r>
      <w:r>
        <w:rPr>
          <w:rFonts w:hint="eastAsia" w:ascii="宋体" w:hAnsi="宋体" w:eastAsia="宋体" w:cs="宋体"/>
          <w:color w:val="auto"/>
          <w:szCs w:val="21"/>
          <w:highlight w:val="none"/>
        </w:rPr>
        <w:t>．经济标评审和得分汇总</w:t>
      </w:r>
    </w:p>
    <w:p>
      <w:pPr>
        <w:pStyle w:val="6"/>
        <w:tabs>
          <w:tab w:val="left" w:pos="7380"/>
        </w:tabs>
        <w:snapToGrid w:val="0"/>
        <w:spacing w:after="0" w:line="360" w:lineRule="auto"/>
        <w:ind w:firstLineChars="200"/>
        <w:rPr>
          <w:rFonts w:ascii="宋体" w:hAnsi="宋体" w:eastAsia="宋体" w:cs="宋体"/>
          <w:color w:val="auto"/>
          <w:szCs w:val="21"/>
          <w:highlight w:val="none"/>
        </w:rPr>
      </w:pPr>
      <w:r>
        <w:rPr>
          <w:rFonts w:ascii="宋体" w:hAnsi="宋体" w:eastAsia="宋体" w:cs="宋体"/>
          <w:color w:val="auto"/>
          <w:szCs w:val="21"/>
          <w:highlight w:val="none"/>
        </w:rPr>
        <w:t>45.1</w:t>
      </w:r>
      <w:r>
        <w:rPr>
          <w:rFonts w:hint="eastAsia" w:ascii="宋体" w:hAnsi="宋体" w:eastAsia="宋体" w:cs="宋体"/>
          <w:color w:val="auto"/>
          <w:szCs w:val="21"/>
          <w:highlight w:val="none"/>
        </w:rPr>
        <w:t>若通过技术标有效性审查的投标人中投标报价均大于等于最高投标限价</w:t>
      </w:r>
      <w:r>
        <w:rPr>
          <w:rFonts w:ascii="宋体" w:hAnsi="宋体" w:eastAsia="宋体" w:cs="宋体"/>
          <w:color w:val="auto"/>
          <w:szCs w:val="21"/>
          <w:highlight w:val="none"/>
        </w:rPr>
        <w:t>*</w:t>
      </w:r>
      <w:r>
        <w:rPr>
          <w:rFonts w:ascii="宋体" w:hAnsi="宋体" w:eastAsia="宋体" w:cs="宋体"/>
          <w:color w:val="auto"/>
          <w:szCs w:val="21"/>
          <w:highlight w:val="none"/>
          <w:u w:val="single"/>
        </w:rPr>
        <w:t>D</w:t>
      </w:r>
      <w:r>
        <w:rPr>
          <w:rFonts w:ascii="宋体" w:hAnsi="宋体" w:eastAsia="宋体" w:cs="宋体"/>
          <w:color w:val="auto"/>
          <w:szCs w:val="21"/>
          <w:highlight w:val="none"/>
        </w:rPr>
        <w:t>%</w:t>
      </w:r>
      <w:r>
        <w:rPr>
          <w:rFonts w:hint="eastAsia" w:ascii="宋体" w:hAnsi="宋体" w:eastAsia="宋体" w:cs="宋体"/>
          <w:color w:val="auto"/>
          <w:szCs w:val="21"/>
          <w:highlight w:val="none"/>
        </w:rPr>
        <w:t>（</w:t>
      </w:r>
      <w:r>
        <w:rPr>
          <w:rFonts w:ascii="宋体" w:hAnsi="宋体" w:eastAsia="宋体" w:cs="宋体"/>
          <w:color w:val="auto"/>
          <w:szCs w:val="21"/>
          <w:highlight w:val="none"/>
        </w:rPr>
        <w:t>D</w:t>
      </w:r>
      <w:r>
        <w:rPr>
          <w:rFonts w:hint="eastAsia" w:ascii="宋体" w:hAnsi="宋体" w:eastAsia="宋体" w:cs="宋体"/>
          <w:color w:val="auto"/>
          <w:szCs w:val="21"/>
          <w:highlight w:val="none"/>
        </w:rPr>
        <w:t>值为</w:t>
      </w:r>
      <w:r>
        <w:rPr>
          <w:rFonts w:ascii="宋体" w:hAnsi="宋体" w:eastAsia="宋体" w:cs="宋体"/>
          <w:color w:val="auto"/>
          <w:szCs w:val="21"/>
          <w:highlight w:val="none"/>
        </w:rPr>
        <w:t>100</w:t>
      </w:r>
      <w:r>
        <w:rPr>
          <w:rFonts w:hint="eastAsia" w:ascii="宋体" w:hAnsi="宋体" w:eastAsia="宋体" w:cs="宋体"/>
          <w:color w:val="auto"/>
          <w:szCs w:val="21"/>
          <w:highlight w:val="none"/>
        </w:rPr>
        <w:t>，</w:t>
      </w:r>
      <w:r>
        <w:rPr>
          <w:rFonts w:ascii="宋体" w:hAnsi="宋体" w:eastAsia="宋体" w:cs="宋体"/>
          <w:color w:val="auto"/>
          <w:szCs w:val="21"/>
          <w:highlight w:val="none"/>
        </w:rPr>
        <w:t>D</w:t>
      </w:r>
      <w:r>
        <w:rPr>
          <w:rFonts w:hint="eastAsia" w:ascii="宋体" w:hAnsi="宋体" w:eastAsia="宋体" w:cs="宋体"/>
          <w:color w:val="auto"/>
          <w:szCs w:val="21"/>
          <w:highlight w:val="none"/>
        </w:rPr>
        <w:t>的取值范围为</w:t>
      </w:r>
      <w:r>
        <w:rPr>
          <w:rFonts w:ascii="宋体" w:hAnsi="宋体" w:eastAsia="宋体" w:cs="宋体"/>
          <w:color w:val="auto"/>
          <w:szCs w:val="21"/>
          <w:highlight w:val="none"/>
        </w:rPr>
        <w:t>[94,100],</w:t>
      </w:r>
      <w:r>
        <w:rPr>
          <w:rFonts w:hint="eastAsia" w:ascii="宋体" w:hAnsi="宋体" w:eastAsia="宋体" w:cs="宋体"/>
          <w:color w:val="auto"/>
          <w:szCs w:val="21"/>
          <w:highlight w:val="none"/>
        </w:rPr>
        <w:t>由招标人自主确定）的（具体金额为：</w:t>
      </w:r>
      <w:r>
        <w:rPr>
          <w:rFonts w:hint="eastAsia" w:ascii="宋体" w:hAnsi="宋体" w:cs="宋体"/>
          <w:color w:val="auto"/>
          <w:szCs w:val="21"/>
          <w:highlight w:val="none"/>
          <w:u w:val="single"/>
        </w:rPr>
        <w:t>7968313.74</w:t>
      </w:r>
      <w:r>
        <w:rPr>
          <w:rFonts w:hint="eastAsia" w:ascii="宋体" w:hAnsi="宋体" w:eastAsia="宋体" w:cs="宋体"/>
          <w:color w:val="auto"/>
          <w:szCs w:val="21"/>
          <w:highlight w:val="none"/>
        </w:rPr>
        <w:t>元），则本项目招标失败，由招标人依法重新招标。</w:t>
      </w:r>
    </w:p>
    <w:p>
      <w:pPr>
        <w:pStyle w:val="6"/>
        <w:tabs>
          <w:tab w:val="left" w:pos="7380"/>
        </w:tabs>
        <w:snapToGrid w:val="0"/>
        <w:spacing w:after="0" w:line="360" w:lineRule="auto"/>
        <w:ind w:firstLineChars="200"/>
        <w:rPr>
          <w:rFonts w:ascii="宋体" w:hAnsi="宋体" w:eastAsia="宋体" w:cs="宋体"/>
          <w:color w:val="auto"/>
          <w:szCs w:val="21"/>
          <w:highlight w:val="none"/>
        </w:rPr>
      </w:pPr>
      <w:r>
        <w:rPr>
          <w:rFonts w:ascii="宋体" w:hAnsi="宋体" w:eastAsia="宋体" w:cs="宋体"/>
          <w:color w:val="auto"/>
          <w:szCs w:val="21"/>
          <w:highlight w:val="none"/>
        </w:rPr>
        <w:t>45.2</w:t>
      </w:r>
      <w:r>
        <w:rPr>
          <w:rFonts w:hint="eastAsia" w:ascii="宋体" w:hAnsi="宋体" w:eastAsia="宋体" w:cs="宋体"/>
          <w:color w:val="auto"/>
          <w:szCs w:val="21"/>
          <w:highlight w:val="none"/>
        </w:rPr>
        <w:t>按方法</w:t>
      </w:r>
      <w:r>
        <w:rPr>
          <w:rFonts w:hint="eastAsia" w:ascii="宋体" w:hAnsi="宋体" w:eastAsia="宋体" w:cs="宋体"/>
          <w:color w:val="auto"/>
          <w:szCs w:val="21"/>
          <w:highlight w:val="none"/>
          <w:u w:val="single"/>
        </w:rPr>
        <w:t>一</w:t>
      </w:r>
      <w:r>
        <w:rPr>
          <w:rFonts w:hint="eastAsia" w:ascii="宋体" w:hAnsi="宋体" w:eastAsia="宋体" w:cs="宋体"/>
          <w:color w:val="auto"/>
          <w:szCs w:val="21"/>
          <w:highlight w:val="none"/>
        </w:rPr>
        <w:t>计算评标参考价：</w:t>
      </w:r>
    </w:p>
    <w:p>
      <w:pPr>
        <w:widowControl/>
        <w:spacing w:line="360" w:lineRule="auto"/>
        <w:ind w:firstLine="420" w:firstLineChars="200"/>
        <w:rPr>
          <w:rFonts w:asci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u w:val="single"/>
        </w:rPr>
        <w:t>技术标得分前N名(如满足前述条件的投标人≥5家，则N=5；若满足前述条件的投标人＜5家，则N为满足前述条件的投标人的数量)的经济报价加权平均，计算评标参考价。公式如下：</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评标参考价</w:t>
      </w:r>
      <w:r>
        <w:rPr>
          <w:rFonts w:ascii="宋体" w:hAnsi="宋体" w:cs="宋体"/>
          <w:color w:val="auto"/>
          <w:szCs w:val="21"/>
          <w:highlight w:val="none"/>
        </w:rPr>
        <w:t>=</w:t>
      </w:r>
      <w:r>
        <w:rPr>
          <w:rFonts w:hint="eastAsia" w:ascii="宋体" w:hAnsi="宋体" w:cs="宋体"/>
          <w:color w:val="auto"/>
          <w:szCs w:val="21"/>
          <w:highlight w:val="none"/>
        </w:rPr>
        <w:t>Σ（投标人的投标报价</w:t>
      </w:r>
      <w:r>
        <w:rPr>
          <w:rFonts w:ascii="宋体" w:hAnsi="宋体" w:cs="宋体"/>
          <w:color w:val="auto"/>
          <w:szCs w:val="21"/>
          <w:highlight w:val="none"/>
        </w:rPr>
        <w:t>*</w:t>
      </w:r>
      <w:r>
        <w:rPr>
          <w:rFonts w:hint="eastAsia" w:ascii="宋体" w:hAnsi="宋体" w:cs="宋体"/>
          <w:color w:val="auto"/>
          <w:szCs w:val="21"/>
          <w:highlight w:val="none"/>
        </w:rPr>
        <w:t>报价权重）。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其中：报价权重的计算方法为：将</w:t>
      </w:r>
      <w:r>
        <w:rPr>
          <w:rFonts w:ascii="宋体" w:hAnsi="宋体" w:cs="宋体"/>
          <w:color w:val="auto"/>
          <w:szCs w:val="21"/>
          <w:highlight w:val="none"/>
        </w:rPr>
        <w:t>N</w:t>
      </w:r>
      <w:r>
        <w:rPr>
          <w:rFonts w:hint="eastAsia" w:ascii="宋体" w:hAnsi="宋体" w:cs="宋体"/>
          <w:color w:val="auto"/>
          <w:szCs w:val="21"/>
          <w:highlight w:val="none"/>
        </w:rPr>
        <w:t>名投标人按技术分由高至低进行排序，第一名投标人的权重为（</w:t>
      </w:r>
      <w:r>
        <w:rPr>
          <w:rFonts w:ascii="宋体" w:hAnsi="宋体" w:cs="宋体"/>
          <w:color w:val="auto"/>
          <w:szCs w:val="21"/>
          <w:highlight w:val="none"/>
        </w:rPr>
        <w:fldChar w:fldCharType="begin"/>
      </w:r>
      <w:r>
        <w:rPr>
          <w:rFonts w:ascii="宋体" w:hAnsi="宋体" w:cs="宋体"/>
          <w:color w:val="auto"/>
          <w:szCs w:val="21"/>
          <w:highlight w:val="none"/>
        </w:rPr>
        <w:instrText xml:space="preserve"> QUOTE </w:instrText>
      </w:r>
      <w:r>
        <w:rPr>
          <w:rFonts w:ascii="宋体" w:cs="宋体"/>
          <w:color w:val="auto"/>
          <w:szCs w:val="21"/>
          <w:highlight w:val="none"/>
        </w:rPr>
        <w:drawing>
          <wp:inline distT="0" distB="0" distL="0" distR="0">
            <wp:extent cx="382905" cy="446405"/>
            <wp:effectExtent l="0" t="0" r="0" b="0"/>
            <wp:docPr id="1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宋体"/>
          <w:color w:val="auto"/>
          <w:szCs w:val="21"/>
          <w:highlight w:val="none"/>
        </w:rPr>
        <w:fldChar w:fldCharType="separate"/>
      </w:r>
      <w:r>
        <w:rPr>
          <w:rFonts w:ascii="宋体" w:cs="宋体"/>
          <w:color w:val="auto"/>
          <w:szCs w:val="21"/>
          <w:highlight w:val="none"/>
        </w:rPr>
        <w:drawing>
          <wp:inline distT="0" distB="0" distL="0" distR="0">
            <wp:extent cx="382905" cy="446405"/>
            <wp:effectExtent l="0" t="0" r="0" b="0"/>
            <wp:docPr id="2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ascii="宋体" w:hAnsi="宋体" w:cs="宋体"/>
          <w:color w:val="auto"/>
          <w:szCs w:val="21"/>
          <w:highlight w:val="none"/>
        </w:rPr>
        <w:fldChar w:fldCharType="begin"/>
      </w:r>
      <w:r>
        <w:rPr>
          <w:rFonts w:ascii="宋体" w:hAnsi="宋体" w:cs="宋体"/>
          <w:color w:val="auto"/>
          <w:szCs w:val="21"/>
          <w:highlight w:val="none"/>
        </w:rPr>
        <w:instrText xml:space="preserve"> QUOTE </w:instrText>
      </w:r>
      <w:r>
        <w:rPr>
          <w:rFonts w:ascii="宋体" w:cs="宋体"/>
          <w:color w:val="auto"/>
          <w:position w:val="-23"/>
          <w:szCs w:val="21"/>
          <w:highlight w:val="none"/>
        </w:rPr>
        <w:drawing>
          <wp:inline distT="0" distB="0" distL="0" distR="0">
            <wp:extent cx="318770" cy="414655"/>
            <wp:effectExtent l="0" t="0" r="5080" b="4445"/>
            <wp:docPr id="2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宋体"/>
          <w:color w:val="auto"/>
          <w:szCs w:val="21"/>
          <w:highlight w:val="none"/>
        </w:rPr>
        <w:fldChar w:fldCharType="separate"/>
      </w:r>
      <w:r>
        <w:rPr>
          <w:rFonts w:ascii="宋体" w:cs="宋体"/>
          <w:color w:val="auto"/>
          <w:position w:val="-23"/>
          <w:szCs w:val="21"/>
          <w:highlight w:val="none"/>
        </w:rPr>
        <w:drawing>
          <wp:inline distT="0" distB="0" distL="0" distR="0">
            <wp:extent cx="318770" cy="414655"/>
            <wp:effectExtent l="0" t="0" r="5080" b="4445"/>
            <wp:docPr id="2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ascii="宋体" w:hAnsi="宋体" w:cs="宋体"/>
          <w:color w:val="auto"/>
          <w:szCs w:val="21"/>
          <w:highlight w:val="none"/>
        </w:rPr>
        <w:fldChar w:fldCharType="begin"/>
      </w:r>
      <w:r>
        <w:rPr>
          <w:rFonts w:ascii="宋体" w:hAnsi="宋体" w:cs="宋体"/>
          <w:color w:val="auto"/>
          <w:szCs w:val="21"/>
          <w:highlight w:val="none"/>
        </w:rPr>
        <w:instrText xml:space="preserve"> QUOTE </w:instrText>
      </w:r>
      <w:r>
        <w:rPr>
          <w:rFonts w:ascii="宋体" w:cs="宋体"/>
          <w:color w:val="auto"/>
          <w:position w:val="-23"/>
          <w:szCs w:val="21"/>
          <w:highlight w:val="none"/>
        </w:rPr>
        <w:drawing>
          <wp:inline distT="0" distB="0" distL="0" distR="0">
            <wp:extent cx="318770" cy="414655"/>
            <wp:effectExtent l="0" t="0" r="5080" b="4445"/>
            <wp:docPr id="2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宋体"/>
          <w:color w:val="auto"/>
          <w:szCs w:val="21"/>
          <w:highlight w:val="none"/>
        </w:rPr>
        <w:fldChar w:fldCharType="separate"/>
      </w:r>
      <w:r>
        <w:rPr>
          <w:rFonts w:ascii="宋体" w:cs="宋体"/>
          <w:color w:val="auto"/>
          <w:position w:val="-23"/>
          <w:szCs w:val="21"/>
          <w:highlight w:val="none"/>
        </w:rPr>
        <w:drawing>
          <wp:inline distT="0" distB="0" distL="0" distR="0">
            <wp:extent cx="318770" cy="414655"/>
            <wp:effectExtent l="0" t="0" r="5080" b="4445"/>
            <wp:docPr id="2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宋体"/>
          <w:color w:val="auto"/>
          <w:szCs w:val="21"/>
          <w:highlight w:val="none"/>
        </w:rPr>
        <w:fldChar w:fldCharType="end"/>
      </w:r>
      <w:r>
        <w:rPr>
          <w:rFonts w:hint="eastAsia" w:ascii="宋体" w:hAnsi="宋体" w:cs="宋体"/>
          <w:color w:val="auto"/>
          <w:szCs w:val="21"/>
          <w:highlight w:val="none"/>
        </w:rPr>
        <w:t xml:space="preserve">）。   </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u w:val="single"/>
        </w:rPr>
        <w:t>技术标得分相同的，由评标委员会采用记名投票方式，确定投标人的排序。</w:t>
      </w:r>
    </w:p>
    <w:p>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45.3</w:t>
      </w:r>
      <w:r>
        <w:rPr>
          <w:rFonts w:hint="eastAsia" w:ascii="宋体" w:hAnsi="宋体" w:cs="宋体"/>
          <w:color w:val="auto"/>
          <w:szCs w:val="21"/>
          <w:highlight w:val="none"/>
        </w:rPr>
        <w:t>当标价等于评标参考价时得</w:t>
      </w:r>
      <w:r>
        <w:rPr>
          <w:rFonts w:ascii="宋体" w:hAnsi="宋体" w:cs="宋体"/>
          <w:color w:val="auto"/>
          <w:szCs w:val="21"/>
          <w:highlight w:val="none"/>
        </w:rPr>
        <w:t>100</w:t>
      </w:r>
      <w:r>
        <w:rPr>
          <w:rFonts w:hint="eastAsia" w:ascii="宋体" w:hAnsi="宋体" w:cs="宋体"/>
          <w:color w:val="auto"/>
          <w:szCs w:val="21"/>
          <w:highlight w:val="none"/>
        </w:rPr>
        <w:t>分，标价每高于评标参考价</w:t>
      </w:r>
      <w:r>
        <w:rPr>
          <w:rFonts w:ascii="宋体" w:hAnsi="宋体" w:cs="宋体"/>
          <w:color w:val="auto"/>
          <w:szCs w:val="21"/>
          <w:highlight w:val="none"/>
        </w:rPr>
        <w:t>1%</w:t>
      </w:r>
      <w:r>
        <w:rPr>
          <w:rFonts w:hint="eastAsia" w:ascii="宋体" w:hAnsi="宋体" w:cs="宋体"/>
          <w:color w:val="auto"/>
          <w:szCs w:val="21"/>
          <w:highlight w:val="none"/>
        </w:rPr>
        <w:t>，扣</w:t>
      </w:r>
      <w:r>
        <w:rPr>
          <w:rFonts w:hint="eastAsia" w:ascii="宋体" w:hAnsi="宋体" w:cs="宋体"/>
          <w:color w:val="auto"/>
          <w:szCs w:val="21"/>
          <w:highlight w:val="none"/>
          <w:u w:val="single"/>
        </w:rPr>
        <w:t>0.2</w:t>
      </w:r>
      <w:r>
        <w:rPr>
          <w:rFonts w:hint="eastAsia" w:ascii="宋体" w:hAnsi="宋体" w:cs="宋体"/>
          <w:color w:val="auto"/>
          <w:szCs w:val="21"/>
          <w:highlight w:val="none"/>
        </w:rPr>
        <w:t>分，每低于评标参考价</w:t>
      </w:r>
      <w:r>
        <w:rPr>
          <w:rFonts w:ascii="宋体" w:hAnsi="宋体" w:cs="宋体"/>
          <w:color w:val="auto"/>
          <w:szCs w:val="21"/>
          <w:highlight w:val="none"/>
        </w:rPr>
        <w:t>1%</w:t>
      </w:r>
      <w:r>
        <w:rPr>
          <w:rFonts w:hint="eastAsia" w:ascii="宋体" w:hAnsi="宋体" w:cs="宋体"/>
          <w:color w:val="auto"/>
          <w:szCs w:val="21"/>
          <w:highlight w:val="none"/>
        </w:rPr>
        <w:t>，扣</w:t>
      </w:r>
      <w:r>
        <w:rPr>
          <w:rFonts w:hint="eastAsia" w:ascii="宋体" w:hAnsi="宋体" w:cs="宋体"/>
          <w:color w:val="auto"/>
          <w:szCs w:val="21"/>
          <w:highlight w:val="none"/>
          <w:u w:val="single"/>
        </w:rPr>
        <w:t>0.1</w:t>
      </w:r>
      <w:r>
        <w:rPr>
          <w:rFonts w:hint="eastAsia" w:ascii="宋体" w:hAnsi="宋体" w:cs="宋体"/>
          <w:color w:val="auto"/>
          <w:szCs w:val="21"/>
          <w:highlight w:val="none"/>
        </w:rPr>
        <w:t>分，扣至</w:t>
      </w:r>
      <w:r>
        <w:rPr>
          <w:rFonts w:ascii="宋体" w:cs="宋体"/>
          <w:color w:val="auto"/>
          <w:szCs w:val="21"/>
          <w:highlight w:val="none"/>
        </w:rPr>
        <w:t>0</w:t>
      </w:r>
      <w:r>
        <w:rPr>
          <w:rFonts w:hint="eastAsia" w:ascii="宋体" w:hAnsi="宋体" w:cs="宋体"/>
          <w:color w:val="auto"/>
          <w:szCs w:val="21"/>
          <w:highlight w:val="none"/>
        </w:rPr>
        <w:t>分为止，得出经济分，精确到小数点后两位。</w:t>
      </w:r>
    </w:p>
    <w:p>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45.4</w:t>
      </w:r>
      <w:r>
        <w:rPr>
          <w:rFonts w:hint="eastAsia" w:ascii="宋体" w:hAnsi="宋体" w:cs="宋体"/>
          <w:color w:val="auto"/>
          <w:szCs w:val="21"/>
          <w:highlight w:val="none"/>
        </w:rPr>
        <w:t>计算通过技术标有效性审查的投标人总得分。</w:t>
      </w:r>
      <w:r>
        <w:rPr>
          <w:rFonts w:hint="eastAsia" w:ascii="宋体" w:hAnsi="宋体" w:cs="宋体"/>
          <w:color w:val="auto"/>
          <w:szCs w:val="21"/>
          <w:highlight w:val="none"/>
          <w:u w:val="single"/>
        </w:rPr>
        <w:t>投标人总得分</w:t>
      </w:r>
      <w:r>
        <w:rPr>
          <w:rFonts w:ascii="宋体" w:hAnsi="宋体" w:cs="宋体"/>
          <w:color w:val="auto"/>
          <w:szCs w:val="21"/>
          <w:highlight w:val="none"/>
          <w:u w:val="single"/>
        </w:rPr>
        <w:t>=</w:t>
      </w:r>
      <w:r>
        <w:rPr>
          <w:rFonts w:hint="eastAsia" w:ascii="宋体" w:hAnsi="宋体" w:cs="宋体"/>
          <w:color w:val="auto"/>
          <w:szCs w:val="21"/>
          <w:highlight w:val="none"/>
          <w:u w:val="single"/>
        </w:rPr>
        <w:t>（技术得分（100分）×技术得分权重（20%）＋经济得分（100分）</w:t>
      </w:r>
      <w:r>
        <w:rPr>
          <w:rFonts w:ascii="宋体" w:hAnsi="宋体" w:cs="宋体"/>
          <w:color w:val="auto"/>
          <w:szCs w:val="21"/>
          <w:highlight w:val="none"/>
          <w:u w:val="single"/>
        </w:rPr>
        <w:t>×</w:t>
      </w:r>
      <w:r>
        <w:rPr>
          <w:rFonts w:hint="eastAsia" w:ascii="宋体" w:hAnsi="宋体" w:cs="宋体"/>
          <w:color w:val="auto"/>
          <w:szCs w:val="21"/>
          <w:highlight w:val="none"/>
          <w:u w:val="single"/>
        </w:rPr>
        <w:t>经济得分权重（80%）。</w:t>
      </w:r>
      <w:r>
        <w:rPr>
          <w:rFonts w:hint="eastAsia" w:ascii="宋体" w:hAnsi="宋体" w:cs="宋体"/>
          <w:color w:val="auto"/>
          <w:szCs w:val="21"/>
          <w:highlight w:val="none"/>
        </w:rPr>
        <w:t>技术、经济得分权重按投标须知前附表的规定执行。总得分四舍五入保留两位小数。</w:t>
      </w:r>
    </w:p>
    <w:p>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u w:val="single"/>
        </w:rPr>
        <w:t>45.5</w:t>
      </w:r>
      <w:r>
        <w:rPr>
          <w:rFonts w:hint="eastAsia" w:ascii="宋体" w:hAnsi="宋体" w:cs="宋体"/>
          <w:color w:val="auto"/>
          <w:szCs w:val="21"/>
          <w:highlight w:val="none"/>
          <w:u w:val="single"/>
        </w:rPr>
        <w:t>总得分相同情况下的排序方法：总得分相同的投标文件，以报价较低的排前；报价均相同的投标文件，以技术分较高的排前；如仍存在相同情况，则对具有相同情况的投标人，由评标委员会采用投票方式，确定投标人的排序。</w:t>
      </w:r>
    </w:p>
    <w:p>
      <w:pPr>
        <w:pBdr>
          <w:bottom w:val="single" w:color="auto" w:sz="6" w:space="1"/>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rPr>
        <w:t>注：投票方式确定排序的具体操作步骤为：由评标会对出现该情况的投标人进行编号，然后通过投票方式依次确定投标人的排序。</w:t>
      </w:r>
    </w:p>
    <w:p>
      <w:pPr>
        <w:spacing w:line="360" w:lineRule="auto"/>
        <w:ind w:firstLine="420" w:firstLineChars="200"/>
        <w:rPr>
          <w:rFonts w:asci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48                      </w:t>
      </w:r>
      <w:r>
        <w:rPr>
          <w:rFonts w:hint="eastAsia" w:ascii="宋体" w:hAnsi="宋体" w:cs="宋体"/>
          <w:b/>
          <w:color w:val="auto"/>
          <w:szCs w:val="21"/>
          <w:highlight w:val="none"/>
        </w:rPr>
        <w:t>修改类型：修改</w:t>
      </w:r>
    </w:p>
    <w:p>
      <w:pPr>
        <w:spacing w:line="360" w:lineRule="auto"/>
        <w:ind w:firstLine="420" w:firstLineChars="200"/>
        <w:rPr>
          <w:rFonts w:asci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48.</w:t>
      </w:r>
      <w:r>
        <w:rPr>
          <w:rFonts w:hint="eastAsia" w:ascii="宋体" w:hAnsi="宋体" w:cs="宋体"/>
          <w:color w:val="auto"/>
          <w:szCs w:val="21"/>
          <w:highlight w:val="none"/>
        </w:rPr>
        <w:t>评标委员会应在通过投标文件经济标有效性审查的投标人中，按步骤</w:t>
      </w:r>
      <w:r>
        <w:rPr>
          <w:rFonts w:ascii="宋体" w:hAnsi="宋体" w:cs="宋体"/>
          <w:color w:val="auto"/>
          <w:szCs w:val="21"/>
          <w:highlight w:val="none"/>
        </w:rPr>
        <w:t>45.4</w:t>
      </w:r>
      <w:r>
        <w:rPr>
          <w:rFonts w:hint="eastAsia" w:ascii="宋体" w:hAnsi="宋体" w:cs="宋体"/>
          <w:color w:val="auto"/>
          <w:szCs w:val="21"/>
          <w:highlight w:val="none"/>
        </w:rPr>
        <w:t>确定的投标人第二阶段排序，推荐前</w:t>
      </w:r>
      <w:r>
        <w:rPr>
          <w:rFonts w:ascii="宋体" w:hAnsi="宋体" w:cs="宋体"/>
          <w:color w:val="auto"/>
          <w:szCs w:val="21"/>
          <w:highlight w:val="none"/>
        </w:rPr>
        <w:t>3</w:t>
      </w:r>
      <w:r>
        <w:rPr>
          <w:rFonts w:hint="eastAsia" w:ascii="宋体" w:hAnsi="宋体" w:cs="宋体"/>
          <w:color w:val="auto"/>
          <w:szCs w:val="21"/>
          <w:highlight w:val="none"/>
        </w:rPr>
        <w:t>名依次为第一中标候选人至第三中标候选人</w:t>
      </w:r>
      <w:r>
        <w:rPr>
          <w:rFonts w:ascii="宋体" w:cs="宋体"/>
          <w:color w:val="auto"/>
          <w:szCs w:val="21"/>
          <w:highlight w:val="none"/>
        </w:rPr>
        <w:t>,</w:t>
      </w:r>
      <w:r>
        <w:rPr>
          <w:rFonts w:hint="eastAsia" w:ascii="宋体" w:hAnsi="宋体" w:cs="宋体"/>
          <w:color w:val="auto"/>
          <w:szCs w:val="21"/>
          <w:highlight w:val="none"/>
        </w:rPr>
        <w:t>并编制评标报告。</w:t>
      </w:r>
    </w:p>
    <w:p>
      <w:pPr>
        <w:pBdr>
          <w:bottom w:val="single" w:color="auto" w:sz="4" w:space="1"/>
        </w:pBdr>
        <w:spacing w:line="360" w:lineRule="auto"/>
        <w:ind w:firstLine="420" w:firstLineChars="200"/>
        <w:rPr>
          <w:rFonts w:ascii="宋体" w:cs="宋体"/>
          <w:color w:val="auto"/>
          <w:szCs w:val="21"/>
          <w:highlight w:val="none"/>
        </w:rPr>
      </w:pPr>
      <w:r>
        <w:rPr>
          <w:rFonts w:hint="eastAsia" w:ascii="宋体" w:hAnsi="宋体" w:cs="宋体"/>
          <w:b/>
          <w:color w:val="auto"/>
          <w:szCs w:val="21"/>
          <w:highlight w:val="none"/>
        </w:rPr>
        <w:t>现文：</w:t>
      </w:r>
      <w:r>
        <w:rPr>
          <w:rFonts w:ascii="宋体" w:hAnsi="宋体" w:cs="宋体"/>
          <w:color w:val="auto"/>
          <w:szCs w:val="21"/>
          <w:highlight w:val="none"/>
        </w:rPr>
        <w:t>48.</w:t>
      </w:r>
      <w:r>
        <w:rPr>
          <w:rFonts w:hint="eastAsia" w:ascii="宋体" w:hAnsi="宋体" w:cs="宋体"/>
          <w:color w:val="auto"/>
          <w:szCs w:val="21"/>
          <w:highlight w:val="none"/>
        </w:rPr>
        <w:t>评标委员会应在通过投标文件经济标有效性审查的投标人中，按步骤</w:t>
      </w:r>
      <w:r>
        <w:rPr>
          <w:rFonts w:ascii="宋体" w:hAnsi="宋体" w:cs="宋体"/>
          <w:color w:val="auto"/>
          <w:szCs w:val="21"/>
          <w:highlight w:val="none"/>
          <w:u w:val="single"/>
        </w:rPr>
        <w:t>45.4</w:t>
      </w:r>
      <w:r>
        <w:rPr>
          <w:rFonts w:hint="eastAsia" w:ascii="宋体" w:hAnsi="宋体" w:cs="宋体"/>
          <w:color w:val="auto"/>
          <w:szCs w:val="21"/>
          <w:highlight w:val="none"/>
          <w:u w:val="single"/>
        </w:rPr>
        <w:t>、</w:t>
      </w:r>
      <w:r>
        <w:rPr>
          <w:rFonts w:ascii="宋体" w:hAnsi="宋体" w:cs="宋体"/>
          <w:color w:val="auto"/>
          <w:szCs w:val="21"/>
          <w:highlight w:val="none"/>
          <w:u w:val="single"/>
        </w:rPr>
        <w:t>45.5</w:t>
      </w:r>
      <w:r>
        <w:rPr>
          <w:rFonts w:hint="eastAsia" w:ascii="宋体" w:hAnsi="宋体" w:cs="宋体"/>
          <w:color w:val="auto"/>
          <w:szCs w:val="21"/>
          <w:highlight w:val="none"/>
        </w:rPr>
        <w:t>确定的投标人第二阶段排序，推荐前</w:t>
      </w:r>
      <w:r>
        <w:rPr>
          <w:rFonts w:ascii="宋体" w:hAnsi="宋体" w:cs="宋体"/>
          <w:color w:val="auto"/>
          <w:szCs w:val="21"/>
          <w:highlight w:val="none"/>
        </w:rPr>
        <w:t>3</w:t>
      </w:r>
      <w:r>
        <w:rPr>
          <w:rFonts w:hint="eastAsia" w:ascii="宋体" w:hAnsi="宋体" w:cs="宋体"/>
          <w:color w:val="auto"/>
          <w:szCs w:val="21"/>
          <w:highlight w:val="none"/>
        </w:rPr>
        <w:t>名依次为第一中标候选人至第三中标候选人</w:t>
      </w:r>
      <w:r>
        <w:rPr>
          <w:rFonts w:ascii="宋体" w:cs="宋体"/>
          <w:color w:val="auto"/>
          <w:szCs w:val="21"/>
          <w:highlight w:val="none"/>
        </w:rPr>
        <w:t>,</w:t>
      </w:r>
      <w:r>
        <w:rPr>
          <w:rFonts w:hint="eastAsia" w:ascii="宋体" w:hAnsi="宋体" w:cs="宋体"/>
          <w:color w:val="auto"/>
          <w:szCs w:val="21"/>
          <w:highlight w:val="none"/>
        </w:rPr>
        <w:t>并编制评标报告。</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条款号：附表一《资格审查表》</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pPr>
        <w:spacing w:line="360" w:lineRule="auto"/>
        <w:ind w:firstLine="470" w:firstLineChars="224"/>
        <w:rPr>
          <w:rFonts w:asci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w:t>
      </w:r>
      <w:r>
        <w:rPr>
          <w:rFonts w:ascii="宋体" w:hAnsi="宋体" w:cs="宋体"/>
          <w:bCs/>
          <w:color w:val="auto"/>
          <w:szCs w:val="21"/>
          <w:highlight w:val="none"/>
        </w:rPr>
        <w:t>GZZB2018-3</w:t>
      </w:r>
      <w:r>
        <w:rPr>
          <w:rFonts w:hint="eastAsia" w:ascii="宋体" w:hAnsi="宋体" w:cs="宋体"/>
          <w:bCs/>
          <w:color w:val="auto"/>
          <w:szCs w:val="21"/>
          <w:highlight w:val="none"/>
        </w:rPr>
        <w:t>》</w:t>
      </w:r>
    </w:p>
    <w:p>
      <w:pPr>
        <w:pBdr>
          <w:bottom w:val="single" w:color="auto" w:sz="6" w:space="1"/>
        </w:pBdr>
        <w:spacing w:line="360" w:lineRule="auto"/>
        <w:ind w:firstLine="525" w:firstLineChars="250"/>
        <w:rPr>
          <w:rFonts w:asci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详见附表一《资格审查表》</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条款号：附表二《技术标有效性审查表》</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pPr>
        <w:spacing w:line="360" w:lineRule="auto"/>
        <w:ind w:firstLine="470" w:firstLineChars="224"/>
        <w:rPr>
          <w:rFonts w:asci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w:t>
      </w:r>
      <w:r>
        <w:rPr>
          <w:rFonts w:ascii="宋体" w:hAnsi="宋体" w:cs="宋体"/>
          <w:bCs/>
          <w:color w:val="auto"/>
          <w:szCs w:val="21"/>
          <w:highlight w:val="none"/>
        </w:rPr>
        <w:t>GZZB2018-3</w:t>
      </w:r>
      <w:r>
        <w:rPr>
          <w:rFonts w:hint="eastAsia" w:ascii="宋体" w:hAnsi="宋体" w:cs="宋体"/>
          <w:bCs/>
          <w:color w:val="auto"/>
          <w:szCs w:val="21"/>
          <w:highlight w:val="none"/>
        </w:rPr>
        <w:t>》</w:t>
      </w:r>
    </w:p>
    <w:p>
      <w:pPr>
        <w:pBdr>
          <w:bottom w:val="single" w:color="auto" w:sz="6" w:space="1"/>
        </w:pBdr>
        <w:spacing w:line="360" w:lineRule="auto"/>
        <w:ind w:firstLine="525" w:firstLineChars="250"/>
        <w:rPr>
          <w:rFonts w:asci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详见附表二《技术标有效性审查表》</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条款号：附表三《经济标有效性审查表》</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pPr>
        <w:spacing w:line="360" w:lineRule="auto"/>
        <w:ind w:firstLine="470" w:firstLineChars="224"/>
        <w:rPr>
          <w:rFonts w:asci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w:t>
      </w:r>
      <w:r>
        <w:rPr>
          <w:rFonts w:ascii="宋体" w:hAnsi="宋体" w:cs="宋体"/>
          <w:bCs/>
          <w:color w:val="auto"/>
          <w:szCs w:val="21"/>
          <w:highlight w:val="none"/>
        </w:rPr>
        <w:t>GZZB2018-3</w:t>
      </w:r>
      <w:r>
        <w:rPr>
          <w:rFonts w:hint="eastAsia" w:ascii="宋体" w:hAnsi="宋体" w:cs="宋体"/>
          <w:bCs/>
          <w:color w:val="auto"/>
          <w:szCs w:val="21"/>
          <w:highlight w:val="none"/>
        </w:rPr>
        <w:t>》</w:t>
      </w:r>
    </w:p>
    <w:p>
      <w:pPr>
        <w:pBdr>
          <w:bottom w:val="single" w:color="auto" w:sz="6" w:space="1"/>
        </w:pBdr>
        <w:spacing w:line="360" w:lineRule="auto"/>
        <w:ind w:firstLine="525" w:firstLineChars="250"/>
        <w:rPr>
          <w:rFonts w:asci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详见附表三《经济标有效性审查表》</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条款号：附表四《技术标详细审查评分表》</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pPr>
        <w:pBdr>
          <w:bottom w:val="single" w:color="auto" w:sz="6" w:space="1"/>
        </w:pBdr>
        <w:spacing w:line="360" w:lineRule="auto"/>
        <w:ind w:firstLine="525" w:firstLineChars="250"/>
        <w:rPr>
          <w:rFonts w:asci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详见附表四《技术标详细审查评分表》</w:t>
      </w:r>
    </w:p>
    <w:p>
      <w:pPr>
        <w:spacing w:line="360" w:lineRule="auto"/>
        <w:ind w:firstLine="470" w:firstLineChars="224"/>
        <w:rPr>
          <w:rFonts w:ascii="宋体" w:cs="宋体"/>
          <w:b/>
          <w:color w:val="auto"/>
          <w:szCs w:val="21"/>
          <w:highlight w:val="none"/>
        </w:rPr>
      </w:pPr>
      <w:r>
        <w:rPr>
          <w:rFonts w:hint="eastAsia" w:ascii="宋体" w:hAnsi="宋体" w:cs="宋体"/>
          <w:b/>
          <w:color w:val="auto"/>
          <w:szCs w:val="21"/>
          <w:highlight w:val="none"/>
        </w:rPr>
        <w:t>条款号：附表五（适用于区间抽取法）经济标评分表</w:t>
      </w:r>
      <w:r>
        <w:rPr>
          <w:rFonts w:ascii="宋体" w:hAnsi="宋体" w:cs="宋体"/>
          <w:b/>
          <w:color w:val="auto"/>
          <w:szCs w:val="21"/>
          <w:highlight w:val="none"/>
        </w:rPr>
        <w:t xml:space="preserve">       </w:t>
      </w:r>
      <w:r>
        <w:rPr>
          <w:rFonts w:hint="eastAsia" w:ascii="宋体" w:hAnsi="宋体" w:cs="宋体"/>
          <w:b/>
          <w:color w:val="auto"/>
          <w:szCs w:val="21"/>
          <w:highlight w:val="none"/>
        </w:rPr>
        <w:t>修改类型：删除</w:t>
      </w:r>
    </w:p>
    <w:p>
      <w:pPr>
        <w:pBdr>
          <w:bottom w:val="single" w:color="auto" w:sz="6" w:space="1"/>
        </w:pBdr>
        <w:spacing w:line="360" w:lineRule="auto"/>
        <w:ind w:firstLine="525" w:firstLineChars="250"/>
        <w:rPr>
          <w:rFonts w:asci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w:t>
      </w:r>
      <w:r>
        <w:rPr>
          <w:rFonts w:ascii="宋体" w:hAnsi="宋体" w:cs="宋体"/>
          <w:bCs/>
          <w:color w:val="auto"/>
          <w:szCs w:val="21"/>
          <w:highlight w:val="none"/>
        </w:rPr>
        <w:t>GZZB2018-3</w:t>
      </w:r>
      <w:r>
        <w:rPr>
          <w:rFonts w:hint="eastAsia" w:ascii="宋体" w:hAnsi="宋体" w:cs="宋体"/>
          <w:bCs/>
          <w:color w:val="auto"/>
          <w:szCs w:val="21"/>
          <w:highlight w:val="none"/>
        </w:rPr>
        <w:t>》</w:t>
      </w:r>
    </w:p>
    <w:p>
      <w:pPr>
        <w:spacing w:line="360" w:lineRule="auto"/>
        <w:ind w:firstLine="210" w:firstLineChars="100"/>
        <w:rPr>
          <w:b/>
          <w:color w:val="auto"/>
          <w:szCs w:val="21"/>
          <w:highlight w:val="none"/>
        </w:rPr>
      </w:pPr>
      <w:r>
        <w:rPr>
          <w:rFonts w:hint="eastAsia" w:ascii="宋体" w:hAnsi="宋体" w:cs="宋体"/>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r>
        <w:rPr>
          <w:color w:val="auto"/>
          <w:highlight w:val="none"/>
        </w:rPr>
        <w:br w:type="page"/>
      </w:r>
    </w:p>
    <w:p>
      <w:pPr>
        <w:pStyle w:val="8"/>
        <w:ind w:firstLine="525"/>
        <w:rPr>
          <w:color w:val="auto"/>
          <w:sz w:val="28"/>
          <w:szCs w:val="28"/>
          <w:highlight w:val="none"/>
        </w:rPr>
      </w:pPr>
      <w:bookmarkStart w:id="27" w:name="_Toc2272556"/>
      <w:bookmarkStart w:id="28" w:name="_Toc20487"/>
      <w:r>
        <w:rPr>
          <w:rFonts w:hint="eastAsia"/>
          <w:color w:val="auto"/>
          <w:sz w:val="28"/>
          <w:szCs w:val="28"/>
          <w:highlight w:val="none"/>
        </w:rPr>
        <w:t>二、开标、评标及定标办法通用条款</w:t>
      </w:r>
      <w:bookmarkEnd w:id="27"/>
      <w:bookmarkEnd w:id="28"/>
    </w:p>
    <w:p>
      <w:pPr>
        <w:pStyle w:val="10"/>
        <w:spacing w:before="156" w:after="156"/>
        <w:ind w:firstLine="540" w:firstLineChars="200"/>
        <w:rPr>
          <w:color w:val="auto"/>
          <w:highlight w:val="none"/>
        </w:rPr>
      </w:pPr>
      <w:bookmarkStart w:id="29" w:name="_Toc2272557"/>
      <w:bookmarkStart w:id="30" w:name="_Toc9178"/>
      <w:r>
        <w:rPr>
          <w:rFonts w:hint="eastAsia"/>
          <w:color w:val="auto"/>
          <w:highlight w:val="none"/>
        </w:rPr>
        <w:t>（一）总则</w:t>
      </w:r>
      <w:bookmarkEnd w:id="29"/>
      <w:bookmarkEnd w:id="30"/>
    </w:p>
    <w:p>
      <w:pPr>
        <w:spacing w:line="360" w:lineRule="auto"/>
        <w:ind w:firstLine="480" w:firstLineChars="200"/>
        <w:rPr>
          <w:rFonts w:asci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w:t>
      </w:r>
      <w:r>
        <w:rPr>
          <w:rFonts w:ascii="宋体" w:hAnsi="宋体"/>
          <w:color w:val="auto"/>
          <w:sz w:val="24"/>
          <w:szCs w:val="24"/>
          <w:highlight w:val="none"/>
        </w:rPr>
        <w:t>[2004]4</w:t>
      </w:r>
      <w:r>
        <w:rPr>
          <w:rFonts w:hint="eastAsia" w:ascii="宋体" w:hAnsi="宋体"/>
          <w:color w:val="auto"/>
          <w:sz w:val="24"/>
          <w:szCs w:val="24"/>
          <w:highlight w:val="none"/>
        </w:rPr>
        <w:t>号）；</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35.8</w:t>
      </w:r>
      <w:r>
        <w:rPr>
          <w:rFonts w:hint="eastAsia" w:ascii="宋体" w:hAnsi="宋体"/>
          <w:color w:val="auto"/>
          <w:sz w:val="24"/>
          <w:szCs w:val="24"/>
          <w:highlight w:val="none"/>
        </w:rPr>
        <w:t>《广州市工程建设项目招标投标管理办法》（穗府办规〔</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号）。</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本项目招标文件。</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w:t>
      </w:r>
      <w:r>
        <w:rPr>
          <w:rFonts w:ascii="宋体" w:hAnsi="宋体"/>
          <w:color w:val="auto"/>
          <w:sz w:val="24"/>
          <w:szCs w:val="24"/>
          <w:highlight w:val="none"/>
        </w:rPr>
        <w:t>18</w:t>
      </w:r>
      <w:r>
        <w:rPr>
          <w:rFonts w:hint="eastAsia" w:ascii="宋体" w:hAnsi="宋体"/>
          <w:color w:val="auto"/>
          <w:sz w:val="24"/>
          <w:szCs w:val="24"/>
          <w:highlight w:val="none"/>
        </w:rPr>
        <w:t>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36.2 </w:t>
      </w:r>
      <w:r>
        <w:rPr>
          <w:rFonts w:hint="eastAsia" w:ascii="宋体" w:hAnsi="宋体"/>
          <w:color w:val="auto"/>
          <w:sz w:val="24"/>
          <w:szCs w:val="24"/>
          <w:highlight w:val="none"/>
        </w:rPr>
        <w:t>招标人在招标文件要求提交投标文件的截止时间前收到的投标文件，开标时都当众予以解密、公布。</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36.3</w:t>
      </w:r>
      <w:r>
        <w:rPr>
          <w:rFonts w:hint="eastAsia" w:ascii="宋体" w:hAnsi="宋体"/>
          <w:color w:val="auto"/>
          <w:sz w:val="24"/>
          <w:szCs w:val="24"/>
          <w:highlight w:val="none"/>
        </w:rPr>
        <w:t>根据投标须知前附表第</w:t>
      </w:r>
      <w:r>
        <w:rPr>
          <w:rFonts w:ascii="宋体" w:hAnsi="宋体"/>
          <w:color w:val="auto"/>
          <w:sz w:val="24"/>
          <w:szCs w:val="24"/>
          <w:highlight w:val="none"/>
        </w:rPr>
        <w:t>19</w:t>
      </w:r>
      <w:r>
        <w:rPr>
          <w:rFonts w:hint="eastAsia" w:ascii="宋体" w:hAnsi="宋体"/>
          <w:color w:val="auto"/>
          <w:sz w:val="24"/>
          <w:szCs w:val="24"/>
          <w:highlight w:val="none"/>
        </w:rPr>
        <w:t>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36.4</w:t>
      </w:r>
      <w:r>
        <w:rPr>
          <w:rFonts w:hint="eastAsia" w:ascii="宋体" w:hAnsi="宋体"/>
          <w:color w:val="auto"/>
          <w:sz w:val="24"/>
          <w:szCs w:val="24"/>
          <w:highlight w:val="none"/>
        </w:rPr>
        <w:t>若递交投标文件的投标人不足</w:t>
      </w:r>
      <w:r>
        <w:rPr>
          <w:rFonts w:ascii="宋体" w:hAnsi="宋体"/>
          <w:color w:val="auto"/>
          <w:sz w:val="24"/>
          <w:szCs w:val="24"/>
          <w:highlight w:val="none"/>
        </w:rPr>
        <w:t>3</w:t>
      </w:r>
      <w:r>
        <w:rPr>
          <w:rFonts w:hint="eastAsia" w:ascii="宋体" w:hAnsi="宋体"/>
          <w:color w:val="auto"/>
          <w:sz w:val="24"/>
          <w:szCs w:val="24"/>
          <w:highlight w:val="none"/>
        </w:rPr>
        <w:t>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家，则重新组织招标）</w:t>
      </w:r>
    </w:p>
    <w:p>
      <w:pPr>
        <w:spacing w:line="360" w:lineRule="auto"/>
        <w:ind w:firstLine="480" w:firstLineChars="200"/>
        <w:rPr>
          <w:rFonts w:ascii="宋体"/>
          <w:color w:val="auto"/>
          <w:sz w:val="24"/>
          <w:highlight w:val="none"/>
        </w:rPr>
      </w:pPr>
      <w:r>
        <w:rPr>
          <w:rFonts w:ascii="宋体" w:hAnsi="宋体"/>
          <w:color w:val="auto"/>
          <w:sz w:val="24"/>
          <w:highlight w:val="none"/>
        </w:rPr>
        <w:t>36.5</w:t>
      </w:r>
      <w:r>
        <w:rPr>
          <w:rFonts w:hint="eastAsia" w:ascii="宋体" w:hAnsi="宋体"/>
          <w:color w:val="auto"/>
          <w:sz w:val="24"/>
          <w:highlight w:val="none"/>
        </w:rPr>
        <w:t>按下列程序进行开标：</w:t>
      </w:r>
    </w:p>
    <w:p>
      <w:pPr>
        <w:spacing w:line="360" w:lineRule="auto"/>
        <w:ind w:firstLine="480" w:firstLineChars="200"/>
        <w:rPr>
          <w:rFonts w:ascii="宋体"/>
          <w:color w:val="auto"/>
          <w:sz w:val="24"/>
          <w:highlight w:val="none"/>
        </w:rPr>
      </w:pPr>
      <w:r>
        <w:rPr>
          <w:rFonts w:ascii="宋体" w:hAnsi="宋体"/>
          <w:color w:val="auto"/>
          <w:sz w:val="24"/>
          <w:highlight w:val="none"/>
        </w:rPr>
        <w:t>36.5.1</w:t>
      </w:r>
      <w:r>
        <w:rPr>
          <w:rFonts w:hint="eastAsia" w:ascii="宋体" w:hAnsi="宋体"/>
          <w:color w:val="auto"/>
          <w:sz w:val="24"/>
          <w:highlight w:val="none"/>
        </w:rPr>
        <w:t>在投标截止时间后半小时内，投标人通过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color w:val="auto"/>
          <w:sz w:val="24"/>
          <w:highlight w:val="none"/>
        </w:rPr>
      </w:pPr>
      <w:r>
        <w:rPr>
          <w:rFonts w:ascii="宋体" w:hAnsi="宋体"/>
          <w:color w:val="auto"/>
          <w:sz w:val="24"/>
          <w:highlight w:val="none"/>
        </w:rPr>
        <w:t>36.5.2</w:t>
      </w:r>
      <w:r>
        <w:rPr>
          <w:rFonts w:hint="eastAsia" w:ascii="宋体" w:hAnsi="宋体"/>
          <w:color w:val="auto"/>
          <w:sz w:val="24"/>
          <w:highlight w:val="none"/>
        </w:rPr>
        <w:t>备用光盘的读取按投标须知前附表第</w:t>
      </w:r>
      <w:r>
        <w:rPr>
          <w:rFonts w:ascii="宋体" w:hAnsi="宋体"/>
          <w:color w:val="auto"/>
          <w:sz w:val="24"/>
          <w:highlight w:val="none"/>
        </w:rPr>
        <w:t>36</w:t>
      </w:r>
      <w:r>
        <w:rPr>
          <w:rFonts w:hint="eastAsia" w:ascii="宋体" w:hAnsi="宋体"/>
          <w:color w:val="auto"/>
          <w:sz w:val="24"/>
          <w:highlight w:val="none"/>
        </w:rPr>
        <w:t>项的规定执行；</w:t>
      </w:r>
    </w:p>
    <w:p>
      <w:pPr>
        <w:spacing w:line="360" w:lineRule="auto"/>
        <w:ind w:firstLine="480" w:firstLineChars="200"/>
        <w:rPr>
          <w:rFonts w:ascii="宋体"/>
          <w:color w:val="auto"/>
          <w:sz w:val="24"/>
          <w:highlight w:val="none"/>
        </w:rPr>
      </w:pPr>
      <w:r>
        <w:rPr>
          <w:rFonts w:ascii="宋体" w:hAnsi="宋体"/>
          <w:color w:val="auto"/>
          <w:sz w:val="24"/>
          <w:highlight w:val="none"/>
        </w:rPr>
        <w:t>36.5.3</w:t>
      </w:r>
      <w:r>
        <w:rPr>
          <w:rFonts w:hint="eastAsia" w:ascii="宋体" w:hAnsi="宋体"/>
          <w:color w:val="auto"/>
          <w:sz w:val="24"/>
          <w:highlight w:val="none"/>
        </w:rPr>
        <w:t>投标人代表、招标人代表、监标人、记录人等有关人员在开标记录上签字确认；若有关人员不签字的，不影响开标程序；</w:t>
      </w:r>
    </w:p>
    <w:p>
      <w:pPr>
        <w:spacing w:line="360" w:lineRule="auto"/>
        <w:ind w:firstLine="480" w:firstLineChars="200"/>
        <w:rPr>
          <w:rFonts w:ascii="宋体"/>
          <w:color w:val="auto"/>
          <w:sz w:val="24"/>
          <w:highlight w:val="none"/>
        </w:rPr>
      </w:pPr>
      <w:r>
        <w:rPr>
          <w:rFonts w:ascii="宋体" w:hAnsi="宋体"/>
          <w:color w:val="auto"/>
          <w:sz w:val="24"/>
          <w:highlight w:val="none"/>
        </w:rPr>
        <w:t>36.5.4</w:t>
      </w:r>
      <w:r>
        <w:rPr>
          <w:rFonts w:hint="eastAsia" w:ascii="宋体" w:hAnsi="宋体"/>
          <w:color w:val="auto"/>
          <w:sz w:val="24"/>
          <w:highlight w:val="none"/>
        </w:rPr>
        <w:t>开标结束。</w:t>
      </w:r>
    </w:p>
    <w:p>
      <w:pPr>
        <w:spacing w:line="360" w:lineRule="auto"/>
        <w:ind w:firstLine="480" w:firstLineChars="200"/>
        <w:rPr>
          <w:rFonts w:ascii="宋体"/>
          <w:color w:val="auto"/>
          <w:sz w:val="24"/>
          <w:highlight w:val="none"/>
        </w:rPr>
      </w:pPr>
      <w:r>
        <w:rPr>
          <w:rFonts w:ascii="宋体" w:hAnsi="宋体"/>
          <w:color w:val="auto"/>
          <w:sz w:val="24"/>
          <w:highlight w:val="none"/>
        </w:rPr>
        <w:t>36.6</w:t>
      </w:r>
      <w:r>
        <w:rPr>
          <w:rFonts w:hint="eastAsia" w:ascii="宋体" w:hAnsi="宋体"/>
          <w:color w:val="auto"/>
          <w:sz w:val="24"/>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color w:val="auto"/>
          <w:sz w:val="24"/>
          <w:highlight w:val="none"/>
        </w:rPr>
      </w:pPr>
      <w:r>
        <w:rPr>
          <w:rFonts w:ascii="宋体" w:hAnsi="宋体"/>
          <w:color w:val="auto"/>
          <w:sz w:val="24"/>
          <w:highlight w:val="none"/>
        </w:rPr>
        <w:t>36.7</w:t>
      </w:r>
      <w:r>
        <w:rPr>
          <w:rFonts w:hint="eastAsia" w:ascii="宋体" w:hAnsi="宋体"/>
          <w:color w:val="auto"/>
          <w:sz w:val="24"/>
          <w:highlight w:val="none"/>
        </w:rPr>
        <w:t>开标时，两个（含两个）以上的投标人加密打包投标文件电脑机器特征码一致的，不参与下一程序，并由评标委员会否决其投标。</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asci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37.3 </w:t>
      </w:r>
      <w:r>
        <w:rPr>
          <w:rFonts w:hint="eastAsia" w:ascii="宋体" w:hAnsi="宋体"/>
          <w:color w:val="auto"/>
          <w:sz w:val="24"/>
          <w:szCs w:val="24"/>
          <w:highlight w:val="none"/>
        </w:rPr>
        <w:t>评标结束后，评标委员会递交评标报告并依法推荐中标候选人。</w:t>
      </w:r>
      <w:r>
        <w:rPr>
          <w:rFonts w:ascii="宋体" w:hAnsi="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38.5</w:t>
      </w:r>
      <w:r>
        <w:rPr>
          <w:rFonts w:hint="eastAsia" w:ascii="宋体" w:hAnsi="宋体"/>
          <w:color w:val="auto"/>
          <w:sz w:val="24"/>
          <w:szCs w:val="24"/>
          <w:highlight w:val="none"/>
        </w:rPr>
        <w:t>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39.5 </w:t>
      </w:r>
      <w:r>
        <w:rPr>
          <w:rFonts w:hint="eastAsia" w:ascii="宋体" w:hAnsi="宋体"/>
          <w:color w:val="auto"/>
          <w:sz w:val="24"/>
          <w:szCs w:val="24"/>
          <w:highlight w:val="none"/>
        </w:rPr>
        <w:t>重新评标的，评标信息（含业绩、奖项等）仍以投标截止时投标人的信息为准。因特殊原因需要延长投标有效期，投标人拒绝延长投标有效期的，仍参与评标，但不被推荐为中标候选人。</w:t>
      </w:r>
    </w:p>
    <w:p>
      <w:pPr>
        <w:pStyle w:val="10"/>
        <w:spacing w:before="156" w:after="156"/>
        <w:ind w:firstLine="540" w:firstLineChars="200"/>
        <w:rPr>
          <w:color w:val="auto"/>
          <w:highlight w:val="none"/>
        </w:rPr>
      </w:pPr>
      <w:bookmarkStart w:id="31" w:name="_Toc2272558"/>
      <w:bookmarkStart w:id="32" w:name="_Toc29515"/>
      <w:r>
        <w:rPr>
          <w:rFonts w:hint="eastAsia"/>
          <w:color w:val="auto"/>
          <w:highlight w:val="none"/>
        </w:rPr>
        <w:t>（二）开标评标办法程序和细则</w:t>
      </w:r>
      <w:bookmarkEnd w:id="31"/>
      <w:bookmarkEnd w:id="32"/>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pPr>
        <w:spacing w:line="360" w:lineRule="auto"/>
        <w:ind w:firstLine="480" w:firstLineChars="200"/>
        <w:rPr>
          <w:rFonts w:ascii="宋体"/>
          <w:color w:val="auto"/>
          <w:sz w:val="24"/>
          <w:szCs w:val="24"/>
          <w:highlight w:val="none"/>
        </w:rPr>
      </w:pPr>
    </w:p>
    <w:p>
      <w:pPr>
        <w:pStyle w:val="10"/>
        <w:spacing w:before="156" w:after="156"/>
        <w:ind w:firstLine="540" w:firstLineChars="200"/>
        <w:rPr>
          <w:color w:val="auto"/>
          <w:highlight w:val="none"/>
        </w:rPr>
      </w:pPr>
      <w:bookmarkStart w:id="33" w:name="_Toc2272564"/>
      <w:bookmarkStart w:id="34" w:name="_Toc8168"/>
      <w:r>
        <w:rPr>
          <w:rFonts w:hint="eastAsia"/>
          <w:color w:val="auto"/>
          <w:highlight w:val="none"/>
        </w:rPr>
        <w:t>可选办法七（适合综合评分法四，技术标与经济标同时开启）</w:t>
      </w:r>
      <w:bookmarkEnd w:id="33"/>
      <w:bookmarkEnd w:id="34"/>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40</w:t>
      </w:r>
      <w:r>
        <w:rPr>
          <w:rFonts w:hint="eastAsia" w:ascii="宋体"/>
          <w:color w:val="auto"/>
          <w:sz w:val="24"/>
          <w:szCs w:val="24"/>
          <w:highlight w:val="none"/>
        </w:rPr>
        <w:t>．开标和评标程序</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40.1</w:t>
      </w:r>
      <w:r>
        <w:rPr>
          <w:rFonts w:hint="eastAsia" w:ascii="宋体"/>
          <w:color w:val="auto"/>
          <w:sz w:val="24"/>
          <w:szCs w:val="24"/>
          <w:highlight w:val="none"/>
        </w:rPr>
        <w:t>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40.2</w:t>
      </w:r>
      <w:r>
        <w:rPr>
          <w:rFonts w:hint="eastAsia" w:ascii="宋体"/>
          <w:color w:val="auto"/>
          <w:sz w:val="24"/>
          <w:szCs w:val="24"/>
          <w:highlight w:val="none"/>
        </w:rPr>
        <w:t>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40.3</w:t>
      </w:r>
      <w:r>
        <w:rPr>
          <w:rFonts w:hint="eastAsia" w:ascii="宋体"/>
          <w:color w:val="auto"/>
          <w:sz w:val="24"/>
          <w:szCs w:val="24"/>
          <w:highlight w:val="none"/>
        </w:rPr>
        <w:t>技术标投标文件有效性审查；</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40.4</w:t>
      </w:r>
      <w:r>
        <w:rPr>
          <w:rFonts w:hint="eastAsia" w:ascii="宋体"/>
          <w:color w:val="auto"/>
          <w:sz w:val="24"/>
          <w:szCs w:val="24"/>
          <w:highlight w:val="none"/>
        </w:rPr>
        <w:t>技术标详细审查评分；</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40.5</w:t>
      </w:r>
      <w:r>
        <w:rPr>
          <w:rFonts w:hint="eastAsia" w:ascii="宋体"/>
          <w:color w:val="auto"/>
          <w:sz w:val="24"/>
          <w:szCs w:val="24"/>
          <w:highlight w:val="none"/>
        </w:rPr>
        <w:t>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40.6</w:t>
      </w:r>
      <w:r>
        <w:rPr>
          <w:rFonts w:hint="eastAsia" w:ascii="宋体"/>
          <w:color w:val="auto"/>
          <w:sz w:val="24"/>
          <w:szCs w:val="24"/>
          <w:highlight w:val="none"/>
        </w:rPr>
        <w:t>评标委员会按照投标人总得分由高至低排序；</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40.7</w:t>
      </w:r>
      <w:r>
        <w:rPr>
          <w:rFonts w:hint="eastAsia" w:ascii="宋体"/>
          <w:color w:val="auto"/>
          <w:sz w:val="24"/>
          <w:szCs w:val="24"/>
          <w:highlight w:val="none"/>
        </w:rPr>
        <w:t>经济标投标文件有效性审查；</w:t>
      </w:r>
    </w:p>
    <w:p>
      <w:pPr>
        <w:snapToGrid w:val="0"/>
        <w:spacing w:line="360" w:lineRule="auto"/>
        <w:ind w:firstLine="480" w:firstLineChars="200"/>
        <w:rPr>
          <w:rFonts w:ascii="宋体"/>
          <w:color w:val="auto"/>
          <w:szCs w:val="21"/>
          <w:highlight w:val="none"/>
        </w:rPr>
      </w:pPr>
      <w:r>
        <w:rPr>
          <w:rFonts w:ascii="宋体"/>
          <w:color w:val="auto"/>
          <w:sz w:val="24"/>
          <w:szCs w:val="24"/>
          <w:highlight w:val="none"/>
        </w:rPr>
        <w:t>40.8</w:t>
      </w:r>
      <w:r>
        <w:rPr>
          <w:rFonts w:hint="eastAsia" w:ascii="宋体"/>
          <w:color w:val="auto"/>
          <w:sz w:val="24"/>
          <w:szCs w:val="24"/>
          <w:highlight w:val="none"/>
        </w:rPr>
        <w:t>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41</w:t>
      </w:r>
      <w:r>
        <w:rPr>
          <w:rFonts w:hint="eastAsia" w:ascii="宋体"/>
          <w:color w:val="auto"/>
          <w:sz w:val="24"/>
          <w:szCs w:val="24"/>
          <w:highlight w:val="none"/>
        </w:rPr>
        <w:t>．开标细则</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41.1</w:t>
      </w:r>
      <w:r>
        <w:rPr>
          <w:rFonts w:hint="eastAsia" w:ascii="宋体"/>
          <w:color w:val="auto"/>
          <w:sz w:val="24"/>
          <w:szCs w:val="24"/>
          <w:highlight w:val="none"/>
        </w:rPr>
        <w:t>开标由招标人主持；</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 xml:space="preserve">41.2 </w:t>
      </w:r>
      <w:r>
        <w:rPr>
          <w:rFonts w:hint="eastAsia" w:ascii="宋体"/>
          <w:color w:val="auto"/>
          <w:sz w:val="24"/>
          <w:szCs w:val="24"/>
          <w:highlight w:val="none"/>
        </w:rPr>
        <w:t>细则</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41.2.1</w:t>
      </w:r>
      <w:r>
        <w:rPr>
          <w:rFonts w:hint="eastAsia" w:ascii="宋体"/>
          <w:color w:val="auto"/>
          <w:sz w:val="24"/>
          <w:szCs w:val="24"/>
          <w:highlight w:val="none"/>
        </w:rPr>
        <w:t>投标截止期前，各投标人递交投标文件（包括技术标投标文件、经济标投标文件）至</w:t>
      </w:r>
      <w:r>
        <w:rPr>
          <w:rFonts w:ascii="宋体"/>
          <w:color w:val="auto"/>
          <w:sz w:val="24"/>
          <w:szCs w:val="24"/>
          <w:highlight w:val="none"/>
          <w:u w:val="single"/>
        </w:rPr>
        <w:t xml:space="preserve">        </w:t>
      </w:r>
      <w:r>
        <w:rPr>
          <w:rFonts w:hint="eastAsia" w:ascii="宋体"/>
          <w:color w:val="auto"/>
          <w:sz w:val="24"/>
          <w:szCs w:val="24"/>
          <w:highlight w:val="none"/>
        </w:rPr>
        <w:t>交易平台。有关投标文件提交的事项详见第一章投标须知。</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41.2.2</w:t>
      </w:r>
      <w:r>
        <w:rPr>
          <w:rFonts w:hint="eastAsia" w:ascii="宋体"/>
          <w:color w:val="auto"/>
          <w:sz w:val="24"/>
          <w:szCs w:val="24"/>
          <w:highlight w:val="none"/>
        </w:rPr>
        <w:t>开标前，首先由招标人随机抽取确定该工程计算评标参考价的等分点值</w:t>
      </w:r>
      <w:r>
        <w:rPr>
          <w:rFonts w:ascii="宋体"/>
          <w:color w:val="auto"/>
          <w:sz w:val="24"/>
          <w:szCs w:val="24"/>
          <w:highlight w:val="none"/>
        </w:rPr>
        <w:t>X</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41.2.3</w:t>
      </w:r>
      <w:r>
        <w:rPr>
          <w:rFonts w:hint="eastAsia" w:asci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41.2.4</w:t>
      </w:r>
      <w:r>
        <w:rPr>
          <w:rFonts w:hint="eastAsia" w:ascii="宋体"/>
          <w:color w:val="auto"/>
          <w:sz w:val="24"/>
          <w:szCs w:val="24"/>
          <w:highlight w:val="none"/>
        </w:rPr>
        <w:t>按</w:t>
      </w:r>
      <w:r>
        <w:rPr>
          <w:rFonts w:ascii="宋体"/>
          <w:color w:val="auto"/>
          <w:sz w:val="24"/>
          <w:szCs w:val="24"/>
          <w:highlight w:val="none"/>
        </w:rPr>
        <w:t>36.5.1</w:t>
      </w:r>
      <w:r>
        <w:rPr>
          <w:rFonts w:hint="eastAsia" w:ascii="宋体"/>
          <w:color w:val="auto"/>
          <w:sz w:val="24"/>
          <w:szCs w:val="24"/>
          <w:highlight w:val="none"/>
        </w:rPr>
        <w:t>的规定完成解密后，公布下列内容，并予以记录，记录提交评标委员会评审：</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41.2.4.1</w:t>
      </w:r>
      <w:r>
        <w:rPr>
          <w:rFonts w:hint="eastAsia" w:ascii="宋体"/>
          <w:color w:val="auto"/>
          <w:sz w:val="24"/>
          <w:szCs w:val="24"/>
          <w:highlight w:val="none"/>
        </w:rPr>
        <w:t>开标时，公布：</w:t>
      </w:r>
      <w:r>
        <w:rPr>
          <w:rFonts w:ascii="宋体"/>
          <w:color w:val="auto"/>
          <w:sz w:val="24"/>
          <w:szCs w:val="24"/>
          <w:highlight w:val="none"/>
        </w:rPr>
        <w:t>a</w:t>
      </w:r>
      <w:r>
        <w:rPr>
          <w:rFonts w:hint="eastAsia" w:ascii="宋体"/>
          <w:color w:val="auto"/>
          <w:sz w:val="24"/>
          <w:szCs w:val="24"/>
          <w:highlight w:val="none"/>
        </w:rPr>
        <w:t>、投标人名称；</w:t>
      </w:r>
      <w:r>
        <w:rPr>
          <w:rFonts w:ascii="宋体"/>
          <w:color w:val="auto"/>
          <w:sz w:val="24"/>
          <w:szCs w:val="24"/>
          <w:highlight w:val="none"/>
        </w:rPr>
        <w:t>b</w:t>
      </w:r>
      <w:r>
        <w:rPr>
          <w:rFonts w:hint="eastAsia" w:ascii="宋体"/>
          <w:color w:val="auto"/>
          <w:sz w:val="24"/>
          <w:szCs w:val="24"/>
          <w:highlight w:val="none"/>
        </w:rPr>
        <w:t>、</w:t>
      </w:r>
      <w:r>
        <w:rPr>
          <w:rFonts w:hint="eastAsia" w:ascii="宋体" w:hAnsi="宋体"/>
          <w:color w:val="auto"/>
          <w:sz w:val="24"/>
          <w:highlight w:val="none"/>
        </w:rPr>
        <w:t>投标文件</w:t>
      </w:r>
      <w:r>
        <w:rPr>
          <w:rFonts w:hint="eastAsia" w:ascii="宋体"/>
          <w:color w:val="auto"/>
          <w:sz w:val="24"/>
          <w:szCs w:val="24"/>
          <w:highlight w:val="none"/>
        </w:rPr>
        <w:t>密封情况；</w:t>
      </w:r>
      <w:r>
        <w:rPr>
          <w:rFonts w:ascii="宋体"/>
          <w:color w:val="auto"/>
          <w:sz w:val="24"/>
          <w:szCs w:val="24"/>
          <w:highlight w:val="none"/>
        </w:rPr>
        <w:t>c</w:t>
      </w:r>
      <w:r>
        <w:rPr>
          <w:rFonts w:hint="eastAsia" w:ascii="宋体"/>
          <w:color w:val="auto"/>
          <w:sz w:val="24"/>
          <w:szCs w:val="24"/>
          <w:highlight w:val="none"/>
        </w:rPr>
        <w:t>、投标报价；</w:t>
      </w:r>
      <w:r>
        <w:rPr>
          <w:rFonts w:ascii="宋体"/>
          <w:color w:val="auto"/>
          <w:sz w:val="24"/>
          <w:szCs w:val="24"/>
          <w:highlight w:val="none"/>
        </w:rPr>
        <w:t>d</w:t>
      </w:r>
      <w:r>
        <w:rPr>
          <w:rFonts w:hint="eastAsia" w:ascii="宋体"/>
          <w:color w:val="auto"/>
          <w:sz w:val="24"/>
          <w:szCs w:val="24"/>
          <w:highlight w:val="none"/>
        </w:rPr>
        <w:t>、投标保证金；</w:t>
      </w:r>
      <w:r>
        <w:rPr>
          <w:rFonts w:ascii="宋体"/>
          <w:color w:val="auto"/>
          <w:sz w:val="24"/>
          <w:szCs w:val="24"/>
          <w:highlight w:val="none"/>
        </w:rPr>
        <w:t>e</w:t>
      </w:r>
      <w:r>
        <w:rPr>
          <w:rFonts w:hint="eastAsia" w:ascii="宋体"/>
          <w:color w:val="auto"/>
          <w:sz w:val="24"/>
          <w:szCs w:val="24"/>
          <w:highlight w:val="none"/>
        </w:rPr>
        <w:t>、项目经理（负责人）名称；</w:t>
      </w:r>
      <w:r>
        <w:rPr>
          <w:rFonts w:ascii="宋体"/>
          <w:color w:val="auto"/>
          <w:sz w:val="24"/>
          <w:szCs w:val="24"/>
          <w:highlight w:val="none"/>
        </w:rPr>
        <w:t>f</w:t>
      </w:r>
      <w:r>
        <w:rPr>
          <w:rFonts w:hint="eastAsia" w:ascii="宋体"/>
          <w:color w:val="auto"/>
          <w:sz w:val="24"/>
          <w:szCs w:val="24"/>
          <w:highlight w:val="none"/>
        </w:rPr>
        <w:t>、法定代表人证明及授权委托等主要内容及开标记录表中的其他必要内容。投标报价以数字和文字两种方式表述的，应公布文字表述的投标报价。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41.3</w:t>
      </w:r>
      <w:r>
        <w:rPr>
          <w:rFonts w:hint="eastAsia" w:ascii="宋体"/>
          <w:color w:val="auto"/>
          <w:sz w:val="24"/>
          <w:szCs w:val="24"/>
          <w:highlight w:val="none"/>
        </w:rPr>
        <w:t>招标人对开标过程进行记录，并存档备查，投标人在技术标开标记录上签字。</w:t>
      </w:r>
    </w:p>
    <w:p>
      <w:pPr>
        <w:snapToGrid w:val="0"/>
        <w:spacing w:line="360" w:lineRule="auto"/>
        <w:ind w:firstLine="480" w:firstLineChars="200"/>
        <w:rPr>
          <w:rFonts w:ascii="宋体"/>
          <w:color w:val="auto"/>
          <w:sz w:val="24"/>
          <w:szCs w:val="24"/>
          <w:highlight w:val="none"/>
        </w:rPr>
      </w:pPr>
      <w:r>
        <w:rPr>
          <w:rFonts w:ascii="宋体"/>
          <w:color w:val="auto"/>
          <w:sz w:val="24"/>
          <w:szCs w:val="24"/>
          <w:highlight w:val="none"/>
        </w:rPr>
        <w:t xml:space="preserve">41.4 </w:t>
      </w:r>
      <w:r>
        <w:rPr>
          <w:rFonts w:hint="eastAsia" w:ascii="宋体"/>
          <w:color w:val="auto"/>
          <w:sz w:val="24"/>
          <w:szCs w:val="24"/>
          <w:highlight w:val="none"/>
        </w:rPr>
        <w:t>招标人将上述符合要求的投标文件，送至评标委员会进行评审。</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42. </w:t>
      </w:r>
      <w:r>
        <w:rPr>
          <w:rFonts w:hint="eastAsia" w:ascii="宋体" w:hAnsi="宋体" w:eastAsia="宋体"/>
          <w:color w:val="auto"/>
          <w:sz w:val="24"/>
          <w:szCs w:val="24"/>
          <w:highlight w:val="none"/>
        </w:rPr>
        <w:t>资格审查及评标细则</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42.1</w:t>
      </w:r>
      <w:r>
        <w:rPr>
          <w:rFonts w:hint="eastAsia" w:ascii="宋体" w:hAnsi="宋体" w:eastAsia="宋体"/>
          <w:color w:val="auto"/>
          <w:sz w:val="24"/>
          <w:szCs w:val="24"/>
          <w:highlight w:val="none"/>
        </w:rPr>
        <w:t>资格审查及评标均由招标人依法组建的评标委员会负责。</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42.2</w:t>
      </w:r>
      <w:r>
        <w:rPr>
          <w:rFonts w:hint="eastAsia" w:ascii="宋体" w:hAnsi="宋体" w:eastAsia="宋体"/>
          <w:color w:val="auto"/>
          <w:sz w:val="24"/>
          <w:szCs w:val="24"/>
          <w:highlight w:val="none"/>
        </w:rPr>
        <w:t>评标委员会的组成：方式</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方式一：评标委员会为综合评标委员会，负责资格审查及评标工作。</w:t>
      </w:r>
    </w:p>
    <w:p>
      <w:pPr>
        <w:pStyle w:val="6"/>
        <w:tabs>
          <w:tab w:val="left" w:pos="7380"/>
        </w:tabs>
        <w:snapToGrid w:val="0"/>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方式二：评标委员会由技术评审组和经济评审组组成。其中：资格审查及技术评审由技术评标组负责，经济评审由经济评审组负责。</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43</w:t>
      </w:r>
      <w:r>
        <w:rPr>
          <w:rFonts w:hint="eastAsia" w:ascii="宋体" w:hAnsi="宋体" w:eastAsia="宋体"/>
          <w:color w:val="auto"/>
          <w:sz w:val="24"/>
          <w:szCs w:val="24"/>
          <w:highlight w:val="none"/>
        </w:rPr>
        <w:t>．投标人资格审查</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43.1</w:t>
      </w:r>
      <w:r>
        <w:rPr>
          <w:rFonts w:hint="eastAsia" w:ascii="宋体" w:hAnsi="宋体" w:eastAsia="宋体"/>
          <w:color w:val="auto"/>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43.2</w:t>
      </w:r>
      <w:r>
        <w:rPr>
          <w:rFonts w:hint="eastAsia" w:ascii="宋体" w:hAnsi="宋体" w:eastAsia="宋体"/>
          <w:color w:val="auto"/>
          <w:sz w:val="24"/>
          <w:szCs w:val="24"/>
          <w:highlight w:val="none"/>
        </w:rPr>
        <w:t>汇总资格审查情况，编写资格审查报告。</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43.3</w:t>
      </w:r>
      <w:r>
        <w:rPr>
          <w:rFonts w:hint="eastAsia" w:ascii="宋体" w:hAnsi="宋体" w:eastAsia="宋体"/>
          <w:color w:val="auto"/>
          <w:sz w:val="24"/>
          <w:szCs w:val="24"/>
          <w:highlight w:val="none"/>
        </w:rPr>
        <w:t>资格审查不合格的投标文件不参加下一阶段的评标，不参与评标参考价的计算。</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43.4</w:t>
      </w:r>
      <w:r>
        <w:rPr>
          <w:rFonts w:hint="eastAsia" w:ascii="宋体" w:hAnsi="宋体" w:eastAsia="宋体"/>
          <w:color w:val="auto"/>
          <w:sz w:val="24"/>
          <w:szCs w:val="24"/>
          <w:highlight w:val="none"/>
        </w:rPr>
        <w:t>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43.5</w:t>
      </w:r>
      <w:r>
        <w:rPr>
          <w:rFonts w:hint="eastAsia" w:ascii="宋体" w:hAnsi="宋体" w:eastAsia="宋体"/>
          <w:color w:val="auto"/>
          <w:sz w:val="24"/>
          <w:szCs w:val="24"/>
          <w:highlight w:val="none"/>
        </w:rPr>
        <w:t>资审合格后，投标人的资格发生变化而不满足投标人合格条件，在发出中标通知书前，资格问题仍未解决的，招标人将取消其中标资格。</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43.6</w:t>
      </w:r>
      <w:r>
        <w:rPr>
          <w:rFonts w:hint="eastAsia" w:ascii="宋体" w:hAnsi="宋体" w:eastAsia="宋体"/>
          <w:color w:val="auto"/>
          <w:sz w:val="24"/>
          <w:szCs w:val="24"/>
          <w:highlight w:val="none"/>
        </w:rPr>
        <w:t>资格审查合格的投标人少于</w:t>
      </w:r>
      <w:r>
        <w:rPr>
          <w:rFonts w:ascii="宋体" w:hAnsi="宋体" w:eastAsia="宋体"/>
          <w:color w:val="auto"/>
          <w:sz w:val="24"/>
          <w:szCs w:val="24"/>
          <w:highlight w:val="none"/>
        </w:rPr>
        <w:t>3</w:t>
      </w:r>
      <w:r>
        <w:rPr>
          <w:rFonts w:hint="eastAsia" w:ascii="宋体" w:hAnsi="宋体" w:eastAsia="宋体"/>
          <w:color w:val="auto"/>
          <w:sz w:val="24"/>
          <w:szCs w:val="24"/>
          <w:highlight w:val="none"/>
        </w:rPr>
        <w:t>名的（当</w:t>
      </w:r>
      <w:r>
        <w:rPr>
          <w:rFonts w:ascii="宋体" w:hAnsi="宋体" w:eastAsia="宋体"/>
          <w:color w:val="auto"/>
          <w:sz w:val="24"/>
          <w:szCs w:val="24"/>
          <w:highlight w:val="none"/>
        </w:rPr>
        <w:t>N</w:t>
      </w:r>
      <w:r>
        <w:rPr>
          <w:rFonts w:hint="eastAsia" w:ascii="宋体" w:hAnsi="宋体" w:eastAsia="宋体"/>
          <w:color w:val="auto"/>
          <w:sz w:val="24"/>
          <w:szCs w:val="24"/>
          <w:highlight w:val="none"/>
        </w:rPr>
        <w:t>个标段同时招标且不允许兼中时，资格审查合格的投标人少于</w:t>
      </w:r>
      <w:r>
        <w:rPr>
          <w:rFonts w:ascii="宋体" w:hAnsi="宋体" w:eastAsia="宋体"/>
          <w:color w:val="auto"/>
          <w:sz w:val="24"/>
          <w:szCs w:val="24"/>
          <w:highlight w:val="none"/>
        </w:rPr>
        <w:t>N+2</w:t>
      </w:r>
      <w:r>
        <w:rPr>
          <w:rFonts w:hint="eastAsia" w:ascii="宋体" w:hAnsi="宋体" w:eastAsia="宋体"/>
          <w:color w:val="auto"/>
          <w:sz w:val="24"/>
          <w:szCs w:val="24"/>
          <w:highlight w:val="none"/>
        </w:rPr>
        <w:t>名），则本项目招标失败。</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44</w:t>
      </w:r>
      <w:r>
        <w:rPr>
          <w:rFonts w:hint="eastAsia" w:ascii="宋体" w:hAnsi="宋体" w:eastAsia="宋体"/>
          <w:color w:val="auto"/>
          <w:sz w:val="24"/>
          <w:szCs w:val="24"/>
          <w:highlight w:val="none"/>
        </w:rPr>
        <w:t>．技术标评审</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44.1</w:t>
      </w:r>
      <w:r>
        <w:rPr>
          <w:rFonts w:hint="eastAsia" w:ascii="宋体" w:hAnsi="宋体" w:eastAsia="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44.2</w:t>
      </w:r>
      <w:r>
        <w:rPr>
          <w:rFonts w:hint="eastAsia" w:ascii="宋体" w:hAnsi="宋体" w:eastAsia="宋体"/>
          <w:color w:val="auto"/>
          <w:sz w:val="24"/>
          <w:szCs w:val="24"/>
          <w:highlight w:val="none"/>
        </w:rPr>
        <w:t>技术标详细审查评分：评标委员会按照附表四《技术标详细审查评分表》的标准，对通过技术标有效性审查的投标文件技术标进行详细审查，评出技术分，得分四舍五入精确到小数点后两位。</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45</w:t>
      </w:r>
      <w:r>
        <w:rPr>
          <w:rFonts w:hint="eastAsia" w:ascii="宋体" w:hAnsi="宋体" w:eastAsia="宋体"/>
          <w:color w:val="auto"/>
          <w:sz w:val="24"/>
          <w:szCs w:val="24"/>
          <w:highlight w:val="none"/>
        </w:rPr>
        <w:t>．经济标评审和得分汇总</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45.1</w:t>
      </w:r>
      <w:r>
        <w:rPr>
          <w:rFonts w:hint="eastAsia" w:ascii="宋体" w:hAnsi="宋体" w:eastAsia="宋体"/>
          <w:color w:val="auto"/>
          <w:sz w:val="24"/>
          <w:szCs w:val="24"/>
          <w:highlight w:val="none"/>
        </w:rPr>
        <w:t>若通过技术标有效性审查的投标人中所有投标报价均大于等于最高投标限价</w:t>
      </w:r>
      <w:r>
        <w:rPr>
          <w:rFonts w:ascii="宋体" w:hAnsi="宋体" w:eastAsia="宋体"/>
          <w:color w:val="auto"/>
          <w:sz w:val="24"/>
          <w:szCs w:val="24"/>
          <w:highlight w:val="none"/>
        </w:rPr>
        <w:t>*D%</w:t>
      </w:r>
      <w:r>
        <w:rPr>
          <w:rFonts w:hint="eastAsia" w:ascii="宋体" w:hAnsi="宋体" w:eastAsia="宋体"/>
          <w:color w:val="auto"/>
          <w:sz w:val="24"/>
          <w:szCs w:val="24"/>
          <w:highlight w:val="none"/>
        </w:rPr>
        <w:t>（</w:t>
      </w:r>
      <w:r>
        <w:rPr>
          <w:rFonts w:ascii="宋体" w:hAnsi="宋体" w:eastAsia="宋体"/>
          <w:color w:val="auto"/>
          <w:sz w:val="24"/>
          <w:szCs w:val="24"/>
          <w:highlight w:val="none"/>
        </w:rPr>
        <w:t>D</w:t>
      </w:r>
      <w:r>
        <w:rPr>
          <w:rFonts w:hint="eastAsia" w:ascii="宋体" w:hAnsi="宋体" w:eastAsia="宋体"/>
          <w:color w:val="auto"/>
          <w:sz w:val="24"/>
          <w:szCs w:val="24"/>
          <w:highlight w:val="none"/>
        </w:rPr>
        <w:t>的取值范围为</w:t>
      </w:r>
      <w:r>
        <w:rPr>
          <w:rFonts w:ascii="宋体" w:hAnsi="宋体" w:eastAsia="宋体"/>
          <w:color w:val="auto"/>
          <w:sz w:val="24"/>
          <w:szCs w:val="24"/>
          <w:highlight w:val="none"/>
        </w:rPr>
        <w:t>[94,100],</w:t>
      </w:r>
      <w:r>
        <w:rPr>
          <w:rFonts w:hint="eastAsia" w:ascii="宋体" w:hAnsi="宋体" w:eastAsia="宋体"/>
          <w:color w:val="auto"/>
          <w:sz w:val="24"/>
          <w:szCs w:val="24"/>
          <w:highlight w:val="none"/>
        </w:rPr>
        <w:t>由招标人自主确定）的（具体金额为：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元），则本项目招标失败，由招标人依法重新招标。</w:t>
      </w:r>
    </w:p>
    <w:p>
      <w:pPr>
        <w:pStyle w:val="6"/>
        <w:tabs>
          <w:tab w:val="left" w:pos="7380"/>
        </w:tabs>
        <w:snapToGrid w:val="0"/>
        <w:spacing w:after="0" w:line="360" w:lineRule="auto"/>
        <w:ind w:firstLine="480" w:firstLineChars="200"/>
        <w:rPr>
          <w:rFonts w:ascii="宋体"/>
          <w:color w:val="auto"/>
          <w:sz w:val="24"/>
          <w:szCs w:val="24"/>
          <w:highlight w:val="none"/>
        </w:rPr>
      </w:pPr>
      <w:r>
        <w:rPr>
          <w:rFonts w:ascii="宋体" w:hAnsi="宋体" w:eastAsia="宋体"/>
          <w:color w:val="auto"/>
          <w:sz w:val="24"/>
          <w:szCs w:val="24"/>
          <w:highlight w:val="none"/>
        </w:rPr>
        <w:t xml:space="preserve"> 45.2</w:t>
      </w:r>
      <w:r>
        <w:rPr>
          <w:rFonts w:hint="eastAsia" w:ascii="宋体" w:hAnsi="宋体" w:eastAsia="宋体"/>
          <w:color w:val="auto"/>
          <w:sz w:val="24"/>
          <w:szCs w:val="24"/>
          <w:highlight w:val="none"/>
        </w:rPr>
        <w:t>按方法</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计算评标参考价：</w:t>
      </w:r>
    </w:p>
    <w:p>
      <w:pPr>
        <w:widowControl/>
        <w:spacing w:line="360" w:lineRule="auto"/>
        <w:ind w:firstLine="480" w:firstLineChars="200"/>
        <w:rPr>
          <w:rFonts w:asci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pPr>
        <w:spacing w:line="360" w:lineRule="auto"/>
        <w:ind w:firstLine="480" w:firstLineChars="200"/>
        <w:rPr>
          <w:rFonts w:ascii="宋体" w:cs="仿宋"/>
          <w:color w:val="auto"/>
          <w:sz w:val="24"/>
          <w:szCs w:val="24"/>
          <w:highlight w:val="none"/>
        </w:rPr>
      </w:pPr>
      <w:r>
        <w:rPr>
          <w:rFonts w:hint="eastAsia" w:ascii="宋体" w:hAnsi="宋体" w:cs="仿宋"/>
          <w:color w:val="auto"/>
          <w:sz w:val="24"/>
          <w:szCs w:val="24"/>
          <w:highlight w:val="none"/>
        </w:rPr>
        <w:t>技术标或技术标加诚信得分（具体由招标人自定）前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w:t>
      </w:r>
      <w:r>
        <w:rPr>
          <w:rFonts w:ascii="宋体" w:hAnsi="宋体" w:cs="仿宋"/>
          <w:color w:val="auto"/>
          <w:sz w:val="24"/>
          <w:szCs w:val="24"/>
          <w:highlight w:val="none"/>
        </w:rPr>
        <w:t>N</w:t>
      </w:r>
      <w:r>
        <w:rPr>
          <w:rFonts w:hint="eastAsia" w:ascii="宋体" w:hAnsi="宋体" w:cs="仿宋"/>
          <w:color w:val="auto"/>
          <w:sz w:val="24"/>
          <w:szCs w:val="24"/>
          <w:highlight w:val="none"/>
        </w:rPr>
        <w:t>≥</w:t>
      </w:r>
      <w:r>
        <w:rPr>
          <w:rFonts w:ascii="宋体" w:hAnsi="宋体" w:cs="仿宋"/>
          <w:color w:val="auto"/>
          <w:sz w:val="24"/>
          <w:szCs w:val="24"/>
          <w:highlight w:val="none"/>
        </w:rPr>
        <w:t>5</w:t>
      </w:r>
      <w:r>
        <w:rPr>
          <w:rFonts w:hint="eastAsia" w:ascii="宋体" w:hAnsi="宋体" w:cs="仿宋"/>
          <w:color w:val="auto"/>
          <w:sz w:val="24"/>
          <w:szCs w:val="24"/>
          <w:highlight w:val="none"/>
        </w:rPr>
        <w:t>，具体由招标人自定）的经济报价加权平均，计算评标参考价。公式如下：</w:t>
      </w:r>
    </w:p>
    <w:p>
      <w:pPr>
        <w:spacing w:line="360" w:lineRule="auto"/>
        <w:ind w:firstLine="480" w:firstLineChars="200"/>
        <w:rPr>
          <w:rFonts w:asci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pPr>
        <w:spacing w:line="360" w:lineRule="auto"/>
        <w:ind w:firstLine="480" w:firstLineChars="200"/>
        <w:rPr>
          <w:rFonts w:ascii="宋体" w:cs="仿宋"/>
          <w:color w:val="auto"/>
          <w:sz w:val="24"/>
          <w:szCs w:val="24"/>
          <w:highlight w:val="none"/>
        </w:rPr>
      </w:pP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名投标人按技术分由高至低进行排序，第一名投标人的权重为（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color w:val="auto"/>
          <w:sz w:val="24"/>
          <w:szCs w:val="24"/>
          <w:highlight w:val="none"/>
        </w:rPr>
        <w:drawing>
          <wp:inline distT="0" distB="0" distL="0" distR="0">
            <wp:extent cx="382905" cy="446405"/>
            <wp:effectExtent l="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color w:val="auto"/>
          <w:sz w:val="24"/>
          <w:szCs w:val="24"/>
          <w:highlight w:val="none"/>
        </w:rPr>
        <w:drawing>
          <wp:inline distT="0" distB="0" distL="0" distR="0">
            <wp:extent cx="382905" cy="446405"/>
            <wp:effectExtent l="0" t="0" r="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color w:val="auto"/>
          <w:position w:val="-23"/>
          <w:sz w:val="24"/>
          <w:szCs w:val="24"/>
          <w:highlight w:val="none"/>
        </w:rPr>
        <w:drawing>
          <wp:inline distT="0" distB="0" distL="0" distR="0">
            <wp:extent cx="318770" cy="414655"/>
            <wp:effectExtent l="0" t="0" r="5080" b="444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color w:val="auto"/>
          <w:position w:val="-23"/>
          <w:sz w:val="24"/>
          <w:szCs w:val="24"/>
          <w:highlight w:val="none"/>
        </w:rPr>
        <w:drawing>
          <wp:inline distT="0" distB="0" distL="0" distR="0">
            <wp:extent cx="318770" cy="414655"/>
            <wp:effectExtent l="0" t="0" r="5080" b="444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color w:val="auto"/>
          <w:position w:val="-23"/>
          <w:sz w:val="24"/>
          <w:szCs w:val="24"/>
          <w:highlight w:val="none"/>
        </w:rPr>
        <w:drawing>
          <wp:inline distT="0" distB="0" distL="0" distR="0">
            <wp:extent cx="318770" cy="414655"/>
            <wp:effectExtent l="0" t="0" r="5080" b="444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color w:val="auto"/>
          <w:position w:val="-23"/>
          <w:sz w:val="24"/>
          <w:szCs w:val="24"/>
          <w:highlight w:val="none"/>
        </w:rPr>
        <w:drawing>
          <wp:inline distT="0" distB="0" distL="0" distR="0">
            <wp:extent cx="318770" cy="414655"/>
            <wp:effectExtent l="0" t="0" r="5080" b="444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1465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pPr>
        <w:widowControl/>
        <w:spacing w:line="360" w:lineRule="auto"/>
        <w:ind w:firstLine="480" w:firstLineChars="200"/>
        <w:rPr>
          <w:rFonts w:asci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pPr>
        <w:widowControl/>
        <w:snapToGrid w:val="0"/>
        <w:spacing w:line="360" w:lineRule="auto"/>
        <w:ind w:firstLine="480" w:firstLineChars="200"/>
        <w:rPr>
          <w:rFonts w:asci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asci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asci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r>
        <w:rPr>
          <w:rFonts w:ascii="宋体" w:hAnsi="宋体" w:cs="仿宋"/>
          <w:color w:val="auto"/>
          <w:sz w:val="24"/>
          <w:szCs w:val="24"/>
          <w:highlight w:val="none"/>
        </w:rPr>
        <w:t>*D%</w:t>
      </w:r>
      <w:r>
        <w:rPr>
          <w:rFonts w:hint="eastAsia" w:ascii="宋体" w:hAnsi="宋体" w:cs="仿宋"/>
          <w:color w:val="auto"/>
          <w:sz w:val="24"/>
          <w:szCs w:val="24"/>
          <w:highlight w:val="none"/>
        </w:rPr>
        <w:t>）（</w:t>
      </w:r>
      <w:r>
        <w:rPr>
          <w:rFonts w:ascii="宋体" w:hAnsi="宋体" w:cs="仿宋"/>
          <w:color w:val="auto"/>
          <w:sz w:val="24"/>
          <w:szCs w:val="24"/>
          <w:highlight w:val="none"/>
        </w:rPr>
        <w:t>D</w:t>
      </w:r>
      <w:r>
        <w:rPr>
          <w:rFonts w:hint="eastAsia" w:ascii="宋体" w:hAnsi="宋体" w:cs="仿宋"/>
          <w:color w:val="auto"/>
          <w:sz w:val="24"/>
          <w:szCs w:val="24"/>
          <w:highlight w:val="none"/>
        </w:rPr>
        <w:t>的取值范围为</w:t>
      </w:r>
      <w:r>
        <w:rPr>
          <w:rFonts w:ascii="宋体" w:hAnsi="宋体" w:cs="仿宋"/>
          <w:color w:val="auto"/>
          <w:sz w:val="24"/>
          <w:szCs w:val="24"/>
          <w:highlight w:val="none"/>
        </w:rPr>
        <w:t>[94,100],</w:t>
      </w:r>
      <w:r>
        <w:rPr>
          <w:rFonts w:hint="eastAsia" w:ascii="宋体" w:hAnsi="宋体" w:cs="仿宋"/>
          <w:color w:val="auto"/>
          <w:sz w:val="24"/>
          <w:szCs w:val="24"/>
          <w:highlight w:val="none"/>
        </w:rPr>
        <w:t>由招标人自定）</w:t>
      </w:r>
    </w:p>
    <w:p>
      <w:pPr>
        <w:spacing w:line="360" w:lineRule="auto"/>
        <w:ind w:firstLine="480" w:firstLineChars="200"/>
        <w:rPr>
          <w:rFonts w:asci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ascii="宋体"/>
          <w:color w:val="auto"/>
          <w:sz w:val="24"/>
          <w:szCs w:val="24"/>
          <w:highlight w:val="none"/>
        </w:rPr>
      </w:pPr>
      <w:r>
        <w:rPr>
          <w:rFonts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color w:val="auto"/>
          <w:sz w:val="24"/>
          <w:szCs w:val="24"/>
          <w:highlight w:val="none"/>
        </w:rPr>
        <w:t>0</w:t>
      </w:r>
      <w:r>
        <w:rPr>
          <w:rFonts w:hint="eastAsia" w:ascii="宋体" w:hAnsi="宋体"/>
          <w:color w:val="auto"/>
          <w:sz w:val="24"/>
          <w:szCs w:val="24"/>
          <w:highlight w:val="none"/>
        </w:rPr>
        <w:t>分为止，得出经济分，精确到小数点后两位。</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45.4</w:t>
      </w:r>
      <w:r>
        <w:rPr>
          <w:rFonts w:hint="eastAsia" w:ascii="宋体" w:hAnsi="宋体" w:eastAsia="宋体"/>
          <w:color w:val="auto"/>
          <w:sz w:val="24"/>
          <w:szCs w:val="24"/>
          <w:highlight w:val="none"/>
        </w:rPr>
        <w:t>计算通过技术标有效性审查的投标人总得分。投标人总得分</w:t>
      </w:r>
      <w:r>
        <w:rPr>
          <w:rFonts w:ascii="宋体" w:hAnsi="宋体" w:eastAsia="宋体"/>
          <w:color w:val="auto"/>
          <w:sz w:val="24"/>
          <w:szCs w:val="24"/>
          <w:highlight w:val="none"/>
        </w:rPr>
        <w:t>=</w:t>
      </w:r>
      <w:r>
        <w:rPr>
          <w:rFonts w:hint="eastAsia" w:ascii="宋体" w:hAnsi="宋体" w:eastAsia="宋体"/>
          <w:color w:val="auto"/>
          <w:sz w:val="24"/>
          <w:szCs w:val="24"/>
          <w:highlight w:val="none"/>
        </w:rPr>
        <w:t>（技术得分</w:t>
      </w:r>
      <w:r>
        <w:rPr>
          <w:rFonts w:ascii="宋体" w:hAnsi="宋体" w:eastAsia="宋体"/>
          <w:color w:val="auto"/>
          <w:sz w:val="24"/>
          <w:szCs w:val="24"/>
          <w:highlight w:val="none"/>
        </w:rPr>
        <w:t>×</w:t>
      </w:r>
      <w:r>
        <w:rPr>
          <w:rFonts w:hint="eastAsia" w:ascii="宋体" w:hAnsi="宋体" w:eastAsia="宋体"/>
          <w:color w:val="auto"/>
          <w:sz w:val="24"/>
          <w:szCs w:val="24"/>
          <w:highlight w:val="none"/>
        </w:rPr>
        <w:t>技术得分权重</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经济得分×经济得分权重）×（</w:t>
      </w:r>
      <w:r>
        <w:rPr>
          <w:rFonts w:ascii="宋体" w:hAnsi="宋体" w:eastAsia="宋体"/>
          <w:color w:val="auto"/>
          <w:sz w:val="24"/>
          <w:szCs w:val="24"/>
          <w:highlight w:val="none"/>
        </w:rPr>
        <w:t>1-</w:t>
      </w:r>
      <w:r>
        <w:rPr>
          <w:rFonts w:hint="eastAsia" w:ascii="宋体" w:hAnsi="宋体" w:eastAsia="宋体"/>
          <w:color w:val="auto"/>
          <w:sz w:val="24"/>
          <w:szCs w:val="24"/>
          <w:highlight w:val="none"/>
        </w:rPr>
        <w:t>综合诚信评价分数权重）</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综合诚信评价排名得分×综合诚信评价分数权重）。技术、经济得分权重按投标须知前附表的规定执行。总得分四舍五入保留两位小数。</w:t>
      </w:r>
    </w:p>
    <w:p>
      <w:pPr>
        <w:pStyle w:val="6"/>
        <w:tabs>
          <w:tab w:val="left" w:pos="7380"/>
        </w:tabs>
        <w:snapToGrid w:val="0"/>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46.</w:t>
      </w:r>
      <w:r>
        <w:rPr>
          <w:rFonts w:hint="eastAsia" w:ascii="宋体" w:hAnsi="宋体" w:eastAsia="宋体"/>
          <w:color w:val="auto"/>
          <w:sz w:val="24"/>
          <w:szCs w:val="24"/>
          <w:highlight w:val="none"/>
        </w:rPr>
        <w:t>经济标的有效性审查</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46.1</w:t>
      </w:r>
      <w:r>
        <w:rPr>
          <w:rFonts w:hint="eastAsia" w:ascii="宋体" w:hAnsi="宋体"/>
          <w:color w:val="auto"/>
          <w:sz w:val="24"/>
          <w:szCs w:val="24"/>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 46.2</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46.2.1</w:t>
      </w:r>
      <w:r>
        <w:rPr>
          <w:rFonts w:hint="eastAsia" w:ascii="宋体" w:hAnsi="宋体"/>
          <w:color w:val="auto"/>
          <w:sz w:val="24"/>
          <w:szCs w:val="24"/>
          <w:highlight w:val="none"/>
        </w:rPr>
        <w:t>如果数字表示的金额和用文字表示的金额不一致时，应以文字表示的金额为准；</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 46.2.2</w:t>
      </w:r>
      <w:r>
        <w:rPr>
          <w:rFonts w:hint="eastAsia" w:ascii="宋体" w:hAnsi="宋体"/>
          <w:color w:val="auto"/>
          <w:sz w:val="24"/>
          <w:szCs w:val="24"/>
          <w:highlight w:val="none"/>
        </w:rPr>
        <w:t>经算术复核的投标人报价与其投标报价不一致时，按就低不就高原则确定其最终报价；</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 46.2.3</w:t>
      </w:r>
      <w:r>
        <w:rPr>
          <w:rFonts w:hint="eastAsia" w:ascii="宋体" w:hAnsi="宋体"/>
          <w:color w:val="auto"/>
          <w:sz w:val="24"/>
          <w:szCs w:val="24"/>
          <w:highlight w:val="none"/>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 46.2.4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 46.2.5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46.2.6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46.2.7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46.2.8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47.</w:t>
      </w:r>
      <w:r>
        <w:rPr>
          <w:rFonts w:hint="eastAsia" w:ascii="宋体" w:hAnsi="宋体"/>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w:t>
      </w:r>
      <w:r>
        <w:rPr>
          <w:rFonts w:ascii="宋体" w:hAnsi="宋体"/>
          <w:color w:val="auto"/>
          <w:sz w:val="24"/>
          <w:szCs w:val="24"/>
          <w:highlight w:val="none"/>
        </w:rPr>
        <w:t>3</w:t>
      </w:r>
      <w:r>
        <w:rPr>
          <w:rFonts w:hint="eastAsia" w:ascii="宋体" w:hAnsi="宋体"/>
          <w:color w:val="auto"/>
          <w:sz w:val="24"/>
          <w:szCs w:val="24"/>
          <w:highlight w:val="none"/>
        </w:rPr>
        <w:t>名投标人通过经济标有效性审查，经济标有效性审查结束。</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48.</w:t>
      </w:r>
      <w:r>
        <w:rPr>
          <w:rFonts w:hint="eastAsia" w:ascii="宋体" w:hAnsi="宋体"/>
          <w:color w:val="auto"/>
          <w:sz w:val="24"/>
          <w:szCs w:val="24"/>
          <w:highlight w:val="none"/>
        </w:rPr>
        <w:t>评标委员会应在通过投标文件经济标有效性审查的投标人中，按步骤</w:t>
      </w:r>
      <w:r>
        <w:rPr>
          <w:rFonts w:ascii="宋体" w:hAnsi="宋体"/>
          <w:color w:val="auto"/>
          <w:sz w:val="24"/>
          <w:szCs w:val="24"/>
          <w:highlight w:val="none"/>
        </w:rPr>
        <w:t>45.4</w:t>
      </w:r>
      <w:r>
        <w:rPr>
          <w:rFonts w:hint="eastAsia" w:ascii="宋体" w:hAnsi="宋体"/>
          <w:color w:val="auto"/>
          <w:sz w:val="24"/>
          <w:szCs w:val="24"/>
          <w:highlight w:val="none"/>
        </w:rPr>
        <w:t>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color w:val="auto"/>
          <w:sz w:val="24"/>
          <w:szCs w:val="24"/>
          <w:highlight w:val="none"/>
        </w:rPr>
        <w:t>,</w:t>
      </w:r>
      <w:r>
        <w:rPr>
          <w:rFonts w:hint="eastAsia" w:ascii="宋体" w:hAnsi="宋体"/>
          <w:color w:val="auto"/>
          <w:sz w:val="24"/>
          <w:szCs w:val="24"/>
          <w:highlight w:val="none"/>
        </w:rPr>
        <w:t>并编制评标报告。</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49.</w:t>
      </w:r>
      <w:r>
        <w:rPr>
          <w:rFonts w:hint="eastAsia" w:ascii="宋体" w:hAnsi="宋体"/>
          <w:color w:val="auto"/>
          <w:sz w:val="24"/>
          <w:szCs w:val="24"/>
          <w:highlight w:val="none"/>
        </w:rPr>
        <w:t>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spacing w:line="360" w:lineRule="auto"/>
        <w:rPr>
          <w:rFonts w:ascii="宋体"/>
          <w:color w:val="auto"/>
          <w:sz w:val="24"/>
          <w:szCs w:val="24"/>
          <w:highlight w:val="none"/>
        </w:rPr>
      </w:pPr>
    </w:p>
    <w:p>
      <w:pPr>
        <w:widowControl/>
        <w:jc w:val="left"/>
        <w:rPr>
          <w:rFonts w:ascii="宋体"/>
          <w:color w:val="auto"/>
          <w:sz w:val="24"/>
          <w:szCs w:val="24"/>
          <w:highlight w:val="none"/>
        </w:rPr>
      </w:pPr>
      <w:r>
        <w:rPr>
          <w:rFonts w:ascii="宋体"/>
          <w:color w:val="auto"/>
          <w:sz w:val="24"/>
          <w:szCs w:val="24"/>
          <w:highlight w:val="none"/>
        </w:rPr>
        <w:br w:type="page"/>
      </w:r>
    </w:p>
    <w:p>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38"/>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b/>
                <w:color w:val="auto"/>
                <w:szCs w:val="21"/>
                <w:highlight w:val="none"/>
              </w:rPr>
            </w:pPr>
            <w:r>
              <w:rPr>
                <w:rFonts w:hint="eastAsia" w:ascii="宋体" w:hAnsi="宋体"/>
                <w:b/>
                <w:color w:val="auto"/>
                <w:szCs w:val="21"/>
                <w:highlight w:val="none"/>
              </w:rPr>
              <w:t>序号</w:t>
            </w:r>
          </w:p>
        </w:tc>
        <w:tc>
          <w:tcPr>
            <w:tcW w:w="3780" w:type="dxa"/>
            <w:vAlign w:val="center"/>
          </w:tcPr>
          <w:p>
            <w:pPr>
              <w:spacing w:before="120" w:after="60"/>
              <w:jc w:val="center"/>
              <w:rPr>
                <w:rFonts w:ascii="宋体"/>
                <w:b/>
                <w:color w:val="auto"/>
                <w:szCs w:val="21"/>
                <w:highlight w:val="none"/>
              </w:rPr>
            </w:pPr>
            <w:r>
              <w:rPr>
                <w:rFonts w:hint="eastAsia" w:ascii="宋体" w:hAnsi="宋体"/>
                <w:b/>
                <w:color w:val="auto"/>
                <w:szCs w:val="21"/>
                <w:highlight w:val="none"/>
              </w:rPr>
              <w:t>审查项目</w:t>
            </w:r>
          </w:p>
        </w:tc>
        <w:tc>
          <w:tcPr>
            <w:tcW w:w="3420" w:type="dxa"/>
            <w:vAlign w:val="center"/>
          </w:tcPr>
          <w:p>
            <w:pPr>
              <w:spacing w:before="120" w:after="60"/>
              <w:jc w:val="center"/>
              <w:rPr>
                <w:rFonts w:ascii="宋体"/>
                <w:b/>
                <w:color w:val="auto"/>
                <w:szCs w:val="21"/>
                <w:highlight w:val="none"/>
              </w:rPr>
            </w:pPr>
            <w:r>
              <w:rPr>
                <w:rFonts w:hint="eastAsia" w:ascii="宋体" w:hAnsi="宋体"/>
                <w:b/>
                <w:color w:val="auto"/>
                <w:szCs w:val="21"/>
                <w:highlight w:val="none"/>
              </w:rPr>
              <w:t>须审查的资料</w:t>
            </w:r>
          </w:p>
        </w:tc>
        <w:tc>
          <w:tcPr>
            <w:tcW w:w="720" w:type="dxa"/>
            <w:vAlign w:val="center"/>
          </w:tcPr>
          <w:p>
            <w:pPr>
              <w:spacing w:before="120" w:after="60"/>
              <w:jc w:val="center"/>
              <w:rPr>
                <w:rFonts w:asci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p>
        </w:tc>
        <w:tc>
          <w:tcPr>
            <w:tcW w:w="378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2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2</w:t>
            </w:r>
          </w:p>
        </w:tc>
        <w:tc>
          <w:tcPr>
            <w:tcW w:w="378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投标人均具有独立法人资格，按国家法律经营</w:t>
            </w:r>
          </w:p>
        </w:tc>
        <w:tc>
          <w:tcPr>
            <w:tcW w:w="3420" w:type="dxa"/>
            <w:vAlign w:val="center"/>
          </w:tcPr>
          <w:p>
            <w:pPr>
              <w:spacing w:before="120" w:after="60"/>
              <w:jc w:val="center"/>
              <w:rPr>
                <w:rFonts w:ascii="宋体"/>
                <w:color w:val="auto"/>
                <w:szCs w:val="21"/>
                <w:highlight w:val="none"/>
              </w:rPr>
            </w:pPr>
            <w:r>
              <w:rPr>
                <w:rFonts w:hint="eastAsia" w:ascii="宋体" w:hAnsi="宋体"/>
                <w:color w:val="auto"/>
                <w:szCs w:val="21"/>
                <w:highlight w:val="none"/>
                <w:u w:val="single"/>
              </w:rPr>
              <w:t>营业执照扫描件或电子证照加盖电子公章</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3</w:t>
            </w:r>
          </w:p>
        </w:tc>
        <w:tc>
          <w:tcPr>
            <w:tcW w:w="378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420" w:type="dxa"/>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u w:val="single"/>
              </w:rPr>
              <w:t>资质证书及安全生产许可证的扫描件或电子证书加盖电子公章；</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4</w:t>
            </w:r>
          </w:p>
        </w:tc>
        <w:tc>
          <w:tcPr>
            <w:tcW w:w="378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投标人拟担任本工程项目负责人符合公告要求</w:t>
            </w:r>
          </w:p>
        </w:tc>
        <w:tc>
          <w:tcPr>
            <w:tcW w:w="3420" w:type="dxa"/>
            <w:vAlign w:val="center"/>
          </w:tcPr>
          <w:p>
            <w:pPr>
              <w:widowControl/>
              <w:jc w:val="left"/>
              <w:rPr>
                <w:rFonts w:ascii="宋体" w:hAnsi="宋体"/>
                <w:color w:val="auto"/>
                <w:szCs w:val="21"/>
                <w:highlight w:val="none"/>
                <w:u w:val="single"/>
              </w:rPr>
            </w:pPr>
            <w:r>
              <w:rPr>
                <w:rFonts w:hint="eastAsia" w:ascii="宋体" w:hAnsi="宋体"/>
                <w:color w:val="auto"/>
                <w:szCs w:val="21"/>
                <w:highlight w:val="none"/>
                <w:u w:val="single"/>
              </w:rPr>
              <w:t>使用有效期内的注册建造师注册证书扫描件加盖电子公章。</w:t>
            </w:r>
          </w:p>
          <w:p>
            <w:pPr>
              <w:widowControl/>
              <w:jc w:val="left"/>
              <w:rPr>
                <w:rFonts w:ascii="宋体" w:hAnsi="宋体"/>
                <w:color w:val="auto"/>
                <w:szCs w:val="21"/>
                <w:highlight w:val="none"/>
                <w:u w:val="single"/>
              </w:rPr>
            </w:pPr>
            <w:r>
              <w:rPr>
                <w:rFonts w:hint="eastAsia" w:ascii="宋体" w:hAnsi="宋体"/>
                <w:color w:val="auto"/>
                <w:szCs w:val="21"/>
                <w:highlight w:val="none"/>
                <w:u w:val="single"/>
              </w:rPr>
              <w:t>（注：打印建造师电子证书后，应在个人签名处手写本人签名，上传件未手写签名或与签名图像笔迹不一致的，该电子证书无效。）</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5</w:t>
            </w:r>
          </w:p>
        </w:tc>
        <w:tc>
          <w:tcPr>
            <w:tcW w:w="378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420" w:type="dxa"/>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u w:val="single"/>
              </w:rPr>
              <w:t>项目负责人安全生产考核合格证（B类）或建筑施工企业项目负责人安全生产考核合格证的扫描件或电子证书加盖电子公章。</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6</w:t>
            </w:r>
          </w:p>
        </w:tc>
        <w:tc>
          <w:tcPr>
            <w:tcW w:w="378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投标人拟担任本工程技术负责人符合公告要求</w:t>
            </w:r>
          </w:p>
        </w:tc>
        <w:tc>
          <w:tcPr>
            <w:tcW w:w="342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拟委托技术负责人的相关证书、资料（具体要求</w:t>
            </w:r>
            <w:r>
              <w:rPr>
                <w:rFonts w:hint="eastAsia" w:ascii="宋体" w:hAnsi="宋体"/>
                <w:color w:val="auto"/>
                <w:szCs w:val="21"/>
                <w:highlight w:val="none"/>
                <w:u w:val="single"/>
              </w:rPr>
              <w:t>详见招标公告</w:t>
            </w:r>
            <w:r>
              <w:rPr>
                <w:rFonts w:hint="eastAsia" w:ascii="宋体" w:hAnsi="宋体"/>
                <w:color w:val="auto"/>
                <w:szCs w:val="21"/>
                <w:highlight w:val="none"/>
              </w:rPr>
              <w:t>）</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7</w:t>
            </w:r>
          </w:p>
        </w:tc>
        <w:tc>
          <w:tcPr>
            <w:tcW w:w="378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专职安全员须具有安全生产考核合格证</w:t>
            </w:r>
            <w:r>
              <w:rPr>
                <w:rFonts w:hint="eastAsia" w:ascii="宋体" w:hAnsi="宋体"/>
                <w:color w:val="auto"/>
                <w:szCs w:val="21"/>
                <w:highlight w:val="none"/>
                <w:u w:val="single"/>
              </w:rPr>
              <w:t>（C类）或（C3类）</w:t>
            </w:r>
            <w:r>
              <w:rPr>
                <w:rFonts w:hint="eastAsia" w:ascii="宋体" w:hAnsi="宋体"/>
                <w:color w:val="auto"/>
                <w:szCs w:val="21"/>
                <w:highlight w:val="none"/>
              </w:rPr>
              <w:t>或建筑施工企业专职安全生产管理人员安全生产考核合格证</w:t>
            </w:r>
          </w:p>
        </w:tc>
        <w:tc>
          <w:tcPr>
            <w:tcW w:w="3420" w:type="dxa"/>
            <w:vAlign w:val="center"/>
          </w:tcPr>
          <w:p>
            <w:pPr>
              <w:spacing w:before="120" w:after="60"/>
              <w:jc w:val="center"/>
              <w:rPr>
                <w:rFonts w:ascii="宋体"/>
                <w:color w:val="auto"/>
                <w:szCs w:val="21"/>
                <w:highlight w:val="none"/>
              </w:rPr>
            </w:pPr>
            <w:r>
              <w:rPr>
                <w:rFonts w:hint="eastAsia" w:ascii="宋体" w:hAnsi="宋体"/>
                <w:color w:val="auto"/>
                <w:szCs w:val="21"/>
                <w:highlight w:val="none"/>
                <w:u w:val="single"/>
              </w:rPr>
              <w:t>专职安全员的安全生产考核合格证（C类）或（C3类）或建筑施工企业专职安全生产管理人员安全生产考核合格证扫描件或电子证书加盖电子公章</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strike/>
                <w:color w:val="auto"/>
                <w:szCs w:val="21"/>
                <w:highlight w:val="none"/>
              </w:rPr>
            </w:pPr>
            <w:r>
              <w:rPr>
                <w:rFonts w:hint="eastAsia" w:ascii="宋体" w:hAnsi="宋体"/>
                <w:strike/>
                <w:color w:val="auto"/>
                <w:szCs w:val="21"/>
                <w:highlight w:val="none"/>
              </w:rPr>
              <w:t>8</w:t>
            </w:r>
          </w:p>
        </w:tc>
        <w:tc>
          <w:tcPr>
            <w:tcW w:w="3780" w:type="dxa"/>
            <w:vAlign w:val="center"/>
          </w:tcPr>
          <w:p>
            <w:pPr>
              <w:spacing w:before="120" w:after="60"/>
              <w:jc w:val="center"/>
              <w:rPr>
                <w:rFonts w:ascii="宋体" w:hAnsi="宋体"/>
                <w:strike/>
                <w:color w:val="auto"/>
                <w:szCs w:val="21"/>
                <w:highlight w:val="none"/>
              </w:rPr>
            </w:pPr>
            <w:r>
              <w:rPr>
                <w:rFonts w:hint="eastAsia" w:ascii="宋体" w:hAnsi="宋体"/>
                <w:strike/>
                <w:color w:val="auto"/>
                <w:szCs w:val="21"/>
                <w:highlight w:val="none"/>
              </w:rPr>
              <w:t>投标人完成过的类似工程业绩符合公告要求</w:t>
            </w:r>
          </w:p>
        </w:tc>
        <w:tc>
          <w:tcPr>
            <w:tcW w:w="3420" w:type="dxa"/>
            <w:vAlign w:val="center"/>
          </w:tcPr>
          <w:p>
            <w:pPr>
              <w:spacing w:before="120" w:after="60"/>
              <w:jc w:val="center"/>
              <w:rPr>
                <w:rFonts w:ascii="宋体" w:hAnsi="宋体"/>
                <w:strike/>
                <w:color w:val="auto"/>
                <w:szCs w:val="21"/>
                <w:highlight w:val="none"/>
              </w:rPr>
            </w:pPr>
            <w:r>
              <w:rPr>
                <w:rFonts w:hint="eastAsia" w:ascii="宋体" w:hAnsi="宋体"/>
                <w:strike/>
                <w:color w:val="auto"/>
                <w:szCs w:val="21"/>
                <w:highlight w:val="none"/>
              </w:rPr>
              <w:t>业绩在广州市住建行业信用管理平台内的相关上传件（选择性条款）</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9</w:t>
            </w:r>
          </w:p>
        </w:tc>
        <w:tc>
          <w:tcPr>
            <w:tcW w:w="378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投标人提供的投标人声明符合公告要求</w:t>
            </w:r>
          </w:p>
        </w:tc>
        <w:tc>
          <w:tcPr>
            <w:tcW w:w="342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投标人声明</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10</w:t>
            </w:r>
          </w:p>
        </w:tc>
        <w:tc>
          <w:tcPr>
            <w:tcW w:w="378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2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p>
        </w:tc>
        <w:tc>
          <w:tcPr>
            <w:tcW w:w="3780" w:type="dxa"/>
            <w:vAlign w:val="center"/>
          </w:tcPr>
          <w:p>
            <w:pPr>
              <w:spacing w:before="120" w:after="60"/>
              <w:jc w:val="center"/>
              <w:rPr>
                <w:rFonts w:ascii="宋体"/>
                <w:color w:val="auto"/>
                <w:szCs w:val="21"/>
                <w:highlight w:val="none"/>
                <w:u w:val="single"/>
              </w:rPr>
            </w:pPr>
            <w:r>
              <w:rPr>
                <w:rFonts w:hint="eastAsia" w:ascii="宋体" w:hAnsi="宋体"/>
                <w:color w:val="auto"/>
                <w:szCs w:val="21"/>
                <w:highlight w:val="none"/>
              </w:rPr>
              <w:t>关于联合体投标</w:t>
            </w:r>
          </w:p>
        </w:tc>
        <w:tc>
          <w:tcPr>
            <w:tcW w:w="3420" w:type="dxa"/>
            <w:vAlign w:val="center"/>
          </w:tcPr>
          <w:p>
            <w:pPr>
              <w:spacing w:before="120" w:after="60"/>
              <w:jc w:val="center"/>
              <w:rPr>
                <w:rFonts w:ascii="宋体"/>
                <w:color w:val="auto"/>
                <w:szCs w:val="21"/>
                <w:highlight w:val="none"/>
                <w:u w:val="single"/>
              </w:rPr>
            </w:pPr>
            <w:r>
              <w:rPr>
                <w:rFonts w:hint="eastAsia" w:ascii="宋体" w:hAnsi="宋体" w:cs="宋体"/>
                <w:color w:val="auto"/>
                <w:szCs w:val="21"/>
                <w:highlight w:val="none"/>
              </w:rPr>
              <w:t>本项目不接受联合体投标</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p>
        </w:tc>
        <w:tc>
          <w:tcPr>
            <w:tcW w:w="3780" w:type="dxa"/>
            <w:vAlign w:val="center"/>
          </w:tcPr>
          <w:p>
            <w:pPr>
              <w:spacing w:before="120" w:after="60"/>
              <w:jc w:val="center"/>
              <w:rPr>
                <w:rFonts w:ascii="宋体"/>
                <w:color w:val="auto"/>
                <w:szCs w:val="21"/>
                <w:highlight w:val="none"/>
              </w:rPr>
            </w:pPr>
            <w:r>
              <w:rPr>
                <w:rFonts w:hint="eastAsia" w:ascii="宋体"/>
                <w:color w:val="auto"/>
                <w:szCs w:val="21"/>
                <w:highlight w:val="none"/>
              </w:rPr>
              <w:t>资格审查前，投标人须在</w:t>
            </w:r>
            <w:r>
              <w:rPr>
                <w:rFonts w:hint="eastAsia" w:ascii="宋体"/>
                <w:color w:val="auto"/>
                <w:szCs w:val="21"/>
                <w:highlight w:val="none"/>
                <w:u w:val="single"/>
              </w:rPr>
              <w:t>广州交易集团有限公司（广州公共资源交易中心）办理企业信息登记</w:t>
            </w:r>
            <w:r>
              <w:rPr>
                <w:rFonts w:hint="eastAsia" w:ascii="宋体"/>
                <w:color w:val="auto"/>
                <w:szCs w:val="21"/>
                <w:highlight w:val="none"/>
              </w:rPr>
              <w:t>及拟担任本工程项目负责人、专职安全员须是本企业信息登记中的在册人员。</w:t>
            </w:r>
          </w:p>
        </w:tc>
        <w:tc>
          <w:tcPr>
            <w:tcW w:w="3420" w:type="dxa"/>
            <w:vAlign w:val="center"/>
          </w:tcPr>
          <w:p>
            <w:pPr>
              <w:spacing w:before="120" w:after="60"/>
              <w:jc w:val="center"/>
              <w:rPr>
                <w:rFonts w:ascii="宋体"/>
                <w:color w:val="auto"/>
                <w:szCs w:val="21"/>
                <w:highlight w:val="none"/>
              </w:rPr>
            </w:pPr>
            <w:r>
              <w:rPr>
                <w:rFonts w:hint="eastAsia" w:ascii="宋体" w:hAnsi="宋体"/>
                <w:color w:val="auto"/>
                <w:szCs w:val="21"/>
                <w:highlight w:val="none"/>
                <w:u w:val="single"/>
              </w:rPr>
              <w:t>投标人及项目负责人、专职安全员在广州交易集团有限公司（广州公共资源交易中心）企业信息登记的网页截图</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strike/>
                <w:color w:val="auto"/>
                <w:szCs w:val="21"/>
                <w:highlight w:val="none"/>
              </w:rPr>
            </w:pPr>
            <w:r>
              <w:rPr>
                <w:rFonts w:ascii="宋体" w:hAnsi="宋体"/>
                <w:strike/>
                <w:color w:val="auto"/>
                <w:szCs w:val="21"/>
                <w:highlight w:val="none"/>
              </w:rPr>
              <w:t>1</w:t>
            </w:r>
            <w:r>
              <w:rPr>
                <w:rFonts w:hint="eastAsia" w:ascii="宋体" w:hAnsi="宋体"/>
                <w:strike/>
                <w:color w:val="auto"/>
                <w:szCs w:val="21"/>
                <w:highlight w:val="none"/>
              </w:rPr>
              <w:t>3</w:t>
            </w:r>
          </w:p>
        </w:tc>
        <w:tc>
          <w:tcPr>
            <w:tcW w:w="3780" w:type="dxa"/>
            <w:vAlign w:val="center"/>
          </w:tcPr>
          <w:p>
            <w:pPr>
              <w:spacing w:before="120" w:after="60"/>
              <w:jc w:val="center"/>
              <w:rPr>
                <w:rFonts w:ascii="宋体"/>
                <w:strike/>
                <w:color w:val="auto"/>
                <w:szCs w:val="21"/>
                <w:highlight w:val="none"/>
              </w:rPr>
            </w:pPr>
            <w:r>
              <w:rPr>
                <w:rFonts w:hint="eastAsia" w:ascii="宋体" w:hAnsi="宋体"/>
                <w:strike/>
                <w:color w:val="auto"/>
                <w:szCs w:val="21"/>
                <w:highlight w:val="none"/>
              </w:rPr>
              <w:t>投标人具有在广州地区可使用适合本工程的</w:t>
            </w:r>
            <w:r>
              <w:rPr>
                <w:rFonts w:ascii="宋体" w:hAnsi="宋体"/>
                <w:strike/>
                <w:color w:val="auto"/>
                <w:szCs w:val="21"/>
                <w:highlight w:val="none"/>
              </w:rPr>
              <w:t xml:space="preserve"> </w:t>
            </w:r>
            <w:r>
              <w:rPr>
                <w:rFonts w:hint="eastAsia" w:ascii="宋体" w:hAnsi="宋体"/>
                <w:strike/>
                <w:color w:val="auto"/>
                <w:szCs w:val="21"/>
                <w:highlight w:val="none"/>
                <w:u w:val="single"/>
              </w:rPr>
              <w:t>（规格）</w:t>
            </w:r>
            <w:r>
              <w:rPr>
                <w:rFonts w:ascii="宋体" w:hAnsi="宋体"/>
                <w:strike/>
                <w:color w:val="auto"/>
                <w:szCs w:val="21"/>
                <w:highlight w:val="none"/>
                <w:u w:val="single"/>
              </w:rPr>
              <w:t xml:space="preserve"> </w:t>
            </w:r>
            <w:r>
              <w:rPr>
                <w:rFonts w:hint="eastAsia" w:ascii="宋体" w:hAnsi="宋体"/>
                <w:strike/>
                <w:color w:val="auto"/>
                <w:szCs w:val="21"/>
                <w:highlight w:val="none"/>
              </w:rPr>
              <w:t>沥青摊铺机</w:t>
            </w:r>
            <w:r>
              <w:rPr>
                <w:rFonts w:ascii="宋体" w:hAnsi="宋体"/>
                <w:strike/>
                <w:color w:val="auto"/>
                <w:szCs w:val="21"/>
                <w:highlight w:val="none"/>
              </w:rPr>
              <w:t xml:space="preserve">    </w:t>
            </w:r>
            <w:r>
              <w:rPr>
                <w:rFonts w:ascii="宋体" w:hAnsi="宋体"/>
                <w:strike/>
                <w:color w:val="auto"/>
                <w:szCs w:val="21"/>
                <w:highlight w:val="none"/>
                <w:u w:val="single"/>
              </w:rPr>
              <w:t xml:space="preserve">      </w:t>
            </w:r>
            <w:r>
              <w:rPr>
                <w:rFonts w:hint="eastAsia" w:ascii="宋体" w:hAnsi="宋体"/>
                <w:strike/>
                <w:color w:val="auto"/>
                <w:szCs w:val="21"/>
                <w:highlight w:val="none"/>
              </w:rPr>
              <w:t>台（如有）</w:t>
            </w:r>
          </w:p>
        </w:tc>
        <w:tc>
          <w:tcPr>
            <w:tcW w:w="3420" w:type="dxa"/>
            <w:vAlign w:val="center"/>
          </w:tcPr>
          <w:p>
            <w:pPr>
              <w:spacing w:before="120" w:after="60"/>
              <w:jc w:val="center"/>
              <w:rPr>
                <w:rFonts w:ascii="宋体"/>
                <w:strike/>
                <w:color w:val="auto"/>
                <w:szCs w:val="21"/>
                <w:highlight w:val="none"/>
              </w:rPr>
            </w:pPr>
            <w:r>
              <w:rPr>
                <w:rFonts w:hint="eastAsia" w:ascii="宋体" w:hAnsi="宋体"/>
                <w:strike/>
                <w:color w:val="auto"/>
                <w:szCs w:val="21"/>
                <w:highlight w:val="none"/>
              </w:rPr>
              <w:t>沥青摊铺机自有发票或权属证明及设备现场全貌彩照（彩照须能反映其规格型号）</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p>
        </w:tc>
        <w:tc>
          <w:tcPr>
            <w:tcW w:w="3780" w:type="dxa"/>
            <w:vAlign w:val="center"/>
          </w:tcPr>
          <w:p>
            <w:pPr>
              <w:spacing w:before="120" w:after="60"/>
              <w:jc w:val="center"/>
              <w:rPr>
                <w:rFonts w:ascii="宋体"/>
                <w:color w:val="auto"/>
                <w:szCs w:val="21"/>
                <w:highlight w:val="none"/>
              </w:rPr>
            </w:pPr>
            <w:r>
              <w:rPr>
                <w:rFonts w:hint="eastAsia" w:ascii="宋体" w:hAnsi="宋体"/>
                <w:strike/>
                <w:color w:val="auto"/>
                <w:szCs w:val="21"/>
                <w:highlight w:val="none"/>
              </w:rPr>
              <w:t>未在以往工程中因不诚信行为或不充分履约行为被本项目招标人书面拒绝投标的（如有）</w:t>
            </w:r>
          </w:p>
        </w:tc>
        <w:tc>
          <w:tcPr>
            <w:tcW w:w="3420" w:type="dxa"/>
            <w:vAlign w:val="center"/>
          </w:tcPr>
          <w:p>
            <w:pPr>
              <w:spacing w:before="120" w:after="60"/>
              <w:jc w:val="center"/>
              <w:rPr>
                <w:rFonts w:ascii="宋体"/>
                <w:color w:val="auto"/>
                <w:szCs w:val="21"/>
                <w:highlight w:val="none"/>
                <w:u w:val="single"/>
              </w:rPr>
            </w:pPr>
            <w:r>
              <w:rPr>
                <w:rFonts w:hint="eastAsia" w:ascii="宋体" w:hAnsi="宋体"/>
                <w:strike/>
                <w:color w:val="auto"/>
                <w:szCs w:val="21"/>
                <w:highlight w:val="none"/>
              </w:rPr>
              <w:t>具体要求由招标人明确</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378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420" w:type="dxa"/>
            <w:vAlign w:val="center"/>
          </w:tcPr>
          <w:p>
            <w:pPr>
              <w:spacing w:before="120" w:after="60"/>
              <w:jc w:val="center"/>
              <w:rPr>
                <w:rFonts w:ascii="宋体"/>
                <w:color w:val="auto"/>
                <w:szCs w:val="21"/>
                <w:highlight w:val="none"/>
              </w:rPr>
            </w:pPr>
            <w:r>
              <w:rPr>
                <w:rFonts w:hint="eastAsia" w:ascii="宋体" w:hAnsi="宋体"/>
                <w:color w:val="auto"/>
                <w:szCs w:val="21"/>
                <w:highlight w:val="none"/>
              </w:rPr>
              <w:t>投标人声明</w:t>
            </w:r>
          </w:p>
        </w:tc>
        <w:tc>
          <w:tcPr>
            <w:tcW w:w="720" w:type="dxa"/>
            <w:vAlign w:val="center"/>
          </w:tcPr>
          <w:p>
            <w:pPr>
              <w:spacing w:before="120" w:after="6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p>
        </w:tc>
        <w:tc>
          <w:tcPr>
            <w:tcW w:w="3780" w:type="dxa"/>
            <w:vAlign w:val="center"/>
          </w:tcPr>
          <w:p>
            <w:pPr>
              <w:spacing w:before="120" w:after="60"/>
              <w:jc w:val="center"/>
              <w:rPr>
                <w:rFonts w:ascii="宋体"/>
                <w:color w:val="auto"/>
                <w:szCs w:val="21"/>
                <w:highlight w:val="none"/>
              </w:rPr>
            </w:pPr>
            <w:r>
              <w:rPr>
                <w:rFonts w:hint="eastAsia" w:ascii="宋体" w:hAnsi="宋体" w:cs="宋体"/>
                <w:color w:val="auto"/>
                <w:szCs w:val="21"/>
                <w:highlight w:val="none"/>
              </w:rPr>
              <w:t>投标人未被列入拖欠农民工工资失信联合惩戒对象名单</w:t>
            </w:r>
          </w:p>
        </w:tc>
        <w:tc>
          <w:tcPr>
            <w:tcW w:w="3420" w:type="dxa"/>
            <w:vAlign w:val="center"/>
          </w:tcPr>
          <w:p>
            <w:pPr>
              <w:spacing w:before="120" w:after="60"/>
              <w:jc w:val="center"/>
              <w:rPr>
                <w:rFonts w:ascii="宋体"/>
                <w:color w:val="auto"/>
                <w:szCs w:val="21"/>
                <w:highlight w:val="none"/>
              </w:rPr>
            </w:pPr>
            <w:r>
              <w:rPr>
                <w:rFonts w:hint="eastAsia" w:ascii="宋体" w:hAnsi="宋体" w:cs="宋体"/>
                <w:color w:val="auto"/>
                <w:szCs w:val="21"/>
                <w:highlight w:val="none"/>
              </w:rPr>
              <w:t>投标人无需提供资料，按交易系统比对的结果进行评审</w:t>
            </w:r>
          </w:p>
        </w:tc>
        <w:tc>
          <w:tcPr>
            <w:tcW w:w="720" w:type="dxa"/>
            <w:vAlign w:val="center"/>
          </w:tcPr>
          <w:p>
            <w:pPr>
              <w:spacing w:before="120" w:after="60"/>
              <w:jc w:val="center"/>
              <w:rPr>
                <w:rFonts w:ascii="宋体"/>
                <w:color w:val="auto"/>
                <w:szCs w:val="21"/>
                <w:highlight w:val="none"/>
              </w:rPr>
            </w:pPr>
          </w:p>
        </w:tc>
      </w:tr>
    </w:tbl>
    <w:p>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pPr>
        <w:spacing w:line="48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、每一项目符合的打“通过”，不符合的打“不通过”；</w:t>
      </w:r>
      <w:r>
        <w:rPr>
          <w:rFonts w:ascii="宋体" w:hAnsi="宋体"/>
          <w:color w:val="auto"/>
          <w:szCs w:val="21"/>
          <w:highlight w:val="none"/>
        </w:rPr>
        <w:t xml:space="preserve"> </w:t>
      </w:r>
    </w:p>
    <w:p>
      <w:pPr>
        <w:spacing w:line="480" w:lineRule="auto"/>
        <w:ind w:firstLine="470" w:firstLineChars="224"/>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、若评委意见不一致时，则按少数服从多数的原则，作出评审结论。全部审查项目均为有效的，结论为“通过”，否则为“不通过”。</w:t>
      </w:r>
    </w:p>
    <w:p>
      <w:pPr>
        <w:spacing w:line="480" w:lineRule="auto"/>
        <w:ind w:firstLine="470" w:firstLineChars="224"/>
        <w:rPr>
          <w:color w:val="auto"/>
          <w:highlight w:val="none"/>
        </w:rPr>
        <w:sectPr>
          <w:footerReference r:id="rId3" w:type="default"/>
          <w:footerReference r:id="rId4" w:type="even"/>
          <w:endnotePr>
            <w:numFmt w:val="decimal"/>
          </w:endnotePr>
          <w:pgSz w:w="11906" w:h="16838"/>
          <w:pgMar w:top="1134" w:right="1418" w:bottom="1135" w:left="1418" w:header="851" w:footer="907" w:gutter="0"/>
          <w:pgNumType w:start="0"/>
          <w:cols w:space="720" w:num="1"/>
          <w:titlePg/>
          <w:docGrid w:type="linesAndChars" w:linePitch="312" w:charSpace="0"/>
        </w:sectPr>
      </w:pPr>
      <w:r>
        <w:rPr>
          <w:rFonts w:hint="eastAsia" w:ascii="宋体" w:hAnsi="宋体"/>
          <w:color w:val="auto"/>
          <w:szCs w:val="21"/>
          <w:highlight w:val="none"/>
        </w:rPr>
        <w:t>3.</w:t>
      </w:r>
      <w:r>
        <w:rPr>
          <w:rFonts w:hint="eastAsia" w:ascii="宋体" w:hAnsi="宋体"/>
          <w:color w:val="auto"/>
          <w:szCs w:val="21"/>
          <w:highlight w:val="none"/>
          <w:u w:val="single"/>
        </w:rPr>
        <w:t>不</w:t>
      </w:r>
      <w:r>
        <w:rPr>
          <w:rFonts w:hint="eastAsia"/>
          <w:color w:val="auto"/>
          <w:highlight w:val="none"/>
          <w:u w:val="single"/>
        </w:rPr>
        <w:t>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color w:val="auto"/>
          <w:szCs w:val="21"/>
          <w:highlight w:val="none"/>
        </w:rPr>
      </w:pPr>
      <w:r>
        <w:rPr>
          <w:rFonts w:hint="eastAsia"/>
          <w:color w:val="auto"/>
          <w:szCs w:val="21"/>
          <w:highlight w:val="none"/>
        </w:rPr>
        <w:t>附表二</w:t>
      </w:r>
    </w:p>
    <w:p>
      <w:pPr>
        <w:jc w:val="center"/>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38"/>
        <w:tblW w:w="14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7588"/>
        <w:gridCol w:w="1605"/>
        <w:gridCol w:w="1740"/>
        <w:gridCol w:w="175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88" w:type="dxa"/>
            <w:vAlign w:val="center"/>
          </w:tcPr>
          <w:p>
            <w:pPr>
              <w:adjustRightInd w:val="0"/>
              <w:rPr>
                <w:rFonts w:ascii="宋体"/>
                <w:color w:val="auto"/>
                <w:szCs w:val="21"/>
                <w:highlight w:val="none"/>
              </w:rPr>
            </w:pPr>
            <w:r>
              <w:rPr>
                <w:rFonts w:hint="eastAsia" w:ascii="宋体" w:hAnsi="宋体"/>
                <w:color w:val="auto"/>
                <w:szCs w:val="21"/>
                <w:highlight w:val="none"/>
              </w:rPr>
              <w:t>序号</w:t>
            </w:r>
          </w:p>
        </w:tc>
        <w:tc>
          <w:tcPr>
            <w:tcW w:w="7588" w:type="dxa"/>
            <w:tcBorders>
              <w:tl2br w:val="single" w:color="auto" w:sz="4" w:space="0"/>
            </w:tcBorders>
          </w:tcPr>
          <w:p>
            <w:pPr>
              <w:adjustRightInd w:val="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投标人</w:t>
            </w:r>
          </w:p>
          <w:p>
            <w:pPr>
              <w:adjustRightInd w:val="0"/>
              <w:rPr>
                <w:rFonts w:ascii="宋体"/>
                <w:color w:val="auto"/>
                <w:szCs w:val="21"/>
                <w:highlight w:val="none"/>
              </w:rPr>
            </w:pPr>
            <w:r>
              <w:rPr>
                <w:rFonts w:hint="eastAsia" w:ascii="宋体" w:hAnsi="宋体"/>
                <w:color w:val="auto"/>
                <w:szCs w:val="21"/>
                <w:highlight w:val="none"/>
              </w:rPr>
              <w:t>评审内容</w:t>
            </w:r>
          </w:p>
        </w:tc>
        <w:tc>
          <w:tcPr>
            <w:tcW w:w="1605" w:type="dxa"/>
          </w:tcPr>
          <w:p>
            <w:pPr>
              <w:adjustRightInd w:val="0"/>
              <w:rPr>
                <w:rFonts w:ascii="宋体"/>
                <w:color w:val="auto"/>
                <w:szCs w:val="21"/>
                <w:highlight w:val="none"/>
              </w:rPr>
            </w:pPr>
          </w:p>
        </w:tc>
        <w:tc>
          <w:tcPr>
            <w:tcW w:w="1740" w:type="dxa"/>
          </w:tcPr>
          <w:p>
            <w:pPr>
              <w:adjustRightInd w:val="0"/>
              <w:rPr>
                <w:rFonts w:ascii="宋体"/>
                <w:color w:val="auto"/>
                <w:szCs w:val="21"/>
                <w:highlight w:val="none"/>
              </w:rPr>
            </w:pPr>
          </w:p>
        </w:tc>
        <w:tc>
          <w:tcPr>
            <w:tcW w:w="1755" w:type="dxa"/>
          </w:tcPr>
          <w:p>
            <w:pPr>
              <w:adjustRightInd w:val="0"/>
              <w:rPr>
                <w:rFonts w:ascii="宋体"/>
                <w:color w:val="auto"/>
                <w:szCs w:val="21"/>
                <w:highlight w:val="none"/>
              </w:rPr>
            </w:pPr>
          </w:p>
        </w:tc>
        <w:tc>
          <w:tcPr>
            <w:tcW w:w="1590" w:type="dxa"/>
          </w:tcPr>
          <w:p>
            <w:pPr>
              <w:adjustRightInd w:val="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vAlign w:val="center"/>
          </w:tcPr>
          <w:p>
            <w:pPr>
              <w:adjustRightInd w:val="0"/>
              <w:rPr>
                <w:rFonts w:ascii="宋体" w:hAnsi="宋体"/>
                <w:color w:val="auto"/>
                <w:szCs w:val="21"/>
                <w:highlight w:val="none"/>
              </w:rPr>
            </w:pPr>
            <w:r>
              <w:rPr>
                <w:rFonts w:ascii="宋体" w:hAnsi="宋体"/>
                <w:color w:val="auto"/>
                <w:szCs w:val="21"/>
                <w:highlight w:val="none"/>
              </w:rPr>
              <w:t>1</w:t>
            </w:r>
          </w:p>
        </w:tc>
        <w:tc>
          <w:tcPr>
            <w:tcW w:w="7588" w:type="dxa"/>
            <w:vAlign w:val="center"/>
          </w:tcPr>
          <w:p>
            <w:pPr>
              <w:adjustRightInd w:val="0"/>
              <w:rPr>
                <w:rFonts w:ascii="宋体"/>
                <w:color w:val="auto"/>
                <w:szCs w:val="21"/>
                <w:highlight w:val="none"/>
              </w:rPr>
            </w:pPr>
            <w:r>
              <w:rPr>
                <w:rFonts w:hint="eastAsia" w:ascii="宋体" w:hAnsi="宋体"/>
                <w:color w:val="auto"/>
                <w:szCs w:val="21"/>
                <w:highlight w:val="none"/>
              </w:rPr>
              <w:t>不能满足完成投标项目工期的；</w:t>
            </w:r>
          </w:p>
        </w:tc>
        <w:tc>
          <w:tcPr>
            <w:tcW w:w="1605" w:type="dxa"/>
          </w:tcPr>
          <w:p>
            <w:pPr>
              <w:adjustRightInd w:val="0"/>
              <w:rPr>
                <w:rFonts w:ascii="宋体"/>
                <w:color w:val="auto"/>
                <w:szCs w:val="21"/>
                <w:highlight w:val="none"/>
              </w:rPr>
            </w:pPr>
          </w:p>
        </w:tc>
        <w:tc>
          <w:tcPr>
            <w:tcW w:w="1740" w:type="dxa"/>
          </w:tcPr>
          <w:p>
            <w:pPr>
              <w:adjustRightInd w:val="0"/>
              <w:rPr>
                <w:rFonts w:ascii="宋体"/>
                <w:color w:val="auto"/>
                <w:szCs w:val="21"/>
                <w:highlight w:val="none"/>
              </w:rPr>
            </w:pPr>
          </w:p>
        </w:tc>
        <w:tc>
          <w:tcPr>
            <w:tcW w:w="1755" w:type="dxa"/>
          </w:tcPr>
          <w:p>
            <w:pPr>
              <w:adjustRightInd w:val="0"/>
              <w:rPr>
                <w:rFonts w:ascii="宋体"/>
                <w:color w:val="auto"/>
                <w:szCs w:val="21"/>
                <w:highlight w:val="none"/>
              </w:rPr>
            </w:pPr>
          </w:p>
        </w:tc>
        <w:tc>
          <w:tcPr>
            <w:tcW w:w="1590" w:type="dxa"/>
          </w:tcPr>
          <w:p>
            <w:pPr>
              <w:adjustRightInd w:val="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vAlign w:val="center"/>
          </w:tcPr>
          <w:p>
            <w:pPr>
              <w:adjustRightInd w:val="0"/>
              <w:rPr>
                <w:rFonts w:ascii="宋体" w:hAnsi="宋体"/>
                <w:color w:val="auto"/>
                <w:szCs w:val="21"/>
                <w:highlight w:val="none"/>
              </w:rPr>
            </w:pPr>
            <w:r>
              <w:rPr>
                <w:rFonts w:ascii="宋体" w:hAnsi="宋体"/>
                <w:color w:val="auto"/>
                <w:szCs w:val="21"/>
                <w:highlight w:val="none"/>
              </w:rPr>
              <w:t>2</w:t>
            </w:r>
          </w:p>
        </w:tc>
        <w:tc>
          <w:tcPr>
            <w:tcW w:w="7588" w:type="dxa"/>
            <w:vAlign w:val="center"/>
          </w:tcPr>
          <w:p>
            <w:pPr>
              <w:adjustRightInd w:val="0"/>
              <w:rPr>
                <w:rFonts w:ascii="宋体"/>
                <w:color w:val="auto"/>
                <w:szCs w:val="21"/>
                <w:highlight w:val="none"/>
              </w:rPr>
            </w:pPr>
            <w:r>
              <w:rPr>
                <w:rFonts w:hint="eastAsia" w:ascii="宋体" w:hAnsi="宋体" w:cs="宋体"/>
                <w:color w:val="auto"/>
                <w:szCs w:val="21"/>
                <w:highlight w:val="none"/>
                <w:u w:val="single"/>
              </w:rPr>
              <w:t>不符合招标文件要求的质量标准；</w:t>
            </w:r>
          </w:p>
        </w:tc>
        <w:tc>
          <w:tcPr>
            <w:tcW w:w="1605" w:type="dxa"/>
          </w:tcPr>
          <w:p>
            <w:pPr>
              <w:adjustRightInd w:val="0"/>
              <w:rPr>
                <w:rFonts w:ascii="宋体"/>
                <w:color w:val="auto"/>
                <w:szCs w:val="21"/>
                <w:highlight w:val="none"/>
              </w:rPr>
            </w:pPr>
          </w:p>
        </w:tc>
        <w:tc>
          <w:tcPr>
            <w:tcW w:w="1740" w:type="dxa"/>
          </w:tcPr>
          <w:p>
            <w:pPr>
              <w:adjustRightInd w:val="0"/>
              <w:rPr>
                <w:rFonts w:ascii="宋体"/>
                <w:color w:val="auto"/>
                <w:szCs w:val="21"/>
                <w:highlight w:val="none"/>
              </w:rPr>
            </w:pPr>
          </w:p>
        </w:tc>
        <w:tc>
          <w:tcPr>
            <w:tcW w:w="1755" w:type="dxa"/>
          </w:tcPr>
          <w:p>
            <w:pPr>
              <w:adjustRightInd w:val="0"/>
              <w:rPr>
                <w:rFonts w:ascii="宋体"/>
                <w:color w:val="auto"/>
                <w:szCs w:val="21"/>
                <w:highlight w:val="none"/>
              </w:rPr>
            </w:pPr>
          </w:p>
        </w:tc>
        <w:tc>
          <w:tcPr>
            <w:tcW w:w="1590" w:type="dxa"/>
          </w:tcPr>
          <w:p>
            <w:pPr>
              <w:adjustRightInd w:val="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vAlign w:val="center"/>
          </w:tcPr>
          <w:p>
            <w:pPr>
              <w:adjustRightInd w:val="0"/>
              <w:rPr>
                <w:rFonts w:ascii="宋体" w:hAnsi="宋体"/>
                <w:color w:val="auto"/>
                <w:szCs w:val="21"/>
                <w:highlight w:val="none"/>
              </w:rPr>
            </w:pPr>
            <w:r>
              <w:rPr>
                <w:rFonts w:hint="eastAsia" w:ascii="宋体" w:hAnsi="宋体"/>
                <w:color w:val="auto"/>
                <w:szCs w:val="21"/>
                <w:highlight w:val="none"/>
              </w:rPr>
              <w:t>3</w:t>
            </w:r>
          </w:p>
        </w:tc>
        <w:tc>
          <w:tcPr>
            <w:tcW w:w="7588" w:type="dxa"/>
            <w:vAlign w:val="center"/>
          </w:tcPr>
          <w:p>
            <w:pPr>
              <w:adjustRightInd w:val="0"/>
              <w:rPr>
                <w:rFonts w:asci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05" w:type="dxa"/>
          </w:tcPr>
          <w:p>
            <w:pPr>
              <w:adjustRightInd w:val="0"/>
              <w:rPr>
                <w:rFonts w:ascii="宋体"/>
                <w:color w:val="auto"/>
                <w:szCs w:val="21"/>
                <w:highlight w:val="none"/>
              </w:rPr>
            </w:pPr>
          </w:p>
        </w:tc>
        <w:tc>
          <w:tcPr>
            <w:tcW w:w="1740" w:type="dxa"/>
          </w:tcPr>
          <w:p>
            <w:pPr>
              <w:adjustRightInd w:val="0"/>
              <w:rPr>
                <w:rFonts w:ascii="宋体"/>
                <w:color w:val="auto"/>
                <w:szCs w:val="21"/>
                <w:highlight w:val="none"/>
              </w:rPr>
            </w:pPr>
          </w:p>
        </w:tc>
        <w:tc>
          <w:tcPr>
            <w:tcW w:w="1755" w:type="dxa"/>
          </w:tcPr>
          <w:p>
            <w:pPr>
              <w:adjustRightInd w:val="0"/>
              <w:rPr>
                <w:rFonts w:ascii="宋体"/>
                <w:color w:val="auto"/>
                <w:szCs w:val="21"/>
                <w:highlight w:val="none"/>
              </w:rPr>
            </w:pPr>
          </w:p>
        </w:tc>
        <w:tc>
          <w:tcPr>
            <w:tcW w:w="1590" w:type="dxa"/>
          </w:tcPr>
          <w:p>
            <w:pPr>
              <w:adjustRightInd w:val="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vAlign w:val="center"/>
          </w:tcPr>
          <w:p>
            <w:pPr>
              <w:adjustRightInd w:val="0"/>
              <w:rPr>
                <w:rFonts w:ascii="宋体" w:hAnsi="宋体"/>
                <w:color w:val="auto"/>
                <w:szCs w:val="21"/>
                <w:highlight w:val="none"/>
              </w:rPr>
            </w:pPr>
            <w:r>
              <w:rPr>
                <w:rFonts w:hint="eastAsia" w:ascii="宋体" w:hAnsi="宋体"/>
                <w:color w:val="auto"/>
                <w:szCs w:val="21"/>
                <w:highlight w:val="none"/>
              </w:rPr>
              <w:t>4</w:t>
            </w:r>
          </w:p>
        </w:tc>
        <w:tc>
          <w:tcPr>
            <w:tcW w:w="7588" w:type="dxa"/>
            <w:vAlign w:val="center"/>
          </w:tcPr>
          <w:p>
            <w:pPr>
              <w:adjustRightInd w:val="0"/>
              <w:rPr>
                <w:rFonts w:asci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605" w:type="dxa"/>
          </w:tcPr>
          <w:p>
            <w:pPr>
              <w:adjustRightInd w:val="0"/>
              <w:rPr>
                <w:rFonts w:ascii="宋体"/>
                <w:color w:val="auto"/>
                <w:szCs w:val="21"/>
                <w:highlight w:val="none"/>
              </w:rPr>
            </w:pPr>
          </w:p>
        </w:tc>
        <w:tc>
          <w:tcPr>
            <w:tcW w:w="1740" w:type="dxa"/>
          </w:tcPr>
          <w:p>
            <w:pPr>
              <w:adjustRightInd w:val="0"/>
              <w:rPr>
                <w:rFonts w:ascii="宋体"/>
                <w:color w:val="auto"/>
                <w:szCs w:val="21"/>
                <w:highlight w:val="none"/>
              </w:rPr>
            </w:pPr>
          </w:p>
        </w:tc>
        <w:tc>
          <w:tcPr>
            <w:tcW w:w="1755" w:type="dxa"/>
          </w:tcPr>
          <w:p>
            <w:pPr>
              <w:adjustRightInd w:val="0"/>
              <w:rPr>
                <w:rFonts w:ascii="宋体"/>
                <w:color w:val="auto"/>
                <w:szCs w:val="21"/>
                <w:highlight w:val="none"/>
              </w:rPr>
            </w:pPr>
          </w:p>
        </w:tc>
        <w:tc>
          <w:tcPr>
            <w:tcW w:w="1590" w:type="dxa"/>
          </w:tcPr>
          <w:p>
            <w:pPr>
              <w:adjustRightInd w:val="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vAlign w:val="center"/>
          </w:tcPr>
          <w:p>
            <w:pPr>
              <w:adjustRightInd w:val="0"/>
              <w:rPr>
                <w:rFonts w:ascii="宋体" w:hAnsi="宋体"/>
                <w:color w:val="auto"/>
                <w:szCs w:val="21"/>
                <w:highlight w:val="none"/>
              </w:rPr>
            </w:pPr>
            <w:r>
              <w:rPr>
                <w:rFonts w:hint="eastAsia" w:ascii="宋体" w:hAnsi="宋体"/>
                <w:color w:val="auto"/>
                <w:szCs w:val="21"/>
                <w:highlight w:val="none"/>
              </w:rPr>
              <w:t>5</w:t>
            </w:r>
          </w:p>
        </w:tc>
        <w:tc>
          <w:tcPr>
            <w:tcW w:w="7588" w:type="dxa"/>
            <w:vAlign w:val="center"/>
          </w:tcPr>
          <w:p>
            <w:pPr>
              <w:adjustRightInd w:val="0"/>
              <w:rPr>
                <w:rFonts w:ascii="宋体"/>
                <w:color w:val="auto"/>
                <w:szCs w:val="21"/>
                <w:highlight w:val="none"/>
              </w:rPr>
            </w:pPr>
            <w:r>
              <w:rPr>
                <w:rFonts w:hint="eastAsia" w:ascii="宋体" w:hAnsi="宋体"/>
                <w:color w:val="auto"/>
                <w:szCs w:val="21"/>
                <w:highlight w:val="none"/>
              </w:rPr>
              <w:t>投标人之间存在《广东省实施</w:t>
            </w:r>
            <w:r>
              <w:rPr>
                <w:rFonts w:ascii="宋体" w:hAnsi="宋体"/>
                <w:color w:val="auto"/>
                <w:szCs w:val="21"/>
                <w:highlight w:val="none"/>
              </w:rPr>
              <w:t>&lt;</w:t>
            </w:r>
            <w:r>
              <w:rPr>
                <w:rFonts w:hint="eastAsia" w:ascii="宋体" w:hAnsi="宋体"/>
                <w:color w:val="auto"/>
                <w:szCs w:val="21"/>
                <w:highlight w:val="none"/>
              </w:rPr>
              <w:t>中华人民共和国招标投标法</w:t>
            </w:r>
            <w:r>
              <w:rPr>
                <w:rFonts w:ascii="宋体" w:hAnsi="宋体"/>
                <w:color w:val="auto"/>
                <w:szCs w:val="21"/>
                <w:highlight w:val="none"/>
              </w:rPr>
              <w:t>&gt;</w:t>
            </w:r>
            <w:r>
              <w:rPr>
                <w:rFonts w:hint="eastAsia" w:ascii="宋体" w:hAnsi="宋体"/>
                <w:color w:val="auto"/>
                <w:szCs w:val="21"/>
                <w:highlight w:val="none"/>
              </w:rPr>
              <w:t>》第十六条所禁止的情形的；</w:t>
            </w:r>
          </w:p>
        </w:tc>
        <w:tc>
          <w:tcPr>
            <w:tcW w:w="1605" w:type="dxa"/>
          </w:tcPr>
          <w:p>
            <w:pPr>
              <w:adjustRightInd w:val="0"/>
              <w:rPr>
                <w:rFonts w:ascii="宋体"/>
                <w:color w:val="auto"/>
                <w:szCs w:val="21"/>
                <w:highlight w:val="none"/>
                <w:shd w:val="pct10" w:color="auto" w:fill="FFFFFF"/>
              </w:rPr>
            </w:pPr>
          </w:p>
        </w:tc>
        <w:tc>
          <w:tcPr>
            <w:tcW w:w="1740" w:type="dxa"/>
          </w:tcPr>
          <w:p>
            <w:pPr>
              <w:adjustRightInd w:val="0"/>
              <w:rPr>
                <w:rFonts w:ascii="宋体"/>
                <w:color w:val="auto"/>
                <w:szCs w:val="21"/>
                <w:highlight w:val="none"/>
                <w:shd w:val="pct10" w:color="auto" w:fill="FFFFFF"/>
              </w:rPr>
            </w:pPr>
          </w:p>
        </w:tc>
        <w:tc>
          <w:tcPr>
            <w:tcW w:w="1755" w:type="dxa"/>
          </w:tcPr>
          <w:p>
            <w:pPr>
              <w:adjustRightInd w:val="0"/>
              <w:rPr>
                <w:rFonts w:ascii="宋体"/>
                <w:color w:val="auto"/>
                <w:szCs w:val="21"/>
                <w:highlight w:val="none"/>
                <w:shd w:val="pct10" w:color="auto" w:fill="FFFFFF"/>
              </w:rPr>
            </w:pPr>
          </w:p>
        </w:tc>
        <w:tc>
          <w:tcPr>
            <w:tcW w:w="1590" w:type="dxa"/>
          </w:tcPr>
          <w:p>
            <w:pPr>
              <w:adjustRightInd w:val="0"/>
              <w:rPr>
                <w:rFonts w:asci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vAlign w:val="center"/>
          </w:tcPr>
          <w:p>
            <w:pPr>
              <w:adjustRightInd w:val="0"/>
              <w:rPr>
                <w:rFonts w:ascii="宋体" w:hAnsi="宋体"/>
                <w:color w:val="auto"/>
                <w:szCs w:val="21"/>
                <w:highlight w:val="none"/>
              </w:rPr>
            </w:pPr>
            <w:r>
              <w:rPr>
                <w:rFonts w:hint="eastAsia" w:ascii="宋体" w:hAnsi="宋体"/>
                <w:color w:val="auto"/>
                <w:szCs w:val="21"/>
                <w:highlight w:val="none"/>
              </w:rPr>
              <w:t>6</w:t>
            </w:r>
          </w:p>
        </w:tc>
        <w:tc>
          <w:tcPr>
            <w:tcW w:w="7588" w:type="dxa"/>
            <w:vAlign w:val="center"/>
          </w:tcPr>
          <w:p>
            <w:pPr>
              <w:adjustRightInd w:val="0"/>
              <w:rPr>
                <w:rFonts w:ascii="宋体"/>
                <w:color w:val="auto"/>
                <w:szCs w:val="21"/>
                <w:highlight w:val="none"/>
              </w:rPr>
            </w:pPr>
            <w:r>
              <w:rPr>
                <w:rFonts w:hint="eastAsia" w:ascii="宋体" w:hAnsi="宋体"/>
                <w:color w:val="auto"/>
                <w:szCs w:val="21"/>
                <w:highlight w:val="none"/>
              </w:rPr>
              <w:t>无《参与编制技术标投标文件人员名单》的；</w:t>
            </w:r>
          </w:p>
        </w:tc>
        <w:tc>
          <w:tcPr>
            <w:tcW w:w="1605" w:type="dxa"/>
          </w:tcPr>
          <w:p>
            <w:pPr>
              <w:adjustRightInd w:val="0"/>
              <w:rPr>
                <w:rFonts w:ascii="宋体"/>
                <w:color w:val="auto"/>
                <w:szCs w:val="21"/>
                <w:highlight w:val="none"/>
              </w:rPr>
            </w:pPr>
          </w:p>
        </w:tc>
        <w:tc>
          <w:tcPr>
            <w:tcW w:w="1740" w:type="dxa"/>
          </w:tcPr>
          <w:p>
            <w:pPr>
              <w:adjustRightInd w:val="0"/>
              <w:rPr>
                <w:rFonts w:ascii="宋体"/>
                <w:color w:val="auto"/>
                <w:szCs w:val="21"/>
                <w:highlight w:val="none"/>
              </w:rPr>
            </w:pPr>
          </w:p>
        </w:tc>
        <w:tc>
          <w:tcPr>
            <w:tcW w:w="1755" w:type="dxa"/>
          </w:tcPr>
          <w:p>
            <w:pPr>
              <w:adjustRightInd w:val="0"/>
              <w:rPr>
                <w:rFonts w:ascii="宋体"/>
                <w:color w:val="auto"/>
                <w:szCs w:val="21"/>
                <w:highlight w:val="none"/>
              </w:rPr>
            </w:pPr>
          </w:p>
        </w:tc>
        <w:tc>
          <w:tcPr>
            <w:tcW w:w="1590" w:type="dxa"/>
          </w:tcPr>
          <w:p>
            <w:pPr>
              <w:adjustRightInd w:val="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vAlign w:val="center"/>
          </w:tcPr>
          <w:p>
            <w:pPr>
              <w:adjustRightInd w:val="0"/>
              <w:rPr>
                <w:rFonts w:ascii="宋体" w:hAnsi="宋体"/>
                <w:color w:val="auto"/>
                <w:szCs w:val="21"/>
                <w:highlight w:val="none"/>
              </w:rPr>
            </w:pPr>
            <w:r>
              <w:rPr>
                <w:rFonts w:hint="eastAsia" w:ascii="宋体" w:hAnsi="宋体"/>
                <w:color w:val="auto"/>
                <w:szCs w:val="21"/>
                <w:highlight w:val="none"/>
              </w:rPr>
              <w:t>7</w:t>
            </w:r>
          </w:p>
        </w:tc>
        <w:tc>
          <w:tcPr>
            <w:tcW w:w="7588" w:type="dxa"/>
            <w:vAlign w:val="center"/>
          </w:tcPr>
          <w:p>
            <w:pPr>
              <w:adjustRightInd w:val="0"/>
              <w:rPr>
                <w:rFonts w:ascii="宋体"/>
                <w:color w:val="auto"/>
                <w:szCs w:val="21"/>
                <w:highlight w:val="none"/>
              </w:rPr>
            </w:pPr>
            <w:r>
              <w:rPr>
                <w:rFonts w:hint="eastAsia" w:ascii="宋体" w:hAnsi="宋体"/>
                <w:color w:val="auto"/>
                <w:szCs w:val="21"/>
                <w:highlight w:val="none"/>
              </w:rPr>
              <w:t>投标人未按要求提交投标保证金的；</w:t>
            </w:r>
          </w:p>
        </w:tc>
        <w:tc>
          <w:tcPr>
            <w:tcW w:w="1605" w:type="dxa"/>
          </w:tcPr>
          <w:p>
            <w:pPr>
              <w:adjustRightInd w:val="0"/>
              <w:rPr>
                <w:rFonts w:ascii="宋体"/>
                <w:color w:val="auto"/>
                <w:szCs w:val="21"/>
                <w:highlight w:val="none"/>
              </w:rPr>
            </w:pPr>
          </w:p>
        </w:tc>
        <w:tc>
          <w:tcPr>
            <w:tcW w:w="1740" w:type="dxa"/>
          </w:tcPr>
          <w:p>
            <w:pPr>
              <w:adjustRightInd w:val="0"/>
              <w:rPr>
                <w:rFonts w:ascii="宋体"/>
                <w:color w:val="auto"/>
                <w:szCs w:val="21"/>
                <w:highlight w:val="none"/>
              </w:rPr>
            </w:pPr>
          </w:p>
        </w:tc>
        <w:tc>
          <w:tcPr>
            <w:tcW w:w="1755" w:type="dxa"/>
          </w:tcPr>
          <w:p>
            <w:pPr>
              <w:adjustRightInd w:val="0"/>
              <w:rPr>
                <w:rFonts w:ascii="宋体"/>
                <w:color w:val="auto"/>
                <w:szCs w:val="21"/>
                <w:highlight w:val="none"/>
              </w:rPr>
            </w:pPr>
          </w:p>
        </w:tc>
        <w:tc>
          <w:tcPr>
            <w:tcW w:w="1590" w:type="dxa"/>
          </w:tcPr>
          <w:p>
            <w:pPr>
              <w:adjustRightInd w:val="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vAlign w:val="center"/>
          </w:tcPr>
          <w:p>
            <w:pPr>
              <w:adjustRightInd w:val="0"/>
              <w:rPr>
                <w:rFonts w:ascii="宋体" w:hAnsi="宋体"/>
                <w:color w:val="auto"/>
                <w:szCs w:val="21"/>
                <w:highlight w:val="none"/>
              </w:rPr>
            </w:pPr>
            <w:r>
              <w:rPr>
                <w:rFonts w:hint="eastAsia" w:ascii="宋体" w:hAnsi="宋体"/>
                <w:color w:val="auto"/>
                <w:szCs w:val="21"/>
                <w:highlight w:val="none"/>
              </w:rPr>
              <w:t>8</w:t>
            </w:r>
          </w:p>
        </w:tc>
        <w:tc>
          <w:tcPr>
            <w:tcW w:w="7588" w:type="dxa"/>
            <w:vAlign w:val="center"/>
          </w:tcPr>
          <w:p>
            <w:pPr>
              <w:adjustRightInd w:val="0"/>
              <w:rPr>
                <w:rFonts w:ascii="宋体"/>
                <w:color w:val="auto"/>
                <w:szCs w:val="21"/>
                <w:highlight w:val="none"/>
              </w:rPr>
            </w:pPr>
            <w:r>
              <w:rPr>
                <w:rFonts w:hint="eastAsia" w:ascii="宋体" w:hAnsi="宋体"/>
                <w:color w:val="auto"/>
                <w:szCs w:val="21"/>
                <w:highlight w:val="none"/>
              </w:rPr>
              <w:t>投标人与本项目其他投标人加密打包投标文件电脑机器特征码一致的</w:t>
            </w:r>
            <w:r>
              <w:rPr>
                <w:rFonts w:ascii="宋体" w:hAnsi="宋体"/>
                <w:color w:val="auto"/>
                <w:szCs w:val="21"/>
                <w:highlight w:val="none"/>
              </w:rPr>
              <w:t>(</w:t>
            </w:r>
            <w:r>
              <w:rPr>
                <w:rFonts w:hint="eastAsia" w:ascii="宋体" w:hAnsi="宋体"/>
                <w:color w:val="auto"/>
                <w:szCs w:val="21"/>
                <w:highlight w:val="none"/>
              </w:rPr>
              <w:t>以</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ascii="宋体" w:hAnsi="宋体"/>
                <w:color w:val="auto"/>
                <w:szCs w:val="21"/>
                <w:highlight w:val="none"/>
              </w:rPr>
              <w:t>)</w:t>
            </w:r>
            <w:r>
              <w:rPr>
                <w:rFonts w:hint="eastAsia" w:ascii="宋体" w:hAnsi="宋体"/>
                <w:color w:val="auto"/>
                <w:szCs w:val="21"/>
                <w:highlight w:val="none"/>
              </w:rPr>
              <w:t>。</w:t>
            </w:r>
          </w:p>
        </w:tc>
        <w:tc>
          <w:tcPr>
            <w:tcW w:w="1605" w:type="dxa"/>
          </w:tcPr>
          <w:p>
            <w:pPr>
              <w:adjustRightInd w:val="0"/>
              <w:rPr>
                <w:rFonts w:ascii="宋体"/>
                <w:color w:val="auto"/>
                <w:szCs w:val="21"/>
                <w:highlight w:val="none"/>
              </w:rPr>
            </w:pPr>
          </w:p>
        </w:tc>
        <w:tc>
          <w:tcPr>
            <w:tcW w:w="1740" w:type="dxa"/>
          </w:tcPr>
          <w:p>
            <w:pPr>
              <w:adjustRightInd w:val="0"/>
              <w:rPr>
                <w:rFonts w:ascii="宋体"/>
                <w:color w:val="auto"/>
                <w:szCs w:val="21"/>
                <w:highlight w:val="none"/>
              </w:rPr>
            </w:pPr>
          </w:p>
        </w:tc>
        <w:tc>
          <w:tcPr>
            <w:tcW w:w="1755" w:type="dxa"/>
          </w:tcPr>
          <w:p>
            <w:pPr>
              <w:adjustRightInd w:val="0"/>
              <w:rPr>
                <w:rFonts w:ascii="宋体"/>
                <w:color w:val="auto"/>
                <w:szCs w:val="21"/>
                <w:highlight w:val="none"/>
              </w:rPr>
            </w:pPr>
          </w:p>
        </w:tc>
        <w:tc>
          <w:tcPr>
            <w:tcW w:w="1590" w:type="dxa"/>
          </w:tcPr>
          <w:p>
            <w:pPr>
              <w:adjustRightInd w:val="0"/>
              <w:rPr>
                <w:rFonts w:ascii="宋体"/>
                <w:color w:val="auto"/>
                <w:szCs w:val="21"/>
                <w:highlight w:val="none"/>
              </w:rPr>
            </w:pPr>
          </w:p>
        </w:tc>
      </w:tr>
    </w:tbl>
    <w:p>
      <w:pPr>
        <w:ind w:firstLine="420" w:firstLineChars="200"/>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ind w:firstLine="420" w:firstLineChars="200"/>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ind w:firstLine="420" w:firstLineChars="200"/>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pPr>
        <w:ind w:firstLine="420" w:firstLineChars="200"/>
        <w:rPr>
          <w:rFonts w:asci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pPr>
        <w:rPr>
          <w:rFonts w:ascii="宋体"/>
          <w:color w:val="auto"/>
          <w:szCs w:val="21"/>
          <w:highlight w:val="none"/>
        </w:rPr>
      </w:pPr>
      <w:r>
        <w:rPr>
          <w:rFonts w:hint="eastAsia" w:ascii="宋体" w:hAnsi="宋体"/>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38"/>
        <w:tblW w:w="146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556"/>
        <w:gridCol w:w="1515"/>
        <w:gridCol w:w="1395"/>
        <w:gridCol w:w="136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vAlign w:val="center"/>
          </w:tcPr>
          <w:p>
            <w:pPr>
              <w:rPr>
                <w:rFonts w:ascii="宋体"/>
                <w:color w:val="auto"/>
                <w:szCs w:val="21"/>
                <w:highlight w:val="none"/>
              </w:rPr>
            </w:pPr>
            <w:r>
              <w:rPr>
                <w:rFonts w:hint="eastAsia" w:ascii="宋体" w:hAnsi="宋体"/>
                <w:color w:val="auto"/>
                <w:szCs w:val="21"/>
                <w:highlight w:val="none"/>
              </w:rPr>
              <w:t>序号</w:t>
            </w:r>
          </w:p>
        </w:tc>
        <w:tc>
          <w:tcPr>
            <w:tcW w:w="8556" w:type="dxa"/>
            <w:tcBorders>
              <w:tl2br w:val="single" w:color="auto" w:sz="4" w:space="0"/>
            </w:tcBorders>
          </w:tcPr>
          <w:p>
            <w:pPr>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投标人</w:t>
            </w:r>
          </w:p>
          <w:p>
            <w:pPr>
              <w:rPr>
                <w:rFonts w:ascii="宋体"/>
                <w:color w:val="auto"/>
                <w:szCs w:val="21"/>
                <w:highlight w:val="none"/>
              </w:rPr>
            </w:pPr>
          </w:p>
          <w:p>
            <w:pPr>
              <w:rPr>
                <w:rFonts w:ascii="宋体"/>
                <w:color w:val="auto"/>
                <w:szCs w:val="21"/>
                <w:highlight w:val="none"/>
              </w:rPr>
            </w:pPr>
            <w:r>
              <w:rPr>
                <w:rFonts w:hint="eastAsia" w:ascii="宋体" w:hAnsi="宋体"/>
                <w:color w:val="auto"/>
                <w:szCs w:val="21"/>
                <w:highlight w:val="none"/>
              </w:rPr>
              <w:t>评审内容</w:t>
            </w:r>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8556" w:type="dxa"/>
            <w:vAlign w:val="center"/>
          </w:tcPr>
          <w:p>
            <w:pPr>
              <w:rPr>
                <w:rFonts w:asci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8556" w:type="dxa"/>
            <w:vAlign w:val="center"/>
          </w:tcPr>
          <w:p>
            <w:pPr>
              <w:rPr>
                <w:rFonts w:ascii="宋体"/>
                <w:color w:val="auto"/>
                <w:szCs w:val="21"/>
                <w:highlight w:val="none"/>
              </w:rPr>
            </w:pPr>
            <w:r>
              <w:rPr>
                <w:rFonts w:hint="eastAsia" w:ascii="宋体" w:hAnsi="宋体"/>
                <w:color w:val="auto"/>
                <w:szCs w:val="21"/>
                <w:highlight w:val="none"/>
              </w:rPr>
              <w:t>投标报价高于最高投标限价的；</w:t>
            </w:r>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8556" w:type="dxa"/>
            <w:vAlign w:val="center"/>
          </w:tcPr>
          <w:p>
            <w:pPr>
              <w:autoSpaceDE w:val="0"/>
              <w:autoSpaceDN w:val="0"/>
              <w:adjustRightInd w:val="0"/>
              <w:ind w:left="-2" w:leftChars="-1"/>
              <w:jc w:val="left"/>
              <w:rPr>
                <w:rFonts w:ascii="宋体"/>
                <w:color w:val="auto"/>
                <w:szCs w:val="21"/>
                <w:highlight w:val="none"/>
              </w:rPr>
            </w:pPr>
            <w:r>
              <w:rPr>
                <w:rFonts w:hint="eastAsia" w:ascii="宋体" w:hAnsi="宋体"/>
                <w:color w:val="auto"/>
                <w:szCs w:val="21"/>
                <w:highlight w:val="none"/>
              </w:rPr>
              <w:t>投标报价低于成本的（投标人的报价低于成本警戒价，使得其投标报价可能低于其个别成本，又不能合理说明或者不能提供相关证明材料，评标委员会认定该投标人低于成本报价的）；</w:t>
            </w:r>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8556" w:type="dxa"/>
            <w:vAlign w:val="center"/>
          </w:tcPr>
          <w:p>
            <w:pPr>
              <w:rPr>
                <w:rFonts w:asci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8556" w:type="dxa"/>
            <w:vAlign w:val="center"/>
          </w:tcPr>
          <w:p>
            <w:pPr>
              <w:rPr>
                <w:rFonts w:hint="eastAsia" w:ascii="宋体" w:eastAsia="宋体"/>
                <w:color w:val="auto"/>
                <w:szCs w:val="21"/>
                <w:highlight w:val="none"/>
                <w:lang w:eastAsia="zh-CN"/>
              </w:rPr>
            </w:pPr>
            <w:r>
              <w:rPr>
                <w:rFonts w:hint="eastAsia" w:ascii="宋体" w:hAnsi="宋体"/>
                <w:color w:val="auto"/>
                <w:szCs w:val="21"/>
                <w:highlight w:val="none"/>
              </w:rPr>
              <w:t>投标文件未按规定的格式填写，或主要内容不全，或关键字迹模糊、无法辨认的；（投标文件规定的格式</w:t>
            </w:r>
            <w:r>
              <w:rPr>
                <w:rFonts w:hint="eastAsia" w:ascii="宋体" w:hAnsi="宋体"/>
                <w:color w:val="auto"/>
                <w:szCs w:val="21"/>
                <w:highlight w:val="none"/>
                <w:lang w:eastAsia="zh-CN"/>
              </w:rPr>
              <w:t>；</w:t>
            </w:r>
            <w:bookmarkStart w:id="65" w:name="_GoBack"/>
            <w:bookmarkEnd w:id="65"/>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8556" w:type="dxa"/>
            <w:vAlign w:val="center"/>
          </w:tcPr>
          <w:p>
            <w:pPr>
              <w:rPr>
                <w:rFonts w:ascii="宋体"/>
                <w:color w:val="auto"/>
                <w:szCs w:val="21"/>
                <w:highlight w:val="none"/>
              </w:rPr>
            </w:pPr>
            <w:r>
              <w:rPr>
                <w:rFonts w:hint="eastAsia" w:ascii="宋体" w:hAnsi="宋体"/>
                <w:color w:val="auto"/>
                <w:szCs w:val="21"/>
                <w:highlight w:val="none"/>
              </w:rPr>
              <w:t>不同投标人的投标报价中分部分项工程量清单综合单价相似度达到</w:t>
            </w:r>
            <w:r>
              <w:rPr>
                <w:rFonts w:ascii="宋体" w:hAnsi="宋体"/>
                <w:color w:val="auto"/>
                <w:szCs w:val="21"/>
                <w:highlight w:val="none"/>
              </w:rPr>
              <w:t>80%</w:t>
            </w:r>
            <w:r>
              <w:rPr>
                <w:rFonts w:hint="eastAsia" w:ascii="宋体" w:hAnsi="宋体"/>
                <w:color w:val="auto"/>
                <w:szCs w:val="21"/>
                <w:highlight w:val="none"/>
              </w:rPr>
              <w:t>及以上的</w:t>
            </w:r>
            <w:r>
              <w:rPr>
                <w:rFonts w:ascii="宋体" w:hAnsi="宋体"/>
                <w:color w:val="auto"/>
                <w:szCs w:val="21"/>
                <w:highlight w:val="none"/>
              </w:rPr>
              <w:t>(</w:t>
            </w:r>
            <w:r>
              <w:rPr>
                <w:rFonts w:hint="eastAsia" w:ascii="宋体" w:hAnsi="宋体"/>
                <w:color w:val="auto"/>
                <w:szCs w:val="21"/>
                <w:highlight w:val="none"/>
              </w:rPr>
              <w:t>以</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ascii="宋体" w:hAnsi="宋体"/>
                <w:color w:val="auto"/>
                <w:szCs w:val="21"/>
                <w:highlight w:val="none"/>
              </w:rPr>
              <w:t>)</w:t>
            </w:r>
            <w:r>
              <w:rPr>
                <w:rFonts w:hint="eastAsia" w:ascii="宋体" w:hAnsi="宋体"/>
                <w:color w:val="auto"/>
                <w:szCs w:val="21"/>
                <w:highlight w:val="none"/>
              </w:rPr>
              <w:t>；</w:t>
            </w:r>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8556" w:type="dxa"/>
            <w:vAlign w:val="center"/>
          </w:tcPr>
          <w:p>
            <w:pPr>
              <w:rPr>
                <w:rFonts w:ascii="宋体"/>
                <w:color w:val="auto"/>
                <w:szCs w:val="21"/>
                <w:highlight w:val="none"/>
              </w:rPr>
            </w:pPr>
            <w:r>
              <w:rPr>
                <w:rFonts w:hint="eastAsia" w:ascii="宋体" w:hAnsi="宋体"/>
                <w:color w:val="auto"/>
                <w:szCs w:val="21"/>
                <w:highlight w:val="none"/>
              </w:rPr>
              <w:t>投标人之间存在《广东省实施</w:t>
            </w:r>
            <w:r>
              <w:rPr>
                <w:rFonts w:ascii="宋体" w:hAnsi="宋体"/>
                <w:color w:val="auto"/>
                <w:szCs w:val="21"/>
                <w:highlight w:val="none"/>
              </w:rPr>
              <w:t>&lt;</w:t>
            </w:r>
            <w:r>
              <w:rPr>
                <w:rFonts w:hint="eastAsia" w:ascii="宋体" w:hAnsi="宋体"/>
                <w:color w:val="auto"/>
                <w:szCs w:val="21"/>
                <w:highlight w:val="none"/>
              </w:rPr>
              <w:t>中华人民共和国招标投标法</w:t>
            </w:r>
            <w:r>
              <w:rPr>
                <w:rFonts w:ascii="宋体" w:hAnsi="宋体"/>
                <w:color w:val="auto"/>
                <w:szCs w:val="21"/>
                <w:highlight w:val="none"/>
              </w:rPr>
              <w:t>&gt;</w:t>
            </w:r>
            <w:r>
              <w:rPr>
                <w:rFonts w:hint="eastAsia" w:ascii="宋体" w:hAnsi="宋体"/>
                <w:color w:val="auto"/>
                <w:szCs w:val="21"/>
                <w:highlight w:val="none"/>
              </w:rPr>
              <w:t>》第十六条所禁止的情形的；</w:t>
            </w:r>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8556" w:type="dxa"/>
            <w:vAlign w:val="center"/>
          </w:tcPr>
          <w:p>
            <w:pPr>
              <w:rPr>
                <w:rFonts w:ascii="宋体"/>
                <w:color w:val="auto"/>
                <w:szCs w:val="21"/>
                <w:highlight w:val="none"/>
              </w:rPr>
            </w:pPr>
            <w:r>
              <w:rPr>
                <w:rFonts w:hint="eastAsia" w:ascii="宋体" w:hAnsi="宋体"/>
                <w:color w:val="auto"/>
                <w:szCs w:val="21"/>
                <w:highlight w:val="none"/>
              </w:rPr>
              <w:t>无《参与编制经济标投标文件人员名单》的；</w:t>
            </w:r>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8556" w:type="dxa"/>
            <w:vAlign w:val="center"/>
          </w:tcPr>
          <w:p>
            <w:pPr>
              <w:rPr>
                <w:rFonts w:ascii="宋体"/>
                <w:color w:val="auto"/>
                <w:szCs w:val="21"/>
                <w:highlight w:val="none"/>
              </w:rPr>
            </w:pPr>
            <w:r>
              <w:rPr>
                <w:rFonts w:hint="eastAsia" w:ascii="宋体" w:hAnsi="宋体"/>
                <w:color w:val="auto"/>
                <w:szCs w:val="21"/>
                <w:highlight w:val="none"/>
              </w:rPr>
              <w:t>无《对投标文件编制的承诺》。</w:t>
            </w:r>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8556" w:type="dxa"/>
            <w:vAlign w:val="center"/>
          </w:tcPr>
          <w:p>
            <w:pPr>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投标人与本项目其他投标人的投标文件工程量清单编制机器硬件信息一致的（以交易平台评标系统的检索信息为准。）</w:t>
            </w:r>
          </w:p>
        </w:tc>
        <w:tc>
          <w:tcPr>
            <w:tcW w:w="1515" w:type="dxa"/>
          </w:tcPr>
          <w:p>
            <w:pPr>
              <w:rPr>
                <w:rFonts w:ascii="宋体"/>
                <w:color w:val="auto"/>
                <w:szCs w:val="21"/>
                <w:highlight w:val="none"/>
              </w:rPr>
            </w:pPr>
          </w:p>
        </w:tc>
        <w:tc>
          <w:tcPr>
            <w:tcW w:w="1395" w:type="dxa"/>
          </w:tcPr>
          <w:p>
            <w:pPr>
              <w:rPr>
                <w:rFonts w:ascii="宋体"/>
                <w:color w:val="auto"/>
                <w:szCs w:val="21"/>
                <w:highlight w:val="none"/>
              </w:rPr>
            </w:pPr>
          </w:p>
        </w:tc>
        <w:tc>
          <w:tcPr>
            <w:tcW w:w="1365" w:type="dxa"/>
          </w:tcPr>
          <w:p>
            <w:pPr>
              <w:rPr>
                <w:rFonts w:ascii="宋体"/>
                <w:color w:val="auto"/>
                <w:szCs w:val="21"/>
                <w:highlight w:val="none"/>
              </w:rPr>
            </w:pPr>
          </w:p>
        </w:tc>
        <w:tc>
          <w:tcPr>
            <w:tcW w:w="1290" w:type="dxa"/>
          </w:tcPr>
          <w:p>
            <w:pPr>
              <w:rPr>
                <w:rFonts w:ascii="宋体"/>
                <w:color w:val="auto"/>
                <w:szCs w:val="21"/>
                <w:highlight w:val="none"/>
              </w:rPr>
            </w:pPr>
          </w:p>
        </w:tc>
      </w:tr>
    </w:tbl>
    <w:p>
      <w:pPr>
        <w:ind w:firstLine="458"/>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pPr>
        <w:ind w:firstLine="458"/>
        <w:rPr>
          <w:rFonts w:asci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6"/>
        <w:ind w:firstLine="458"/>
        <w:rPr>
          <w:rFonts w:ascii="宋体" w:hAnsi="宋体" w:eastAsia="宋体"/>
          <w:color w:val="auto"/>
          <w:szCs w:val="21"/>
          <w:highlight w:val="none"/>
        </w:rPr>
        <w:sectPr>
          <w:endnotePr>
            <w:numFmt w:val="decimal"/>
          </w:endnotePr>
          <w:pgSz w:w="16838" w:h="11906" w:orient="landscape"/>
          <w:pgMar w:top="1418" w:right="1247" w:bottom="1418" w:left="1134" w:header="851" w:footer="907" w:gutter="0"/>
          <w:cols w:space="720" w:num="1"/>
          <w:titlePg/>
          <w:docGrid w:type="linesAndChars" w:linePitch="312" w:charSpace="0"/>
        </w:sectPr>
      </w:pPr>
      <w:r>
        <w:rPr>
          <w:rFonts w:hint="eastAsia" w:ascii="宋体" w:hAnsi="宋体" w:eastAsia="宋体"/>
          <w:color w:val="auto"/>
          <w:szCs w:val="21"/>
          <w:highlight w:val="none"/>
        </w:rPr>
        <w:t>评委签名：</w:t>
      </w:r>
    </w:p>
    <w:p>
      <w:pPr>
        <w:spacing w:line="360" w:lineRule="auto"/>
        <w:ind w:firstLine="243" w:firstLineChars="116"/>
        <w:rPr>
          <w:color w:val="auto"/>
          <w:szCs w:val="21"/>
          <w:highlight w:val="none"/>
        </w:rPr>
      </w:pPr>
      <w:bookmarkStart w:id="35" w:name="_Hlk61882643"/>
      <w:r>
        <w:rPr>
          <w:rFonts w:hint="eastAsia"/>
          <w:color w:val="auto"/>
          <w:szCs w:val="21"/>
          <w:highlight w:val="none"/>
        </w:rPr>
        <w:t>附表四</w:t>
      </w:r>
    </w:p>
    <w:p>
      <w:pPr>
        <w:spacing w:line="360" w:lineRule="auto"/>
        <w:ind w:firstLine="463" w:firstLineChars="116"/>
        <w:jc w:val="center"/>
        <w:rPr>
          <w:rFonts w:ascii="宋体" w:hAnsi="宋体"/>
          <w:b/>
          <w:color w:val="auto"/>
          <w:kern w:val="0"/>
          <w:sz w:val="30"/>
          <w:szCs w:val="30"/>
          <w:highlight w:val="none"/>
        </w:rPr>
      </w:pPr>
      <w:r>
        <w:rPr>
          <w:rFonts w:hint="eastAsia" w:ascii="宋体" w:hAnsi="宋体"/>
          <w:b/>
          <w:color w:val="auto"/>
          <w:kern w:val="0"/>
          <w:sz w:val="40"/>
          <w:szCs w:val="32"/>
          <w:highlight w:val="none"/>
        </w:rPr>
        <w:t>技术标详细审查评分表</w:t>
      </w:r>
    </w:p>
    <w:tbl>
      <w:tblPr>
        <w:tblStyle w:val="38"/>
        <w:tblW w:w="15318"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667"/>
        <w:gridCol w:w="640"/>
        <w:gridCol w:w="11871"/>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blHeader/>
          <w:jc w:val="center"/>
        </w:trPr>
        <w:tc>
          <w:tcPr>
            <w:tcW w:w="1140"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评分项目</w:t>
            </w:r>
          </w:p>
        </w:tc>
        <w:tc>
          <w:tcPr>
            <w:tcW w:w="1667" w:type="dxa"/>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评分内容</w:t>
            </w:r>
          </w:p>
        </w:tc>
        <w:tc>
          <w:tcPr>
            <w:tcW w:w="640" w:type="dxa"/>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11871" w:type="dxa"/>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140" w:type="dxa"/>
            <w:vMerge w:val="restart"/>
            <w:tcBorders>
              <w:left w:val="single" w:color="auto" w:sz="8"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olor w:val="auto"/>
                <w:szCs w:val="21"/>
                <w:highlight w:val="none"/>
              </w:rPr>
              <w:t>一、项目管理机构能力（70分）</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技术负责人</w:t>
            </w: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20</w:t>
            </w:r>
          </w:p>
        </w:tc>
        <w:tc>
          <w:tcPr>
            <w:tcW w:w="1187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技术负责人工作经验</w:t>
            </w:r>
            <w:r>
              <w:rPr>
                <w:rFonts w:ascii="宋体" w:hAnsi="宋体"/>
                <w:color w:val="auto"/>
                <w:szCs w:val="21"/>
                <w:highlight w:val="none"/>
              </w:rPr>
              <w:t>10年（含10年）以上的，得20分；工作经验5</w:t>
            </w:r>
            <w:r>
              <w:rPr>
                <w:rFonts w:hint="eastAsia" w:ascii="宋体" w:hAnsi="宋体"/>
                <w:color w:val="auto"/>
                <w:szCs w:val="21"/>
                <w:highlight w:val="none"/>
              </w:rPr>
              <w:t>年（含</w:t>
            </w:r>
            <w:r>
              <w:rPr>
                <w:rFonts w:ascii="宋体" w:hAnsi="宋体"/>
                <w:color w:val="auto"/>
                <w:szCs w:val="21"/>
                <w:highlight w:val="none"/>
              </w:rPr>
              <w:t>5年）</w:t>
            </w:r>
            <w:r>
              <w:rPr>
                <w:rFonts w:hint="eastAsia" w:ascii="宋体" w:hAnsi="宋体"/>
                <w:color w:val="auto"/>
                <w:szCs w:val="21"/>
                <w:highlight w:val="none"/>
              </w:rPr>
              <w:t>至</w:t>
            </w:r>
            <w:r>
              <w:rPr>
                <w:rFonts w:ascii="宋体" w:hAnsi="宋体"/>
                <w:color w:val="auto"/>
                <w:szCs w:val="21"/>
                <w:highlight w:val="none"/>
              </w:rPr>
              <w:t>10年（不含10年）的，得10分；工作经验1</w:t>
            </w:r>
            <w:r>
              <w:rPr>
                <w:rFonts w:hint="eastAsia" w:ascii="宋体" w:hAnsi="宋体"/>
                <w:color w:val="auto"/>
                <w:szCs w:val="21"/>
                <w:highlight w:val="none"/>
              </w:rPr>
              <w:t>年（含</w:t>
            </w:r>
            <w:r>
              <w:rPr>
                <w:rFonts w:ascii="宋体" w:hAnsi="宋体"/>
                <w:color w:val="auto"/>
                <w:szCs w:val="21"/>
                <w:highlight w:val="none"/>
              </w:rPr>
              <w:t>1年）</w:t>
            </w:r>
            <w:r>
              <w:rPr>
                <w:rFonts w:hint="eastAsia" w:ascii="宋体" w:hAnsi="宋体"/>
                <w:color w:val="auto"/>
                <w:szCs w:val="21"/>
                <w:highlight w:val="none"/>
              </w:rPr>
              <w:t>至5年（不含5年）</w:t>
            </w:r>
            <w:r>
              <w:rPr>
                <w:rFonts w:ascii="宋体" w:hAnsi="宋体"/>
                <w:color w:val="auto"/>
                <w:szCs w:val="21"/>
                <w:highlight w:val="none"/>
              </w:rPr>
              <w:t>的，得5分；其他不得分</w:t>
            </w:r>
            <w:r>
              <w:rPr>
                <w:rFonts w:hint="eastAsia" w:ascii="宋体" w:hAnsi="宋体"/>
                <w:color w:val="auto"/>
                <w:szCs w:val="21"/>
                <w:highlight w:val="none"/>
              </w:rPr>
              <w:t>。本小项最高得</w:t>
            </w:r>
            <w:r>
              <w:rPr>
                <w:rFonts w:ascii="宋体" w:hAnsi="宋体"/>
                <w:color w:val="auto"/>
                <w:szCs w:val="21"/>
                <w:highlight w:val="none"/>
              </w:rPr>
              <w:t>20分。</w:t>
            </w:r>
          </w:p>
          <w:p>
            <w:pPr>
              <w:pStyle w:val="21"/>
              <w:spacing w:line="400" w:lineRule="exact"/>
              <w:rPr>
                <w:color w:val="auto"/>
                <w:highlight w:val="none"/>
              </w:rPr>
            </w:pPr>
            <w:r>
              <w:rPr>
                <w:rFonts w:hint="eastAsia"/>
                <w:color w:val="auto"/>
                <w:highlight w:val="none"/>
              </w:rPr>
              <w:t>注：提供大学专科(或以上)学历毕业证及该项目管理人员202</w:t>
            </w:r>
            <w:r>
              <w:rPr>
                <w:color w:val="auto"/>
                <w:highlight w:val="none"/>
              </w:rPr>
              <w:t>3</w:t>
            </w:r>
            <w:r>
              <w:rPr>
                <w:rFonts w:hint="eastAsia"/>
                <w:color w:val="auto"/>
                <w:highlight w:val="none"/>
              </w:rPr>
              <w:t>年10月的社保证明。工</w:t>
            </w:r>
            <w:r>
              <w:rPr>
                <w:rFonts w:hint="eastAsia" w:hAnsi="宋体" w:cs="宋体"/>
                <w:color w:val="auto"/>
                <w:szCs w:val="21"/>
                <w:highlight w:val="none"/>
              </w:rPr>
              <w:t>作经验年限由毕业证书的签发日期开始计算至投标截止日。不提供或提供不完整不得分。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1140" w:type="dxa"/>
            <w:vMerge w:val="continue"/>
            <w:tcBorders>
              <w:left w:val="single" w:color="auto" w:sz="8" w:space="0"/>
              <w:right w:val="single" w:color="auto" w:sz="4" w:space="0"/>
            </w:tcBorders>
            <w:vAlign w:val="center"/>
          </w:tcPr>
          <w:p>
            <w:pPr>
              <w:jc w:val="center"/>
              <w:rPr>
                <w:rFonts w:ascii="宋体" w:hAnsi="宋体" w:cs="宋体"/>
                <w:b/>
                <w:bCs/>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bCs/>
                <w:color w:val="auto"/>
                <w:szCs w:val="21"/>
                <w:highlight w:val="none"/>
              </w:rPr>
            </w:pPr>
            <w:r>
              <w:rPr>
                <w:rFonts w:hint="eastAsia" w:ascii="宋体" w:hAnsi="宋体" w:cs="宋体"/>
                <w:color w:val="auto"/>
                <w:kern w:val="0"/>
                <w:szCs w:val="21"/>
                <w:highlight w:val="none"/>
              </w:rPr>
              <w:t>质量负责人</w:t>
            </w: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bCs/>
                <w:color w:val="auto"/>
                <w:szCs w:val="21"/>
                <w:highlight w:val="none"/>
              </w:rPr>
            </w:pPr>
            <w:r>
              <w:rPr>
                <w:rFonts w:hint="eastAsia" w:ascii="宋体" w:hAnsi="宋体"/>
                <w:color w:val="auto"/>
                <w:szCs w:val="21"/>
                <w:highlight w:val="none"/>
              </w:rPr>
              <w:t>15</w:t>
            </w:r>
          </w:p>
        </w:tc>
        <w:tc>
          <w:tcPr>
            <w:tcW w:w="118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highlight w:val="none"/>
              </w:rPr>
            </w:pPr>
            <w:r>
              <w:rPr>
                <w:rFonts w:ascii="宋体" w:hAnsi="宋体"/>
                <w:color w:val="auto"/>
                <w:szCs w:val="21"/>
                <w:highlight w:val="none"/>
              </w:rPr>
              <w:t>1、</w:t>
            </w:r>
            <w:r>
              <w:rPr>
                <w:rFonts w:hint="eastAsia" w:ascii="宋体" w:hAnsi="宋体"/>
                <w:color w:val="auto"/>
                <w:szCs w:val="21"/>
                <w:highlight w:val="none"/>
              </w:rPr>
              <w:t>具有市政公用工程相关专业高级工程师（或以上）职称</w:t>
            </w:r>
            <w:r>
              <w:rPr>
                <w:rFonts w:hint="eastAsia" w:ascii="宋体" w:hAnsi="宋体"/>
                <w:color w:val="auto"/>
                <w:highlight w:val="none"/>
              </w:rPr>
              <w:t>，得</w:t>
            </w:r>
            <w:r>
              <w:rPr>
                <w:rFonts w:ascii="宋体" w:hAnsi="宋体"/>
                <w:color w:val="auto"/>
                <w:highlight w:val="none"/>
              </w:rPr>
              <w:t>10</w:t>
            </w:r>
            <w:r>
              <w:rPr>
                <w:rFonts w:hint="eastAsia" w:ascii="宋体" w:hAnsi="宋体"/>
                <w:color w:val="auto"/>
                <w:highlight w:val="none"/>
              </w:rPr>
              <w:t>分；</w:t>
            </w:r>
            <w:r>
              <w:rPr>
                <w:rFonts w:hint="eastAsia" w:ascii="宋体" w:hAnsi="宋体"/>
                <w:color w:val="auto"/>
                <w:szCs w:val="21"/>
                <w:highlight w:val="none"/>
              </w:rPr>
              <w:t>具有市政公用工程相关专业工程师职称</w:t>
            </w:r>
            <w:r>
              <w:rPr>
                <w:rFonts w:hint="eastAsia" w:ascii="宋体" w:hAnsi="宋体"/>
                <w:color w:val="auto"/>
                <w:highlight w:val="none"/>
              </w:rPr>
              <w:t>，得</w:t>
            </w:r>
            <w:r>
              <w:rPr>
                <w:rFonts w:ascii="宋体" w:hAnsi="宋体"/>
                <w:color w:val="auto"/>
                <w:highlight w:val="none"/>
              </w:rPr>
              <w:t>5</w:t>
            </w:r>
            <w:r>
              <w:rPr>
                <w:rFonts w:hint="eastAsia" w:ascii="宋体" w:hAnsi="宋体"/>
                <w:color w:val="auto"/>
                <w:highlight w:val="none"/>
              </w:rPr>
              <w:t>分；</w:t>
            </w:r>
            <w:r>
              <w:rPr>
                <w:rFonts w:hint="eastAsia" w:ascii="宋体" w:hAnsi="宋体"/>
                <w:color w:val="auto"/>
                <w:szCs w:val="21"/>
                <w:highlight w:val="none"/>
              </w:rPr>
              <w:t>具有市政公用工程相关专业助理工程师职称</w:t>
            </w:r>
            <w:r>
              <w:rPr>
                <w:rFonts w:hint="eastAsia" w:ascii="宋体" w:hAnsi="宋体"/>
                <w:color w:val="auto"/>
                <w:highlight w:val="none"/>
              </w:rPr>
              <w:t>，得</w:t>
            </w:r>
            <w:r>
              <w:rPr>
                <w:rFonts w:ascii="宋体" w:hAnsi="宋体"/>
                <w:color w:val="auto"/>
                <w:highlight w:val="none"/>
              </w:rPr>
              <w:t>2</w:t>
            </w:r>
            <w:r>
              <w:rPr>
                <w:rFonts w:hint="eastAsia" w:ascii="宋体" w:hAnsi="宋体"/>
                <w:color w:val="auto"/>
                <w:highlight w:val="none"/>
              </w:rPr>
              <w:t>分。</w:t>
            </w:r>
            <w:r>
              <w:rPr>
                <w:rFonts w:hint="eastAsia" w:ascii="宋体" w:hAnsi="宋体"/>
                <w:color w:val="auto"/>
                <w:szCs w:val="21"/>
                <w:highlight w:val="none"/>
              </w:rPr>
              <w:t>其他不得分。本小项最高得</w:t>
            </w:r>
            <w:r>
              <w:rPr>
                <w:rFonts w:ascii="宋体" w:hAnsi="宋体"/>
                <w:color w:val="auto"/>
                <w:szCs w:val="21"/>
                <w:highlight w:val="none"/>
              </w:rPr>
              <w:t>10</w:t>
            </w:r>
            <w:r>
              <w:rPr>
                <w:rFonts w:hint="eastAsia" w:ascii="宋体" w:hAnsi="宋体"/>
                <w:color w:val="auto"/>
                <w:szCs w:val="21"/>
                <w:highlight w:val="none"/>
              </w:rPr>
              <w:t>分。</w:t>
            </w:r>
          </w:p>
          <w:p>
            <w:pPr>
              <w:widowControl/>
              <w:spacing w:line="400" w:lineRule="exact"/>
              <w:jc w:val="left"/>
              <w:rPr>
                <w:rFonts w:ascii="宋体" w:hAnsi="宋体"/>
                <w:color w:val="auto"/>
                <w:highlight w:val="none"/>
              </w:rPr>
            </w:pPr>
            <w:r>
              <w:rPr>
                <w:rFonts w:ascii="宋体" w:hAnsi="宋体"/>
                <w:color w:val="auto"/>
                <w:szCs w:val="21"/>
                <w:highlight w:val="none"/>
              </w:rPr>
              <w:t>2、</w:t>
            </w:r>
            <w:r>
              <w:rPr>
                <w:rFonts w:hint="eastAsia" w:ascii="宋体" w:hAnsi="宋体"/>
                <w:color w:val="auto"/>
                <w:szCs w:val="21"/>
                <w:highlight w:val="none"/>
              </w:rPr>
              <w:t>工作经验</w:t>
            </w:r>
            <w:r>
              <w:rPr>
                <w:rFonts w:ascii="宋体" w:hAnsi="宋体"/>
                <w:color w:val="auto"/>
                <w:szCs w:val="21"/>
                <w:highlight w:val="none"/>
              </w:rPr>
              <w:t>10年（含10年）以上的，</w:t>
            </w:r>
            <w:r>
              <w:rPr>
                <w:rFonts w:hint="eastAsia" w:ascii="宋体" w:hAnsi="宋体"/>
                <w:color w:val="auto"/>
                <w:highlight w:val="none"/>
              </w:rPr>
              <w:t>得</w:t>
            </w:r>
            <w:r>
              <w:rPr>
                <w:rFonts w:ascii="宋体" w:hAnsi="宋体"/>
                <w:color w:val="auto"/>
                <w:highlight w:val="none"/>
              </w:rPr>
              <w:t>5</w:t>
            </w:r>
            <w:r>
              <w:rPr>
                <w:rFonts w:hint="eastAsia" w:ascii="宋体" w:hAnsi="宋体"/>
                <w:color w:val="auto"/>
                <w:highlight w:val="none"/>
              </w:rPr>
              <w:t>分；</w:t>
            </w:r>
            <w:r>
              <w:rPr>
                <w:rFonts w:hint="eastAsia" w:ascii="宋体" w:hAnsi="宋体"/>
                <w:color w:val="auto"/>
                <w:szCs w:val="21"/>
                <w:highlight w:val="none"/>
              </w:rPr>
              <w:t>工作经验</w:t>
            </w:r>
            <w:r>
              <w:rPr>
                <w:rFonts w:ascii="宋体" w:hAnsi="宋体"/>
                <w:color w:val="auto"/>
                <w:szCs w:val="21"/>
                <w:highlight w:val="none"/>
              </w:rPr>
              <w:t>5</w:t>
            </w:r>
            <w:r>
              <w:rPr>
                <w:rFonts w:hint="eastAsia" w:ascii="宋体" w:hAnsi="宋体"/>
                <w:color w:val="auto"/>
                <w:highlight w:val="none"/>
              </w:rPr>
              <w:t>年</w:t>
            </w:r>
            <w:r>
              <w:rPr>
                <w:rFonts w:hint="eastAsia" w:ascii="宋体" w:hAnsi="宋体"/>
                <w:color w:val="auto"/>
                <w:szCs w:val="21"/>
                <w:highlight w:val="none"/>
              </w:rPr>
              <w:t>（含</w:t>
            </w:r>
            <w:r>
              <w:rPr>
                <w:rFonts w:ascii="宋体" w:hAnsi="宋体"/>
                <w:color w:val="auto"/>
                <w:szCs w:val="21"/>
                <w:highlight w:val="none"/>
              </w:rPr>
              <w:t>5年）</w:t>
            </w:r>
            <w:r>
              <w:rPr>
                <w:rFonts w:hint="eastAsia" w:ascii="宋体" w:hAnsi="宋体"/>
                <w:color w:val="auto"/>
                <w:szCs w:val="21"/>
                <w:highlight w:val="none"/>
              </w:rPr>
              <w:t>至10年（不含10年）</w:t>
            </w:r>
            <w:r>
              <w:rPr>
                <w:rFonts w:ascii="宋体" w:hAnsi="宋体"/>
                <w:color w:val="auto"/>
                <w:szCs w:val="21"/>
                <w:highlight w:val="none"/>
              </w:rPr>
              <w:t>的，</w:t>
            </w:r>
            <w:r>
              <w:rPr>
                <w:rFonts w:hint="eastAsia" w:ascii="宋体" w:hAnsi="宋体"/>
                <w:color w:val="auto"/>
                <w:highlight w:val="none"/>
              </w:rPr>
              <w:t>得</w:t>
            </w:r>
            <w:r>
              <w:rPr>
                <w:rFonts w:ascii="宋体" w:hAnsi="宋体"/>
                <w:color w:val="auto"/>
                <w:highlight w:val="none"/>
              </w:rPr>
              <w:t>2</w:t>
            </w:r>
            <w:r>
              <w:rPr>
                <w:rFonts w:hint="eastAsia" w:ascii="宋体" w:hAnsi="宋体"/>
                <w:color w:val="auto"/>
                <w:highlight w:val="none"/>
              </w:rPr>
              <w:t>分；</w:t>
            </w:r>
            <w:r>
              <w:rPr>
                <w:rFonts w:hint="eastAsia" w:ascii="宋体" w:hAnsi="宋体"/>
                <w:color w:val="auto"/>
                <w:szCs w:val="21"/>
                <w:highlight w:val="none"/>
              </w:rPr>
              <w:t>工作经验</w:t>
            </w:r>
            <w:r>
              <w:rPr>
                <w:rFonts w:ascii="宋体" w:hAnsi="宋体"/>
                <w:color w:val="auto"/>
                <w:szCs w:val="21"/>
                <w:highlight w:val="none"/>
              </w:rPr>
              <w:t>1</w:t>
            </w:r>
            <w:r>
              <w:rPr>
                <w:rFonts w:hint="eastAsia" w:ascii="宋体" w:hAnsi="宋体"/>
                <w:color w:val="auto"/>
                <w:highlight w:val="none"/>
              </w:rPr>
              <w:t>年</w:t>
            </w:r>
            <w:r>
              <w:rPr>
                <w:rFonts w:hint="eastAsia" w:ascii="宋体" w:hAnsi="宋体"/>
                <w:color w:val="auto"/>
                <w:szCs w:val="21"/>
                <w:highlight w:val="none"/>
              </w:rPr>
              <w:t>（含</w:t>
            </w:r>
            <w:r>
              <w:rPr>
                <w:rFonts w:ascii="宋体" w:hAnsi="宋体"/>
                <w:color w:val="auto"/>
                <w:szCs w:val="21"/>
                <w:highlight w:val="none"/>
              </w:rPr>
              <w:t>1年）</w:t>
            </w:r>
            <w:r>
              <w:rPr>
                <w:rFonts w:hint="eastAsia" w:ascii="宋体" w:hAnsi="宋体"/>
                <w:color w:val="auto"/>
                <w:szCs w:val="21"/>
                <w:highlight w:val="none"/>
              </w:rPr>
              <w:t>至5年（不含5年）</w:t>
            </w:r>
            <w:r>
              <w:rPr>
                <w:rFonts w:ascii="宋体" w:hAnsi="宋体"/>
                <w:color w:val="auto"/>
                <w:szCs w:val="21"/>
                <w:highlight w:val="none"/>
              </w:rPr>
              <w:t>的，</w:t>
            </w:r>
            <w:r>
              <w:rPr>
                <w:rFonts w:hint="eastAsia" w:ascii="宋体" w:hAnsi="宋体"/>
                <w:color w:val="auto"/>
                <w:highlight w:val="none"/>
              </w:rPr>
              <w:t>得</w:t>
            </w:r>
            <w:r>
              <w:rPr>
                <w:rFonts w:ascii="宋体" w:hAnsi="宋体"/>
                <w:color w:val="auto"/>
                <w:highlight w:val="none"/>
              </w:rPr>
              <w:t>1</w:t>
            </w:r>
            <w:r>
              <w:rPr>
                <w:rFonts w:hint="eastAsia" w:ascii="宋体" w:hAnsi="宋体"/>
                <w:color w:val="auto"/>
                <w:highlight w:val="none"/>
              </w:rPr>
              <w:t>分。</w:t>
            </w:r>
            <w:r>
              <w:rPr>
                <w:rFonts w:hint="eastAsia" w:ascii="宋体" w:hAnsi="宋体"/>
                <w:color w:val="auto"/>
                <w:szCs w:val="21"/>
                <w:highlight w:val="none"/>
              </w:rPr>
              <w:t>其他不得分。本小项最高得</w:t>
            </w:r>
            <w:r>
              <w:rPr>
                <w:rFonts w:ascii="宋体" w:hAnsi="宋体"/>
                <w:color w:val="auto"/>
                <w:szCs w:val="21"/>
                <w:highlight w:val="none"/>
              </w:rPr>
              <w:t>5</w:t>
            </w:r>
            <w:r>
              <w:rPr>
                <w:rFonts w:hint="eastAsia" w:ascii="宋体" w:hAnsi="宋体"/>
                <w:color w:val="auto"/>
                <w:szCs w:val="21"/>
                <w:highlight w:val="none"/>
              </w:rPr>
              <w:t>分。</w:t>
            </w:r>
          </w:p>
          <w:p>
            <w:pPr>
              <w:widowControl/>
              <w:spacing w:line="400" w:lineRule="exact"/>
              <w:jc w:val="left"/>
              <w:rPr>
                <w:color w:val="auto"/>
                <w:highlight w:val="none"/>
              </w:rPr>
            </w:pPr>
            <w:r>
              <w:rPr>
                <w:rFonts w:hint="eastAsia"/>
                <w:color w:val="auto"/>
                <w:highlight w:val="none"/>
              </w:rPr>
              <w:t>注：提供相应的职称证、大学专科</w:t>
            </w:r>
            <w:r>
              <w:rPr>
                <w:color w:val="auto"/>
                <w:highlight w:val="none"/>
              </w:rPr>
              <w:t>(</w:t>
            </w:r>
            <w:r>
              <w:rPr>
                <w:rFonts w:hint="eastAsia"/>
                <w:color w:val="auto"/>
                <w:highlight w:val="none"/>
              </w:rPr>
              <w:t>或以上</w:t>
            </w:r>
            <w:r>
              <w:rPr>
                <w:color w:val="auto"/>
                <w:highlight w:val="none"/>
              </w:rPr>
              <w:t>)</w:t>
            </w:r>
            <w:r>
              <w:rPr>
                <w:rFonts w:hint="eastAsia"/>
                <w:color w:val="auto"/>
                <w:highlight w:val="none"/>
              </w:rPr>
              <w:t>学历毕业证及该项目管理人</w:t>
            </w:r>
            <w:r>
              <w:rPr>
                <w:rFonts w:hint="eastAsia" w:ascii="宋体" w:hAnsi="宋体"/>
                <w:color w:val="auto"/>
                <w:highlight w:val="none"/>
              </w:rPr>
              <w:t>员</w:t>
            </w:r>
            <w:r>
              <w:rPr>
                <w:rFonts w:ascii="宋体" w:hAnsi="宋体"/>
                <w:color w:val="auto"/>
                <w:highlight w:val="none"/>
              </w:rPr>
              <w:t>2023</w:t>
            </w:r>
            <w:r>
              <w:rPr>
                <w:rFonts w:hint="eastAsia" w:ascii="宋体" w:hAnsi="宋体"/>
                <w:color w:val="auto"/>
                <w:highlight w:val="none"/>
              </w:rPr>
              <w:t>年</w:t>
            </w:r>
            <w:r>
              <w:rPr>
                <w:rFonts w:hint="eastAsia" w:ascii="宋体" w:hAnsi="宋体"/>
                <w:color w:val="auto"/>
                <w:highlight w:val="none"/>
                <w:u w:val="single"/>
              </w:rPr>
              <w:t>10</w:t>
            </w:r>
            <w:r>
              <w:rPr>
                <w:rFonts w:hint="eastAsia" w:ascii="宋体" w:hAnsi="宋体"/>
                <w:color w:val="auto"/>
                <w:highlight w:val="none"/>
              </w:rPr>
              <w:t>月的</w:t>
            </w:r>
            <w:r>
              <w:rPr>
                <w:rFonts w:hint="eastAsia"/>
                <w:color w:val="auto"/>
                <w:highlight w:val="none"/>
              </w:rPr>
              <w:t>社保证明。职称证书按最高级别计分，不累计计算。工</w:t>
            </w:r>
            <w:r>
              <w:rPr>
                <w:rFonts w:hint="eastAsia" w:hAnsi="宋体" w:cs="宋体"/>
                <w:color w:val="auto"/>
                <w:szCs w:val="21"/>
                <w:highlight w:val="none"/>
              </w:rPr>
              <w:t>作经验年限由毕业证书的签发日期开始计算至投标截止日。不提供或提供不完整不得分。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1140" w:type="dxa"/>
            <w:vMerge w:val="continue"/>
            <w:tcBorders>
              <w:left w:val="single" w:color="auto" w:sz="8" w:space="0"/>
              <w:right w:val="single" w:color="auto" w:sz="4" w:space="0"/>
            </w:tcBorders>
            <w:vAlign w:val="center"/>
          </w:tcPr>
          <w:p>
            <w:pPr>
              <w:widowControl/>
              <w:jc w:val="center"/>
              <w:rPr>
                <w:rFonts w:ascii="宋体" w:hAnsi="宋体" w:cs="宋体"/>
                <w:b/>
                <w:bCs/>
                <w:color w:val="auto"/>
                <w:szCs w:val="21"/>
                <w:highlight w:val="none"/>
              </w:rPr>
            </w:pPr>
          </w:p>
        </w:tc>
        <w:tc>
          <w:tcPr>
            <w:tcW w:w="1667" w:type="dxa"/>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bCs/>
                <w:color w:val="auto"/>
                <w:szCs w:val="21"/>
                <w:highlight w:val="none"/>
              </w:rPr>
            </w:pPr>
            <w:r>
              <w:rPr>
                <w:rFonts w:hint="eastAsia" w:ascii="宋体" w:hAnsi="宋体" w:cs="宋体"/>
                <w:color w:val="auto"/>
                <w:kern w:val="0"/>
                <w:szCs w:val="21"/>
                <w:highlight w:val="none"/>
              </w:rPr>
              <w:t>安全负责人</w:t>
            </w:r>
          </w:p>
        </w:tc>
        <w:tc>
          <w:tcPr>
            <w:tcW w:w="640" w:type="dxa"/>
            <w:tcBorders>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20</w:t>
            </w:r>
          </w:p>
        </w:tc>
        <w:tc>
          <w:tcPr>
            <w:tcW w:w="118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highlight w:val="none"/>
              </w:rPr>
            </w:pPr>
            <w:r>
              <w:rPr>
                <w:rFonts w:hAnsi="宋体"/>
                <w:color w:val="auto"/>
                <w:szCs w:val="21"/>
                <w:highlight w:val="none"/>
              </w:rPr>
              <w:t>1</w:t>
            </w:r>
            <w:r>
              <w:rPr>
                <w:rFonts w:hint="eastAsia" w:hAnsi="宋体"/>
                <w:color w:val="auto"/>
                <w:szCs w:val="21"/>
                <w:highlight w:val="none"/>
              </w:rPr>
              <w:t>、</w:t>
            </w:r>
            <w:r>
              <w:rPr>
                <w:rFonts w:hint="eastAsia" w:ascii="宋体" w:hAnsi="宋体"/>
                <w:color w:val="auto"/>
                <w:szCs w:val="21"/>
                <w:highlight w:val="none"/>
              </w:rPr>
              <w:t>具有市政公用工程相关专业高级工程师（或以上）职称</w:t>
            </w:r>
            <w:r>
              <w:rPr>
                <w:rFonts w:hint="eastAsia" w:ascii="宋体" w:hAnsi="宋体"/>
                <w:color w:val="auto"/>
                <w:highlight w:val="none"/>
              </w:rPr>
              <w:t>，得</w:t>
            </w:r>
            <w:r>
              <w:rPr>
                <w:rFonts w:ascii="宋体" w:hAnsi="宋体"/>
                <w:color w:val="auto"/>
                <w:highlight w:val="none"/>
              </w:rPr>
              <w:t>10</w:t>
            </w:r>
            <w:r>
              <w:rPr>
                <w:rFonts w:hint="eastAsia" w:ascii="宋体" w:hAnsi="宋体"/>
                <w:color w:val="auto"/>
                <w:highlight w:val="none"/>
              </w:rPr>
              <w:t>分；</w:t>
            </w:r>
            <w:r>
              <w:rPr>
                <w:rFonts w:hint="eastAsia" w:ascii="宋体" w:hAnsi="宋体"/>
                <w:color w:val="auto"/>
                <w:szCs w:val="21"/>
                <w:highlight w:val="none"/>
              </w:rPr>
              <w:t>具有市政公用工程相关专业工程师职称</w:t>
            </w:r>
            <w:r>
              <w:rPr>
                <w:rFonts w:hint="eastAsia" w:ascii="宋体" w:hAnsi="宋体"/>
                <w:color w:val="auto"/>
                <w:highlight w:val="none"/>
              </w:rPr>
              <w:t>，得</w:t>
            </w:r>
            <w:r>
              <w:rPr>
                <w:rFonts w:ascii="宋体" w:hAnsi="宋体"/>
                <w:color w:val="auto"/>
                <w:highlight w:val="none"/>
              </w:rPr>
              <w:t>5</w:t>
            </w:r>
            <w:r>
              <w:rPr>
                <w:rFonts w:hint="eastAsia" w:ascii="宋体" w:hAnsi="宋体"/>
                <w:color w:val="auto"/>
                <w:highlight w:val="none"/>
              </w:rPr>
              <w:t>分；</w:t>
            </w:r>
            <w:r>
              <w:rPr>
                <w:rFonts w:hint="eastAsia" w:ascii="宋体" w:hAnsi="宋体"/>
                <w:color w:val="auto"/>
                <w:szCs w:val="21"/>
                <w:highlight w:val="none"/>
              </w:rPr>
              <w:t>具有市政公用工程相关专业助理工程师职称</w:t>
            </w:r>
            <w:r>
              <w:rPr>
                <w:rFonts w:hint="eastAsia" w:ascii="宋体" w:hAnsi="宋体"/>
                <w:color w:val="auto"/>
                <w:highlight w:val="none"/>
              </w:rPr>
              <w:t>，得</w:t>
            </w:r>
            <w:r>
              <w:rPr>
                <w:rFonts w:ascii="宋体" w:hAnsi="宋体"/>
                <w:color w:val="auto"/>
                <w:highlight w:val="none"/>
              </w:rPr>
              <w:t>2</w:t>
            </w:r>
            <w:r>
              <w:rPr>
                <w:rFonts w:hint="eastAsia" w:ascii="宋体" w:hAnsi="宋体"/>
                <w:color w:val="auto"/>
                <w:highlight w:val="none"/>
              </w:rPr>
              <w:t>分。</w:t>
            </w:r>
            <w:r>
              <w:rPr>
                <w:rFonts w:hint="eastAsia" w:ascii="宋体" w:hAnsi="宋体"/>
                <w:color w:val="auto"/>
                <w:szCs w:val="21"/>
                <w:highlight w:val="none"/>
              </w:rPr>
              <w:t>其他不得分。本小项最高得</w:t>
            </w:r>
            <w:r>
              <w:rPr>
                <w:rFonts w:ascii="宋体" w:hAnsi="宋体"/>
                <w:color w:val="auto"/>
                <w:szCs w:val="21"/>
                <w:highlight w:val="none"/>
              </w:rPr>
              <w:t>10</w:t>
            </w:r>
            <w:r>
              <w:rPr>
                <w:rFonts w:hint="eastAsia" w:ascii="宋体" w:hAnsi="宋体"/>
                <w:color w:val="auto"/>
                <w:szCs w:val="21"/>
                <w:highlight w:val="none"/>
              </w:rPr>
              <w:t>分。</w:t>
            </w:r>
          </w:p>
          <w:p>
            <w:pPr>
              <w:widowControl/>
              <w:spacing w:line="400" w:lineRule="exact"/>
              <w:jc w:val="left"/>
              <w:rPr>
                <w:color w:val="auto"/>
                <w:highlight w:val="none"/>
              </w:rPr>
            </w:pPr>
            <w:r>
              <w:rPr>
                <w:rFonts w:hAnsi="宋体"/>
                <w:color w:val="auto"/>
                <w:szCs w:val="21"/>
                <w:highlight w:val="none"/>
              </w:rPr>
              <w:t>2</w:t>
            </w:r>
            <w:r>
              <w:rPr>
                <w:rFonts w:hint="eastAsia" w:hAnsi="宋体"/>
                <w:color w:val="auto"/>
                <w:szCs w:val="21"/>
                <w:highlight w:val="none"/>
              </w:rPr>
              <w:t>、</w:t>
            </w:r>
            <w:r>
              <w:rPr>
                <w:rFonts w:hint="eastAsia" w:ascii="宋体" w:hAnsi="宋体"/>
                <w:color w:val="auto"/>
                <w:szCs w:val="21"/>
                <w:highlight w:val="none"/>
              </w:rPr>
              <w:t>工作经验</w:t>
            </w:r>
            <w:r>
              <w:rPr>
                <w:rFonts w:ascii="宋体" w:hAnsi="宋体"/>
                <w:color w:val="auto"/>
                <w:szCs w:val="21"/>
                <w:highlight w:val="none"/>
              </w:rPr>
              <w:t>10年（含10年）以上的，</w:t>
            </w:r>
            <w:r>
              <w:rPr>
                <w:rFonts w:hint="eastAsia" w:ascii="宋体" w:hAnsi="宋体"/>
                <w:color w:val="auto"/>
                <w:highlight w:val="none"/>
              </w:rPr>
              <w:t>得</w:t>
            </w:r>
            <w:r>
              <w:rPr>
                <w:rFonts w:ascii="宋体" w:hAnsi="宋体"/>
                <w:color w:val="auto"/>
                <w:highlight w:val="none"/>
              </w:rPr>
              <w:t>10</w:t>
            </w:r>
            <w:r>
              <w:rPr>
                <w:rFonts w:hint="eastAsia" w:ascii="宋体" w:hAnsi="宋体"/>
                <w:color w:val="auto"/>
                <w:highlight w:val="none"/>
              </w:rPr>
              <w:t>分；</w:t>
            </w:r>
            <w:r>
              <w:rPr>
                <w:rFonts w:hint="eastAsia" w:ascii="宋体" w:hAnsi="宋体"/>
                <w:color w:val="auto"/>
                <w:szCs w:val="21"/>
                <w:highlight w:val="none"/>
              </w:rPr>
              <w:t>工作经验</w:t>
            </w:r>
            <w:r>
              <w:rPr>
                <w:rFonts w:ascii="宋体" w:hAnsi="宋体"/>
                <w:color w:val="auto"/>
                <w:szCs w:val="21"/>
                <w:highlight w:val="none"/>
              </w:rPr>
              <w:t>5</w:t>
            </w:r>
            <w:r>
              <w:rPr>
                <w:rFonts w:hint="eastAsia" w:ascii="宋体" w:hAnsi="宋体"/>
                <w:color w:val="auto"/>
                <w:highlight w:val="none"/>
              </w:rPr>
              <w:t>年</w:t>
            </w:r>
            <w:r>
              <w:rPr>
                <w:rFonts w:hint="eastAsia" w:ascii="宋体" w:hAnsi="宋体"/>
                <w:color w:val="auto"/>
                <w:szCs w:val="21"/>
                <w:highlight w:val="none"/>
              </w:rPr>
              <w:t>（含</w:t>
            </w:r>
            <w:r>
              <w:rPr>
                <w:rFonts w:ascii="宋体" w:hAnsi="宋体"/>
                <w:color w:val="auto"/>
                <w:szCs w:val="21"/>
                <w:highlight w:val="none"/>
              </w:rPr>
              <w:t>5年）</w:t>
            </w:r>
            <w:r>
              <w:rPr>
                <w:rFonts w:hint="eastAsia" w:ascii="宋体" w:hAnsi="宋体"/>
                <w:color w:val="auto"/>
                <w:szCs w:val="21"/>
                <w:highlight w:val="none"/>
              </w:rPr>
              <w:t>至10年（不含10年）</w:t>
            </w:r>
            <w:r>
              <w:rPr>
                <w:rFonts w:ascii="宋体" w:hAnsi="宋体"/>
                <w:color w:val="auto"/>
                <w:szCs w:val="21"/>
                <w:highlight w:val="none"/>
              </w:rPr>
              <w:t>的，</w:t>
            </w:r>
            <w:r>
              <w:rPr>
                <w:rFonts w:hint="eastAsia" w:ascii="宋体" w:hAnsi="宋体"/>
                <w:color w:val="auto"/>
                <w:highlight w:val="none"/>
              </w:rPr>
              <w:t>得</w:t>
            </w:r>
            <w:r>
              <w:rPr>
                <w:rFonts w:ascii="宋体" w:hAnsi="宋体"/>
                <w:color w:val="auto"/>
                <w:highlight w:val="none"/>
              </w:rPr>
              <w:t>5</w:t>
            </w:r>
            <w:r>
              <w:rPr>
                <w:rFonts w:hint="eastAsia" w:ascii="宋体" w:hAnsi="宋体"/>
                <w:color w:val="auto"/>
                <w:highlight w:val="none"/>
              </w:rPr>
              <w:t>分；</w:t>
            </w:r>
            <w:r>
              <w:rPr>
                <w:rFonts w:hint="eastAsia" w:ascii="宋体" w:hAnsi="宋体"/>
                <w:color w:val="auto"/>
                <w:szCs w:val="21"/>
                <w:highlight w:val="none"/>
              </w:rPr>
              <w:t>工作经验</w:t>
            </w:r>
            <w:r>
              <w:rPr>
                <w:rFonts w:ascii="宋体" w:hAnsi="宋体"/>
                <w:color w:val="auto"/>
                <w:szCs w:val="21"/>
                <w:highlight w:val="none"/>
              </w:rPr>
              <w:t>1</w:t>
            </w:r>
            <w:r>
              <w:rPr>
                <w:rFonts w:hint="eastAsia" w:ascii="宋体" w:hAnsi="宋体"/>
                <w:color w:val="auto"/>
                <w:highlight w:val="none"/>
              </w:rPr>
              <w:t>年</w:t>
            </w:r>
            <w:r>
              <w:rPr>
                <w:rFonts w:hint="eastAsia" w:ascii="宋体" w:hAnsi="宋体"/>
                <w:color w:val="auto"/>
                <w:szCs w:val="21"/>
                <w:highlight w:val="none"/>
              </w:rPr>
              <w:t>（含</w:t>
            </w:r>
            <w:r>
              <w:rPr>
                <w:rFonts w:ascii="宋体" w:hAnsi="宋体"/>
                <w:color w:val="auto"/>
                <w:szCs w:val="21"/>
                <w:highlight w:val="none"/>
              </w:rPr>
              <w:t>1年）</w:t>
            </w:r>
            <w:r>
              <w:rPr>
                <w:rFonts w:hint="eastAsia" w:ascii="宋体" w:hAnsi="宋体"/>
                <w:color w:val="auto"/>
                <w:szCs w:val="21"/>
                <w:highlight w:val="none"/>
              </w:rPr>
              <w:t>至5年（不含5年）</w:t>
            </w:r>
            <w:r>
              <w:rPr>
                <w:rFonts w:ascii="宋体" w:hAnsi="宋体"/>
                <w:color w:val="auto"/>
                <w:szCs w:val="21"/>
                <w:highlight w:val="none"/>
              </w:rPr>
              <w:t>的，</w:t>
            </w:r>
            <w:r>
              <w:rPr>
                <w:rFonts w:hint="eastAsia" w:ascii="宋体" w:hAnsi="宋体"/>
                <w:color w:val="auto"/>
                <w:highlight w:val="none"/>
              </w:rPr>
              <w:t>得</w:t>
            </w:r>
            <w:r>
              <w:rPr>
                <w:rFonts w:ascii="宋体" w:hAnsi="宋体"/>
                <w:color w:val="auto"/>
                <w:highlight w:val="none"/>
              </w:rPr>
              <w:t>2</w:t>
            </w:r>
            <w:r>
              <w:rPr>
                <w:rFonts w:hint="eastAsia" w:ascii="宋体" w:hAnsi="宋体"/>
                <w:color w:val="auto"/>
                <w:highlight w:val="none"/>
              </w:rPr>
              <w:t>分。</w:t>
            </w:r>
            <w:r>
              <w:rPr>
                <w:rFonts w:hint="eastAsia" w:ascii="宋体" w:hAnsi="宋体"/>
                <w:color w:val="auto"/>
                <w:szCs w:val="21"/>
                <w:highlight w:val="none"/>
              </w:rPr>
              <w:t>其他不得分。本小项最高得</w:t>
            </w:r>
            <w:r>
              <w:rPr>
                <w:rFonts w:ascii="宋体" w:hAnsi="宋体"/>
                <w:color w:val="auto"/>
                <w:szCs w:val="21"/>
                <w:highlight w:val="none"/>
              </w:rPr>
              <w:t>10</w:t>
            </w:r>
            <w:r>
              <w:rPr>
                <w:rFonts w:hint="eastAsia" w:ascii="宋体" w:hAnsi="宋体"/>
                <w:color w:val="auto"/>
                <w:szCs w:val="21"/>
                <w:highlight w:val="none"/>
              </w:rPr>
              <w:t>分。</w:t>
            </w:r>
          </w:p>
          <w:p>
            <w:pPr>
              <w:widowControl/>
              <w:spacing w:line="400" w:lineRule="exact"/>
              <w:jc w:val="left"/>
              <w:rPr>
                <w:rFonts w:hAnsi="宋体"/>
                <w:color w:val="auto"/>
                <w:highlight w:val="none"/>
              </w:rPr>
            </w:pPr>
            <w:r>
              <w:rPr>
                <w:rFonts w:hint="eastAsia"/>
                <w:color w:val="auto"/>
                <w:highlight w:val="none"/>
              </w:rPr>
              <w:t>注：提供相应的职称证、大学专科</w:t>
            </w:r>
            <w:r>
              <w:rPr>
                <w:color w:val="auto"/>
                <w:highlight w:val="none"/>
              </w:rPr>
              <w:t>(</w:t>
            </w:r>
            <w:r>
              <w:rPr>
                <w:rFonts w:hint="eastAsia"/>
                <w:color w:val="auto"/>
                <w:highlight w:val="none"/>
              </w:rPr>
              <w:t>或以上</w:t>
            </w:r>
            <w:r>
              <w:rPr>
                <w:color w:val="auto"/>
                <w:highlight w:val="none"/>
              </w:rPr>
              <w:t>)</w:t>
            </w:r>
            <w:r>
              <w:rPr>
                <w:rFonts w:hint="eastAsia"/>
                <w:color w:val="auto"/>
                <w:highlight w:val="none"/>
              </w:rPr>
              <w:t>学历毕业证及该项目管理</w:t>
            </w:r>
            <w:r>
              <w:rPr>
                <w:rFonts w:hint="eastAsia" w:ascii="宋体" w:hAnsi="宋体"/>
                <w:color w:val="auto"/>
                <w:highlight w:val="none"/>
              </w:rPr>
              <w:t>人员</w:t>
            </w:r>
            <w:r>
              <w:rPr>
                <w:rFonts w:ascii="宋体" w:hAnsi="宋体"/>
                <w:color w:val="auto"/>
                <w:highlight w:val="none"/>
              </w:rPr>
              <w:t>2023</w:t>
            </w:r>
            <w:r>
              <w:rPr>
                <w:rFonts w:hint="eastAsia" w:ascii="宋体" w:hAnsi="宋体"/>
                <w:color w:val="auto"/>
                <w:highlight w:val="none"/>
              </w:rPr>
              <w:t>年</w:t>
            </w:r>
            <w:r>
              <w:rPr>
                <w:rFonts w:hint="eastAsia" w:ascii="宋体" w:hAnsi="宋体"/>
                <w:color w:val="auto"/>
                <w:highlight w:val="none"/>
                <w:u w:val="single"/>
              </w:rPr>
              <w:t>10月</w:t>
            </w:r>
            <w:r>
              <w:rPr>
                <w:rFonts w:hint="eastAsia"/>
                <w:color w:val="auto"/>
                <w:highlight w:val="none"/>
              </w:rPr>
              <w:t>的社保证明。职称证书按最高级别计分，不累计计算。工</w:t>
            </w:r>
            <w:r>
              <w:rPr>
                <w:rFonts w:hint="eastAsia" w:hAnsi="宋体" w:cs="宋体"/>
                <w:color w:val="auto"/>
                <w:szCs w:val="21"/>
                <w:highlight w:val="none"/>
              </w:rPr>
              <w:t>作经验年限由毕业证书的签发日期开始计算至投标截止日。不提供或提供不完整不得分。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140" w:type="dxa"/>
            <w:vMerge w:val="continue"/>
            <w:tcBorders>
              <w:left w:val="single" w:color="auto" w:sz="8" w:space="0"/>
              <w:right w:val="single" w:color="auto" w:sz="4" w:space="0"/>
            </w:tcBorders>
            <w:vAlign w:val="center"/>
          </w:tcPr>
          <w:p>
            <w:pPr>
              <w:widowControl/>
              <w:jc w:val="center"/>
              <w:rPr>
                <w:rFonts w:ascii="宋体" w:hAnsi="宋体" w:cs="宋体"/>
                <w:b/>
                <w:bCs/>
                <w:color w:val="auto"/>
                <w:szCs w:val="21"/>
                <w:highlight w:val="none"/>
              </w:rPr>
            </w:pPr>
          </w:p>
        </w:tc>
        <w:tc>
          <w:tcPr>
            <w:tcW w:w="1667" w:type="dxa"/>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cs="Arial Unicode MS"/>
                <w:color w:val="auto"/>
                <w:szCs w:val="21"/>
                <w:highlight w:val="none"/>
              </w:rPr>
            </w:pPr>
            <w:r>
              <w:rPr>
                <w:rFonts w:hint="eastAsia" w:ascii="宋体" w:hAnsi="宋体" w:cs="宋体"/>
                <w:color w:val="auto"/>
                <w:kern w:val="0"/>
                <w:szCs w:val="21"/>
                <w:highlight w:val="none"/>
              </w:rPr>
              <w:t>造价负责人</w:t>
            </w:r>
          </w:p>
        </w:tc>
        <w:tc>
          <w:tcPr>
            <w:tcW w:w="640" w:type="dxa"/>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118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szCs w:val="21"/>
                <w:highlight w:val="none"/>
              </w:rPr>
            </w:pPr>
            <w:r>
              <w:rPr>
                <w:rFonts w:ascii="宋体" w:hAnsi="宋体"/>
                <w:color w:val="auto"/>
                <w:highlight w:val="none"/>
              </w:rPr>
              <w:t>1、</w:t>
            </w:r>
            <w:r>
              <w:rPr>
                <w:rFonts w:hint="eastAsia" w:ascii="宋体" w:hAnsi="宋体"/>
                <w:color w:val="auto"/>
                <w:highlight w:val="none"/>
              </w:rPr>
              <w:t>具有一级注册造价工程师（或注册造价工程师），得</w:t>
            </w:r>
            <w:r>
              <w:rPr>
                <w:rFonts w:ascii="宋体" w:hAnsi="宋体"/>
                <w:color w:val="auto"/>
                <w:highlight w:val="none"/>
              </w:rPr>
              <w:t>10</w:t>
            </w:r>
            <w:r>
              <w:rPr>
                <w:rFonts w:hint="eastAsia" w:ascii="宋体" w:hAnsi="宋体"/>
                <w:color w:val="auto"/>
                <w:highlight w:val="none"/>
              </w:rPr>
              <w:t>分；具有二级注册造价工程师，得</w:t>
            </w:r>
            <w:r>
              <w:rPr>
                <w:rFonts w:ascii="宋体" w:hAnsi="宋体"/>
                <w:color w:val="auto"/>
                <w:highlight w:val="none"/>
              </w:rPr>
              <w:t>5</w:t>
            </w:r>
            <w:r>
              <w:rPr>
                <w:rFonts w:hint="eastAsia" w:ascii="宋体" w:hAnsi="宋体"/>
                <w:color w:val="auto"/>
                <w:highlight w:val="none"/>
              </w:rPr>
              <w:t>分；</w:t>
            </w:r>
            <w:r>
              <w:rPr>
                <w:rFonts w:hint="eastAsia" w:ascii="宋体" w:hAnsi="宋体"/>
                <w:color w:val="auto"/>
                <w:szCs w:val="21"/>
                <w:highlight w:val="none"/>
              </w:rPr>
              <w:t>其他不得分。本小项最高得</w:t>
            </w:r>
            <w:r>
              <w:rPr>
                <w:rFonts w:ascii="宋体" w:hAnsi="宋体"/>
                <w:color w:val="auto"/>
                <w:szCs w:val="21"/>
                <w:highlight w:val="none"/>
              </w:rPr>
              <w:t>10</w:t>
            </w:r>
            <w:r>
              <w:rPr>
                <w:rFonts w:hint="eastAsia" w:ascii="宋体" w:hAnsi="宋体"/>
                <w:color w:val="auto"/>
                <w:szCs w:val="21"/>
                <w:highlight w:val="none"/>
              </w:rPr>
              <w:t>分。</w:t>
            </w:r>
          </w:p>
          <w:p>
            <w:pPr>
              <w:pStyle w:val="21"/>
              <w:spacing w:line="400" w:lineRule="exact"/>
              <w:rPr>
                <w:color w:val="auto"/>
                <w:highlight w:val="none"/>
              </w:rPr>
            </w:pPr>
            <w:r>
              <w:rPr>
                <w:rFonts w:hAnsi="宋体"/>
                <w:color w:val="auto"/>
                <w:highlight w:val="none"/>
              </w:rPr>
              <w:t>2</w:t>
            </w:r>
            <w:r>
              <w:rPr>
                <w:rFonts w:hint="eastAsia" w:hAnsi="宋体"/>
                <w:color w:val="auto"/>
                <w:highlight w:val="none"/>
              </w:rPr>
              <w:t>、</w:t>
            </w:r>
            <w:r>
              <w:rPr>
                <w:rFonts w:hint="eastAsia" w:hAnsi="宋体"/>
                <w:color w:val="auto"/>
                <w:szCs w:val="21"/>
                <w:highlight w:val="none"/>
              </w:rPr>
              <w:t>工作经验</w:t>
            </w:r>
            <w:r>
              <w:rPr>
                <w:rFonts w:hAnsi="宋体"/>
                <w:color w:val="auto"/>
                <w:szCs w:val="21"/>
                <w:highlight w:val="none"/>
              </w:rPr>
              <w:t>10年（含10年）以上的，</w:t>
            </w:r>
            <w:r>
              <w:rPr>
                <w:rFonts w:hint="eastAsia" w:hAnsi="宋体"/>
                <w:color w:val="auto"/>
                <w:highlight w:val="none"/>
              </w:rPr>
              <w:t>得</w:t>
            </w:r>
            <w:r>
              <w:rPr>
                <w:rFonts w:hAnsi="宋体"/>
                <w:color w:val="auto"/>
                <w:highlight w:val="none"/>
              </w:rPr>
              <w:t>5</w:t>
            </w:r>
            <w:r>
              <w:rPr>
                <w:rFonts w:hint="eastAsia" w:hAnsi="宋体"/>
                <w:color w:val="auto"/>
                <w:highlight w:val="none"/>
              </w:rPr>
              <w:t>分；</w:t>
            </w:r>
            <w:r>
              <w:rPr>
                <w:rFonts w:hint="eastAsia" w:hAnsi="宋体"/>
                <w:color w:val="auto"/>
                <w:szCs w:val="21"/>
                <w:highlight w:val="none"/>
              </w:rPr>
              <w:t>工作经验</w:t>
            </w:r>
            <w:r>
              <w:rPr>
                <w:rFonts w:hAnsi="宋体"/>
                <w:color w:val="auto"/>
                <w:szCs w:val="21"/>
                <w:highlight w:val="none"/>
              </w:rPr>
              <w:t>5</w:t>
            </w:r>
            <w:r>
              <w:rPr>
                <w:rFonts w:hint="eastAsia" w:hAnsi="宋体"/>
                <w:color w:val="auto"/>
                <w:highlight w:val="none"/>
              </w:rPr>
              <w:t>年</w:t>
            </w:r>
            <w:r>
              <w:rPr>
                <w:rFonts w:hint="eastAsia" w:hAnsi="宋体"/>
                <w:color w:val="auto"/>
                <w:szCs w:val="21"/>
                <w:highlight w:val="none"/>
              </w:rPr>
              <w:t>（含</w:t>
            </w:r>
            <w:r>
              <w:rPr>
                <w:rFonts w:hAnsi="宋体"/>
                <w:color w:val="auto"/>
                <w:szCs w:val="21"/>
                <w:highlight w:val="none"/>
              </w:rPr>
              <w:t>5年）</w:t>
            </w:r>
            <w:r>
              <w:rPr>
                <w:rFonts w:hint="eastAsia" w:hAnsi="宋体"/>
                <w:color w:val="auto"/>
                <w:szCs w:val="21"/>
                <w:highlight w:val="none"/>
              </w:rPr>
              <w:t>至10年（不含10年）</w:t>
            </w:r>
            <w:r>
              <w:rPr>
                <w:rFonts w:hAnsi="宋体"/>
                <w:color w:val="auto"/>
                <w:szCs w:val="21"/>
                <w:highlight w:val="none"/>
              </w:rPr>
              <w:t>的，</w:t>
            </w:r>
            <w:r>
              <w:rPr>
                <w:rFonts w:hint="eastAsia" w:hAnsi="宋体"/>
                <w:color w:val="auto"/>
                <w:highlight w:val="none"/>
              </w:rPr>
              <w:t>得</w:t>
            </w:r>
            <w:r>
              <w:rPr>
                <w:rFonts w:hAnsi="宋体"/>
                <w:color w:val="auto"/>
                <w:highlight w:val="none"/>
              </w:rPr>
              <w:t>2</w:t>
            </w:r>
            <w:r>
              <w:rPr>
                <w:rFonts w:hint="eastAsia" w:hAnsi="宋体"/>
                <w:color w:val="auto"/>
                <w:highlight w:val="none"/>
              </w:rPr>
              <w:t>分；</w:t>
            </w:r>
            <w:r>
              <w:rPr>
                <w:rFonts w:hint="eastAsia" w:hAnsi="宋体"/>
                <w:color w:val="auto"/>
                <w:szCs w:val="21"/>
                <w:highlight w:val="none"/>
              </w:rPr>
              <w:t>工作经验</w:t>
            </w:r>
            <w:r>
              <w:rPr>
                <w:rFonts w:hAnsi="宋体"/>
                <w:color w:val="auto"/>
                <w:szCs w:val="21"/>
                <w:highlight w:val="none"/>
              </w:rPr>
              <w:t>1</w:t>
            </w:r>
            <w:r>
              <w:rPr>
                <w:rFonts w:hint="eastAsia" w:hAnsi="宋体"/>
                <w:color w:val="auto"/>
                <w:highlight w:val="none"/>
              </w:rPr>
              <w:t>年</w:t>
            </w:r>
            <w:r>
              <w:rPr>
                <w:rFonts w:hint="eastAsia" w:hAnsi="宋体"/>
                <w:color w:val="auto"/>
                <w:szCs w:val="21"/>
                <w:highlight w:val="none"/>
              </w:rPr>
              <w:t>（含</w:t>
            </w:r>
            <w:r>
              <w:rPr>
                <w:rFonts w:hAnsi="宋体"/>
                <w:color w:val="auto"/>
                <w:szCs w:val="21"/>
                <w:highlight w:val="none"/>
              </w:rPr>
              <w:t>1年）</w:t>
            </w:r>
            <w:r>
              <w:rPr>
                <w:rFonts w:hint="eastAsia" w:hAnsi="宋体"/>
                <w:color w:val="auto"/>
                <w:szCs w:val="21"/>
                <w:highlight w:val="none"/>
              </w:rPr>
              <w:t>至5年（不含5年）</w:t>
            </w:r>
            <w:r>
              <w:rPr>
                <w:rFonts w:hAnsi="宋体"/>
                <w:color w:val="auto"/>
                <w:szCs w:val="21"/>
                <w:highlight w:val="none"/>
              </w:rPr>
              <w:t>的，</w:t>
            </w:r>
            <w:r>
              <w:rPr>
                <w:rFonts w:hint="eastAsia" w:hAnsi="宋体"/>
                <w:color w:val="auto"/>
                <w:highlight w:val="none"/>
              </w:rPr>
              <w:t>得</w:t>
            </w:r>
            <w:r>
              <w:rPr>
                <w:rFonts w:hAnsi="宋体"/>
                <w:color w:val="auto"/>
                <w:highlight w:val="none"/>
              </w:rPr>
              <w:t>1</w:t>
            </w:r>
            <w:r>
              <w:rPr>
                <w:rFonts w:hint="eastAsia" w:hAnsi="宋体"/>
                <w:color w:val="auto"/>
                <w:highlight w:val="none"/>
              </w:rPr>
              <w:t>分。</w:t>
            </w:r>
            <w:r>
              <w:rPr>
                <w:rFonts w:hint="eastAsia" w:hAnsi="宋体"/>
                <w:color w:val="auto"/>
                <w:szCs w:val="21"/>
                <w:highlight w:val="none"/>
              </w:rPr>
              <w:t>其他不得分。本小项最高得</w:t>
            </w:r>
            <w:r>
              <w:rPr>
                <w:rFonts w:hAnsi="宋体"/>
                <w:color w:val="auto"/>
                <w:szCs w:val="21"/>
                <w:highlight w:val="none"/>
              </w:rPr>
              <w:t>5</w:t>
            </w:r>
            <w:r>
              <w:rPr>
                <w:rFonts w:hint="eastAsia" w:hAnsi="宋体"/>
                <w:color w:val="auto"/>
                <w:szCs w:val="21"/>
                <w:highlight w:val="none"/>
              </w:rPr>
              <w:t>分。</w:t>
            </w:r>
          </w:p>
          <w:p>
            <w:pPr>
              <w:pStyle w:val="21"/>
              <w:spacing w:line="400" w:lineRule="exact"/>
              <w:rPr>
                <w:rFonts w:hAnsi="宋体"/>
                <w:color w:val="auto"/>
                <w:highlight w:val="none"/>
                <w:lang w:val="zh-TW"/>
              </w:rPr>
            </w:pPr>
            <w:r>
              <w:rPr>
                <w:rFonts w:hint="eastAsia"/>
                <w:color w:val="auto"/>
                <w:highlight w:val="none"/>
              </w:rPr>
              <w:t>注：提供相应的造价师职业（或执业）资格证、职称证、大学专科(或以上)学历毕业证及该项目管理人员202</w:t>
            </w:r>
            <w:r>
              <w:rPr>
                <w:color w:val="auto"/>
                <w:highlight w:val="none"/>
              </w:rPr>
              <w:t>3</w:t>
            </w:r>
            <w:r>
              <w:rPr>
                <w:rFonts w:hint="eastAsia"/>
                <w:color w:val="auto"/>
                <w:highlight w:val="none"/>
              </w:rPr>
              <w:t>年</w:t>
            </w:r>
            <w:r>
              <w:rPr>
                <w:rFonts w:hint="eastAsia"/>
                <w:color w:val="auto"/>
                <w:highlight w:val="none"/>
                <w:u w:val="single"/>
              </w:rPr>
              <w:t>10</w:t>
            </w:r>
            <w:r>
              <w:rPr>
                <w:rFonts w:hint="eastAsia"/>
                <w:color w:val="auto"/>
                <w:highlight w:val="none"/>
              </w:rPr>
              <w:t>月的社保证明。职称证书按最高级别计分，不累计计算。工</w:t>
            </w:r>
            <w:r>
              <w:rPr>
                <w:rFonts w:hint="eastAsia" w:hAnsi="宋体" w:cs="宋体"/>
                <w:color w:val="auto"/>
                <w:szCs w:val="21"/>
                <w:highlight w:val="none"/>
              </w:rPr>
              <w:t>作经验年限由毕业证书的签发日期开始计算至投标截止日。不提供或提供不完整不得分。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140" w:type="dxa"/>
            <w:vMerge w:val="restart"/>
            <w:tcBorders>
              <w:left w:val="single" w:color="auto" w:sz="8" w:space="0"/>
              <w:right w:val="single" w:color="auto" w:sz="4" w:space="0"/>
            </w:tcBorders>
            <w:vAlign w:val="center"/>
          </w:tcPr>
          <w:p>
            <w:pPr>
              <w:widowControl/>
              <w:jc w:val="left"/>
              <w:rPr>
                <w:rFonts w:ascii="宋体" w:hAnsi="宋体" w:cs="宋体"/>
                <w:b/>
                <w:bCs/>
                <w:color w:val="auto"/>
                <w:szCs w:val="21"/>
                <w:highlight w:val="none"/>
              </w:rPr>
            </w:pPr>
            <w:r>
              <w:rPr>
                <w:rFonts w:hint="eastAsia" w:ascii="宋体" w:hAnsi="宋体"/>
                <w:color w:val="auto"/>
                <w:szCs w:val="21"/>
                <w:highlight w:val="none"/>
              </w:rPr>
              <w:t>二、企业资信（30分）</w:t>
            </w:r>
          </w:p>
        </w:tc>
        <w:tc>
          <w:tcPr>
            <w:tcW w:w="1667"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bCs/>
                <w:color w:val="auto"/>
                <w:szCs w:val="21"/>
                <w:highlight w:val="none"/>
              </w:rPr>
            </w:pPr>
            <w:r>
              <w:rPr>
                <w:rFonts w:hint="eastAsia" w:ascii="宋体" w:hAnsi="宋体"/>
                <w:color w:val="auto"/>
                <w:szCs w:val="21"/>
                <w:highlight w:val="none"/>
              </w:rPr>
              <w:t>工程业绩</w:t>
            </w:r>
          </w:p>
        </w:tc>
        <w:tc>
          <w:tcPr>
            <w:tcW w:w="640"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bCs/>
                <w:color w:val="auto"/>
                <w:szCs w:val="21"/>
                <w:highlight w:val="none"/>
              </w:rPr>
            </w:pPr>
            <w:r>
              <w:rPr>
                <w:rFonts w:hint="eastAsia" w:ascii="宋体" w:hAnsi="宋体"/>
                <w:color w:val="auto"/>
                <w:szCs w:val="21"/>
                <w:highlight w:val="none"/>
              </w:rPr>
              <w:t>8</w:t>
            </w:r>
          </w:p>
        </w:tc>
        <w:tc>
          <w:tcPr>
            <w:tcW w:w="11871" w:type="dxa"/>
            <w:tcBorders>
              <w:top w:val="single" w:color="auto" w:sz="4" w:space="0"/>
              <w:left w:val="single" w:color="auto" w:sz="4" w:space="0"/>
              <w:right w:val="single" w:color="auto" w:sz="4" w:space="0"/>
            </w:tcBorders>
            <w:vAlign w:val="center"/>
          </w:tcPr>
          <w:p>
            <w:pPr>
              <w:autoSpaceDE w:val="0"/>
              <w:autoSpaceDN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投标人自2</w:t>
            </w:r>
            <w:r>
              <w:rPr>
                <w:rFonts w:ascii="宋体" w:hAnsi="宋体" w:cs="宋体"/>
                <w:color w:val="auto"/>
                <w:szCs w:val="21"/>
                <w:highlight w:val="none"/>
              </w:rPr>
              <w:t>01</w:t>
            </w:r>
            <w:r>
              <w:rPr>
                <w:rFonts w:hint="eastAsia" w:ascii="宋体" w:hAnsi="宋体" w:cs="宋体"/>
                <w:color w:val="auto"/>
                <w:szCs w:val="21"/>
                <w:highlight w:val="none"/>
              </w:rPr>
              <w:t>9年1月1日至投标截止时间止，完成过质量合格且中标金额大于或等于5</w:t>
            </w:r>
            <w:r>
              <w:rPr>
                <w:rFonts w:ascii="宋体" w:hAnsi="宋体" w:cs="宋体"/>
                <w:color w:val="auto"/>
                <w:szCs w:val="21"/>
                <w:highlight w:val="none"/>
              </w:rPr>
              <w:t>00</w:t>
            </w:r>
            <w:r>
              <w:rPr>
                <w:rFonts w:hint="eastAsia" w:ascii="宋体" w:hAnsi="宋体" w:cs="宋体"/>
                <w:color w:val="auto"/>
                <w:szCs w:val="21"/>
                <w:highlight w:val="none"/>
              </w:rPr>
              <w:t>万元的市政公用工程施工业绩，每一项得0.5分，本项最高得8分。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140" w:type="dxa"/>
            <w:vMerge w:val="continue"/>
            <w:tcBorders>
              <w:left w:val="single" w:color="auto" w:sz="8" w:space="0"/>
              <w:right w:val="single" w:color="auto" w:sz="4" w:space="0"/>
            </w:tcBorders>
            <w:vAlign w:val="center"/>
          </w:tcPr>
          <w:p>
            <w:pPr>
              <w:widowControl/>
              <w:jc w:val="left"/>
              <w:rPr>
                <w:rFonts w:ascii="宋体" w:hAnsi="宋体" w:cs="宋体"/>
                <w:b/>
                <w:bCs/>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bCs/>
                <w:color w:val="auto"/>
                <w:szCs w:val="21"/>
                <w:highlight w:val="none"/>
              </w:rPr>
            </w:pPr>
            <w:r>
              <w:rPr>
                <w:rFonts w:hint="eastAsia" w:ascii="宋体" w:hAnsi="宋体"/>
                <w:color w:val="auto"/>
                <w:szCs w:val="21"/>
                <w:highlight w:val="none"/>
              </w:rPr>
              <w:t>工程获奖</w:t>
            </w:r>
          </w:p>
        </w:tc>
        <w:tc>
          <w:tcPr>
            <w:tcW w:w="64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b/>
                <w:bCs/>
                <w:color w:val="auto"/>
                <w:szCs w:val="21"/>
                <w:highlight w:val="none"/>
              </w:rPr>
            </w:pPr>
            <w:r>
              <w:rPr>
                <w:rFonts w:hint="eastAsia" w:ascii="宋体" w:hAnsi="宋体"/>
                <w:color w:val="auto"/>
                <w:szCs w:val="21"/>
                <w:highlight w:val="none"/>
              </w:rPr>
              <w:t>7</w:t>
            </w:r>
          </w:p>
        </w:tc>
        <w:tc>
          <w:tcPr>
            <w:tcW w:w="118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s="宋体"/>
                <w:strike/>
                <w:color w:val="auto"/>
                <w:kern w:val="0"/>
                <w:szCs w:val="21"/>
                <w:highlight w:val="none"/>
              </w:rPr>
            </w:pPr>
            <w:r>
              <w:rPr>
                <w:rFonts w:hint="eastAsia" w:ascii="宋体" w:hAnsi="宋体" w:cs="宋体"/>
                <w:color w:val="auto"/>
                <w:kern w:val="0"/>
                <w:szCs w:val="21"/>
                <w:highlight w:val="none"/>
              </w:rPr>
              <w:t>自2019年1月1日至投标截止时间止，投标人承接的市政公用工程获得过国家级工程质量奖项，每项得1.5分；获得过省级工程质量奖项，每项得1分；获得过市级工程质量奖项，每项得0.5分；本项合计最高得7分。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140" w:type="dxa"/>
            <w:vMerge w:val="continue"/>
            <w:tcBorders>
              <w:left w:val="single" w:color="auto" w:sz="8" w:space="0"/>
              <w:right w:val="single" w:color="auto" w:sz="4" w:space="0"/>
            </w:tcBorders>
            <w:vAlign w:val="center"/>
          </w:tcPr>
          <w:p>
            <w:pPr>
              <w:widowControl/>
              <w:jc w:val="left"/>
              <w:rPr>
                <w:rFonts w:ascii="宋体" w:hAnsi="宋体" w:cs="宋体"/>
                <w:b/>
                <w:bCs/>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工程研发能力</w:t>
            </w:r>
          </w:p>
        </w:tc>
        <w:tc>
          <w:tcPr>
            <w:tcW w:w="64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118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olor w:val="auto"/>
                <w:highlight w:val="none"/>
              </w:rPr>
            </w:pPr>
            <w:r>
              <w:rPr>
                <w:rFonts w:hint="eastAsia" w:ascii="宋体" w:hAnsi="宋体"/>
                <w:color w:val="auto"/>
                <w:highlight w:val="none"/>
              </w:rPr>
              <w:t>投标人自2019年1月1日至投标截止日：</w:t>
            </w:r>
          </w:p>
          <w:p>
            <w:pPr>
              <w:autoSpaceDE w:val="0"/>
              <w:autoSpaceDN w:val="0"/>
              <w:spacing w:line="400" w:lineRule="exact"/>
              <w:rPr>
                <w:rFonts w:ascii="宋体" w:hAnsi="宋体"/>
                <w:color w:val="auto"/>
                <w:highlight w:val="none"/>
              </w:rPr>
            </w:pPr>
            <w:r>
              <w:rPr>
                <w:rFonts w:hint="eastAsia" w:ascii="宋体" w:hAnsi="宋体"/>
                <w:color w:val="auto"/>
                <w:highlight w:val="none"/>
              </w:rPr>
              <w:t>①</w:t>
            </w:r>
            <w:r>
              <w:rPr>
                <w:rFonts w:hint="eastAsia"/>
                <w:color w:val="auto"/>
                <w:szCs w:val="21"/>
                <w:highlight w:val="none"/>
              </w:rPr>
              <w:t>获得国家级市政工程科学技术奖，每项得</w:t>
            </w:r>
            <w:r>
              <w:rPr>
                <w:rFonts w:eastAsia="PMingLiU"/>
                <w:color w:val="auto"/>
                <w:szCs w:val="21"/>
                <w:highlight w:val="none"/>
                <w:lang w:eastAsia="zh-TW"/>
              </w:rPr>
              <w:t>1</w:t>
            </w:r>
            <w:r>
              <w:rPr>
                <w:rFonts w:hint="eastAsia"/>
                <w:color w:val="auto"/>
                <w:szCs w:val="21"/>
                <w:highlight w:val="none"/>
              </w:rPr>
              <w:t>分；获得省级市政工程科学技术奖，每项得</w:t>
            </w:r>
            <w:r>
              <w:rPr>
                <w:rFonts w:eastAsia="PMingLiU"/>
                <w:color w:val="auto"/>
                <w:szCs w:val="21"/>
                <w:highlight w:val="none"/>
                <w:lang w:eastAsia="zh-TW"/>
              </w:rPr>
              <w:t>0.5</w:t>
            </w:r>
            <w:r>
              <w:rPr>
                <w:rFonts w:hint="eastAsia"/>
                <w:color w:val="auto"/>
                <w:szCs w:val="21"/>
                <w:highlight w:val="none"/>
              </w:rPr>
              <w:t>分；获得过市级市政工程科学技术奖，每项得0.25分；合计最高得4分</w:t>
            </w:r>
            <w:r>
              <w:rPr>
                <w:rFonts w:hint="eastAsia" w:ascii="宋体" w:hAnsi="宋体"/>
                <w:color w:val="auto"/>
                <w:szCs w:val="21"/>
                <w:highlight w:val="none"/>
              </w:rPr>
              <w:t>。</w:t>
            </w:r>
          </w:p>
          <w:p>
            <w:pPr>
              <w:pStyle w:val="21"/>
              <w:spacing w:line="400" w:lineRule="exact"/>
              <w:rPr>
                <w:rFonts w:hAnsi="宋体"/>
                <w:color w:val="auto"/>
                <w:highlight w:val="none"/>
              </w:rPr>
            </w:pPr>
            <w:r>
              <w:rPr>
                <w:rFonts w:hint="eastAsia" w:hAnsi="宋体"/>
                <w:color w:val="auto"/>
                <w:szCs w:val="22"/>
                <w:highlight w:val="none"/>
              </w:rPr>
              <w:t>②作为主要完成单位，获得过省级（或以上）市政类工法奖项每项得1分，本项最高得5分。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140" w:type="dxa"/>
            <w:vMerge w:val="continue"/>
            <w:tcBorders>
              <w:left w:val="single" w:color="auto" w:sz="8" w:space="0"/>
              <w:right w:val="single" w:color="auto" w:sz="4" w:space="0"/>
            </w:tcBorders>
            <w:vAlign w:val="center"/>
          </w:tcPr>
          <w:p>
            <w:pPr>
              <w:widowControl/>
              <w:jc w:val="left"/>
              <w:rPr>
                <w:rFonts w:ascii="宋体" w:hAnsi="宋体" w:cs="宋体"/>
                <w:b/>
                <w:bCs/>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s="宋体"/>
                <w:color w:val="auto"/>
                <w:kern w:val="0"/>
                <w:szCs w:val="21"/>
                <w:highlight w:val="none"/>
              </w:rPr>
              <w:t>第三方评价</w:t>
            </w:r>
          </w:p>
        </w:tc>
        <w:tc>
          <w:tcPr>
            <w:tcW w:w="64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118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olor w:val="auto"/>
                <w:highlight w:val="none"/>
              </w:rPr>
            </w:pPr>
            <w:r>
              <w:rPr>
                <w:rFonts w:hint="eastAsia" w:ascii="宋体" w:hAnsi="宋体"/>
                <w:color w:val="auto"/>
                <w:highlight w:val="none"/>
              </w:rPr>
              <w:t>投标人截止至2022年度：</w:t>
            </w:r>
          </w:p>
          <w:p>
            <w:pPr>
              <w:autoSpaceDE w:val="0"/>
              <w:autoSpaceDN w:val="0"/>
              <w:spacing w:line="400" w:lineRule="exact"/>
              <w:rPr>
                <w:rFonts w:ascii="宋体" w:hAnsi="宋体"/>
                <w:color w:val="auto"/>
                <w:highlight w:val="none"/>
              </w:rPr>
            </w:pPr>
            <w:r>
              <w:rPr>
                <w:rFonts w:hint="eastAsia" w:ascii="宋体" w:hAnsi="宋体"/>
                <w:color w:val="auto"/>
                <w:highlight w:val="none"/>
              </w:rPr>
              <w:t>①企业信用</w:t>
            </w:r>
          </w:p>
          <w:p>
            <w:pPr>
              <w:autoSpaceDE w:val="0"/>
              <w:autoSpaceDN w:val="0"/>
              <w:spacing w:line="400" w:lineRule="exact"/>
              <w:rPr>
                <w:rFonts w:ascii="宋体" w:hAnsi="宋体"/>
                <w:color w:val="auto"/>
                <w:highlight w:val="none"/>
              </w:rPr>
            </w:pPr>
            <w:r>
              <w:rPr>
                <w:rFonts w:hint="eastAsia" w:ascii="宋体" w:hAnsi="宋体"/>
                <w:color w:val="auto"/>
                <w:highlight w:val="none"/>
              </w:rPr>
              <w:t>（1）连续</w:t>
            </w:r>
            <w:r>
              <w:rPr>
                <w:rFonts w:ascii="宋体" w:hAnsi="宋体"/>
                <w:color w:val="auto"/>
                <w:highlight w:val="none"/>
              </w:rPr>
              <w:t>5</w:t>
            </w:r>
            <w:r>
              <w:rPr>
                <w:rFonts w:hint="eastAsia" w:ascii="宋体" w:hAnsi="宋体"/>
                <w:color w:val="auto"/>
                <w:highlight w:val="none"/>
              </w:rPr>
              <w:t>次及以上获得</w:t>
            </w:r>
            <w:r>
              <w:rPr>
                <w:rFonts w:hint="eastAsia" w:ascii="宋体" w:hAnsi="宋体" w:cs="宋体"/>
                <w:color w:val="auto"/>
                <w:highlight w:val="none"/>
              </w:rPr>
              <w:t>AAA企业信用等级评价</w:t>
            </w:r>
            <w:r>
              <w:rPr>
                <w:rFonts w:hint="eastAsia" w:ascii="宋体" w:hAnsi="宋体"/>
                <w:color w:val="auto"/>
                <w:highlight w:val="none"/>
              </w:rPr>
              <w:t>的得4分；</w:t>
            </w:r>
          </w:p>
          <w:p>
            <w:pPr>
              <w:autoSpaceDE w:val="0"/>
              <w:autoSpaceDN w:val="0"/>
              <w:spacing w:line="400" w:lineRule="exact"/>
              <w:rPr>
                <w:rFonts w:ascii="宋体" w:hAnsi="宋体"/>
                <w:color w:val="auto"/>
                <w:highlight w:val="none"/>
              </w:rPr>
            </w:pPr>
            <w:r>
              <w:rPr>
                <w:rFonts w:hint="eastAsia" w:ascii="宋体" w:hAnsi="宋体"/>
                <w:color w:val="auto"/>
                <w:highlight w:val="none"/>
              </w:rPr>
              <w:t>（2）连续</w:t>
            </w:r>
            <w:r>
              <w:rPr>
                <w:rFonts w:ascii="宋体" w:hAnsi="宋体"/>
                <w:color w:val="auto"/>
                <w:highlight w:val="none"/>
              </w:rPr>
              <w:t>4</w:t>
            </w:r>
            <w:r>
              <w:rPr>
                <w:rFonts w:hint="eastAsia" w:ascii="宋体" w:hAnsi="宋体"/>
                <w:color w:val="auto"/>
                <w:highlight w:val="none"/>
              </w:rPr>
              <w:t>次获得</w:t>
            </w:r>
            <w:r>
              <w:rPr>
                <w:rFonts w:hint="eastAsia" w:ascii="宋体" w:hAnsi="宋体" w:cs="宋体"/>
                <w:color w:val="auto"/>
                <w:highlight w:val="none"/>
              </w:rPr>
              <w:t>AAA企业信用等级评价</w:t>
            </w:r>
            <w:r>
              <w:rPr>
                <w:rFonts w:hint="eastAsia" w:ascii="宋体" w:hAnsi="宋体"/>
                <w:color w:val="auto"/>
                <w:highlight w:val="none"/>
              </w:rPr>
              <w:t>的得2分；</w:t>
            </w:r>
          </w:p>
          <w:p>
            <w:pPr>
              <w:autoSpaceDE w:val="0"/>
              <w:autoSpaceDN w:val="0"/>
              <w:spacing w:line="400" w:lineRule="exact"/>
              <w:rPr>
                <w:rFonts w:ascii="宋体" w:hAnsi="宋体"/>
                <w:color w:val="auto"/>
                <w:highlight w:val="none"/>
              </w:rPr>
            </w:pPr>
            <w:r>
              <w:rPr>
                <w:rFonts w:hint="eastAsia" w:ascii="宋体" w:hAnsi="宋体"/>
                <w:color w:val="auto"/>
                <w:highlight w:val="none"/>
              </w:rPr>
              <w:t>（3）连续</w:t>
            </w:r>
            <w:r>
              <w:rPr>
                <w:rFonts w:ascii="宋体" w:hAnsi="宋体"/>
                <w:color w:val="auto"/>
                <w:highlight w:val="none"/>
              </w:rPr>
              <w:t>3</w:t>
            </w:r>
            <w:r>
              <w:rPr>
                <w:rFonts w:hint="eastAsia" w:ascii="宋体" w:hAnsi="宋体"/>
                <w:color w:val="auto"/>
                <w:highlight w:val="none"/>
              </w:rPr>
              <w:t>次获得</w:t>
            </w:r>
            <w:r>
              <w:rPr>
                <w:rFonts w:hint="eastAsia" w:ascii="宋体" w:hAnsi="宋体" w:cs="宋体"/>
                <w:color w:val="auto"/>
                <w:highlight w:val="none"/>
              </w:rPr>
              <w:t>AAA企业信用等级评价</w:t>
            </w:r>
            <w:r>
              <w:rPr>
                <w:rFonts w:hint="eastAsia" w:ascii="宋体" w:hAnsi="宋体"/>
                <w:color w:val="auto"/>
                <w:highlight w:val="none"/>
              </w:rPr>
              <w:t>的得1分；</w:t>
            </w:r>
          </w:p>
          <w:p>
            <w:pPr>
              <w:pStyle w:val="21"/>
              <w:spacing w:line="400" w:lineRule="exact"/>
              <w:rPr>
                <w:rFonts w:hAnsi="宋体"/>
                <w:color w:val="auto"/>
                <w:highlight w:val="none"/>
              </w:rPr>
            </w:pPr>
            <w:r>
              <w:rPr>
                <w:rFonts w:hint="eastAsia" w:hAnsi="宋体" w:cs="宋体"/>
                <w:color w:val="auto"/>
                <w:kern w:val="0"/>
                <w:szCs w:val="21"/>
                <w:highlight w:val="none"/>
              </w:rPr>
              <w:t>其他不得分，本小项最高4分。</w:t>
            </w:r>
          </w:p>
          <w:p>
            <w:pPr>
              <w:pStyle w:val="21"/>
              <w:spacing w:line="400" w:lineRule="exact"/>
              <w:rPr>
                <w:rFonts w:hAnsi="宋体"/>
                <w:color w:val="auto"/>
                <w:szCs w:val="22"/>
                <w:highlight w:val="none"/>
              </w:rPr>
            </w:pPr>
            <w:r>
              <w:rPr>
                <w:rFonts w:hint="eastAsia" w:hAnsi="宋体"/>
                <w:color w:val="auto"/>
                <w:szCs w:val="22"/>
                <w:highlight w:val="none"/>
              </w:rPr>
              <w:t>②连续获得“纳税信用A级纳税人”的年限（须包含2022年度）</w:t>
            </w:r>
          </w:p>
          <w:p>
            <w:pPr>
              <w:pStyle w:val="156"/>
              <w:shd w:val="clear" w:color="auto" w:fill="auto"/>
              <w:snapToGrid w:val="0"/>
              <w:spacing w:line="400" w:lineRule="exact"/>
              <w:rPr>
                <w:color w:val="auto"/>
                <w:kern w:val="2"/>
                <w:sz w:val="21"/>
                <w:szCs w:val="22"/>
                <w:highlight w:val="none"/>
              </w:rPr>
            </w:pPr>
            <w:r>
              <w:rPr>
                <w:rFonts w:hint="eastAsia"/>
                <w:color w:val="auto"/>
                <w:kern w:val="2"/>
                <w:sz w:val="21"/>
                <w:szCs w:val="22"/>
                <w:highlight w:val="none"/>
              </w:rPr>
              <w:t>（1）连续获得5年（或以上）的，得2分；</w:t>
            </w:r>
          </w:p>
          <w:p>
            <w:pPr>
              <w:pStyle w:val="156"/>
              <w:shd w:val="clear" w:color="auto" w:fill="auto"/>
              <w:snapToGrid w:val="0"/>
              <w:spacing w:line="400" w:lineRule="exact"/>
              <w:rPr>
                <w:color w:val="auto"/>
                <w:kern w:val="2"/>
                <w:sz w:val="21"/>
                <w:szCs w:val="22"/>
                <w:highlight w:val="none"/>
              </w:rPr>
            </w:pPr>
            <w:r>
              <w:rPr>
                <w:rFonts w:hint="eastAsia"/>
                <w:color w:val="auto"/>
                <w:kern w:val="2"/>
                <w:sz w:val="21"/>
                <w:szCs w:val="22"/>
                <w:highlight w:val="none"/>
              </w:rPr>
              <w:t>（2）连续获得3年—4年的，得1分；</w:t>
            </w:r>
          </w:p>
          <w:p>
            <w:pPr>
              <w:pStyle w:val="156"/>
              <w:shd w:val="clear" w:color="auto" w:fill="auto"/>
              <w:snapToGrid w:val="0"/>
              <w:spacing w:line="400" w:lineRule="exact"/>
              <w:rPr>
                <w:color w:val="auto"/>
                <w:kern w:val="2"/>
                <w:sz w:val="21"/>
                <w:szCs w:val="22"/>
                <w:highlight w:val="none"/>
              </w:rPr>
            </w:pPr>
            <w:r>
              <w:rPr>
                <w:rFonts w:hint="eastAsia"/>
                <w:color w:val="auto"/>
                <w:kern w:val="2"/>
                <w:sz w:val="21"/>
                <w:szCs w:val="22"/>
                <w:highlight w:val="none"/>
              </w:rPr>
              <w:t>（3）连续获得1年—2年的，得0.5分。</w:t>
            </w:r>
          </w:p>
          <w:p>
            <w:pPr>
              <w:pStyle w:val="21"/>
              <w:spacing w:line="400" w:lineRule="exact"/>
              <w:rPr>
                <w:rFonts w:hAnsi="宋体"/>
                <w:color w:val="auto"/>
                <w:highlight w:val="none"/>
              </w:rPr>
            </w:pPr>
            <w:r>
              <w:rPr>
                <w:rFonts w:hint="eastAsia" w:hAnsi="宋体" w:cs="宋体"/>
                <w:color w:val="auto"/>
                <w:kern w:val="0"/>
                <w:szCs w:val="21"/>
                <w:highlight w:val="none"/>
              </w:rPr>
              <w:t>其他不得分，本小项最高2分。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2807" w:type="dxa"/>
            <w:gridSpan w:val="2"/>
            <w:tcBorders>
              <w:left w:val="single" w:color="auto" w:sz="8" w:space="0"/>
              <w:right w:val="single" w:color="auto" w:sz="4" w:space="0"/>
            </w:tcBorders>
            <w:vAlign w:val="center"/>
          </w:tcPr>
          <w:p>
            <w:pPr>
              <w:widowControl/>
              <w:snapToGrid w:val="0"/>
              <w:spacing w:line="400" w:lineRule="exact"/>
              <w:jc w:val="center"/>
              <w:rPr>
                <w:rFonts w:ascii="宋体" w:hAnsi="宋体" w:cs="宋体"/>
                <w:color w:val="auto"/>
                <w:kern w:val="0"/>
                <w:szCs w:val="21"/>
                <w:highlight w:val="none"/>
              </w:rPr>
            </w:pPr>
            <w:r>
              <w:rPr>
                <w:rFonts w:hint="eastAsia" w:ascii="宋体" w:hAnsi="宋体" w:cs="宋体"/>
                <w:b/>
                <w:bCs/>
                <w:color w:val="auto"/>
                <w:szCs w:val="21"/>
                <w:highlight w:val="none"/>
              </w:rPr>
              <w:t>合计</w:t>
            </w:r>
          </w:p>
        </w:tc>
        <w:tc>
          <w:tcPr>
            <w:tcW w:w="640"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s="宋体"/>
                <w:b/>
                <w:bCs/>
                <w:color w:val="auto"/>
                <w:szCs w:val="21"/>
                <w:highlight w:val="none"/>
              </w:rPr>
              <w:t>10</w:t>
            </w:r>
            <w:r>
              <w:rPr>
                <w:rFonts w:hint="eastAsia" w:ascii="宋体" w:hAnsi="宋体" w:cs="宋体"/>
                <w:b/>
                <w:bCs/>
                <w:color w:val="auto"/>
                <w:szCs w:val="21"/>
                <w:highlight w:val="none"/>
              </w:rPr>
              <w:t>0分</w:t>
            </w:r>
          </w:p>
        </w:tc>
        <w:tc>
          <w:tcPr>
            <w:tcW w:w="11871"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宋体" w:hAnsi="宋体"/>
                <w:color w:val="auto"/>
                <w:szCs w:val="21"/>
                <w:highlight w:val="none"/>
              </w:rPr>
            </w:pPr>
          </w:p>
        </w:tc>
      </w:tr>
    </w:tbl>
    <w:p>
      <w:pPr>
        <w:pStyle w:val="143"/>
        <w:spacing w:line="360" w:lineRule="auto"/>
        <w:ind w:firstLine="400"/>
        <w:rPr>
          <w:rFonts w:ascii="宋体" w:hAnsi="宋体" w:cs="宋体"/>
          <w:color w:val="auto"/>
          <w:szCs w:val="21"/>
          <w:highlight w:val="none"/>
        </w:rPr>
      </w:pPr>
      <w:r>
        <w:rPr>
          <w:rFonts w:hint="eastAsia" w:ascii="宋体" w:hAnsi="宋体"/>
          <w:color w:val="auto"/>
          <w:szCs w:val="21"/>
          <w:highlight w:val="none"/>
        </w:rPr>
        <w:t>备注：</w:t>
      </w:r>
      <w:r>
        <w:rPr>
          <w:rFonts w:ascii="宋体" w:hAnsi="宋体"/>
          <w:b/>
          <w:bCs/>
          <w:color w:val="auto"/>
          <w:szCs w:val="21"/>
          <w:highlight w:val="none"/>
        </w:rPr>
        <w:t>1、</w:t>
      </w:r>
      <w:r>
        <w:rPr>
          <w:rFonts w:hint="eastAsia" w:ascii="宋体" w:hAnsi="宋体"/>
          <w:b/>
          <w:bCs/>
          <w:color w:val="auto"/>
          <w:szCs w:val="21"/>
          <w:highlight w:val="none"/>
        </w:rPr>
        <w:t>工程业绩：</w:t>
      </w:r>
      <w:r>
        <w:rPr>
          <w:rFonts w:hint="eastAsia" w:ascii="宋体" w:hAnsi="宋体" w:cs="宋体"/>
          <w:color w:val="auto"/>
          <w:szCs w:val="21"/>
          <w:highlight w:val="none"/>
        </w:rPr>
        <w:t>需提供中标通知书（如为免招标项目无须提供中标通知书，但须提供相应的免招标证明文件）、施工合同、竣工验收文件的扫描件并加盖电子签章，中标金额以中标通知书为准，中标通知书上没有金额或免招标的，以施工合同（不含补充合同）为准。完成时间以竣工验收文件为准。验收文件至少具有建设单位、设计、施工和监理单位盖章。</w:t>
      </w:r>
    </w:p>
    <w:p>
      <w:pPr>
        <w:autoSpaceDE w:val="0"/>
        <w:autoSpaceDN w:val="0"/>
        <w:spacing w:line="360" w:lineRule="auto"/>
        <w:ind w:firstLine="400" w:firstLineChars="200"/>
        <w:rPr>
          <w:rFonts w:ascii="宋体" w:hAnsi="宋体" w:cs="宋体"/>
          <w:color w:val="auto"/>
          <w:sz w:val="20"/>
          <w:szCs w:val="20"/>
          <w:highlight w:val="none"/>
        </w:rPr>
      </w:pPr>
      <w:r>
        <w:rPr>
          <w:rFonts w:ascii="宋体" w:hAnsi="宋体"/>
          <w:b/>
          <w:color w:val="auto"/>
          <w:sz w:val="20"/>
          <w:szCs w:val="20"/>
          <w:highlight w:val="none"/>
        </w:rPr>
        <w:t>2</w:t>
      </w:r>
      <w:r>
        <w:rPr>
          <w:rFonts w:hint="eastAsia" w:ascii="宋体" w:hAnsi="宋体"/>
          <w:b/>
          <w:color w:val="auto"/>
          <w:sz w:val="20"/>
          <w:szCs w:val="20"/>
          <w:highlight w:val="none"/>
        </w:rPr>
        <w:t>、工程获奖：</w:t>
      </w:r>
      <w:r>
        <w:rPr>
          <w:rFonts w:hint="eastAsia" w:ascii="宋体" w:hAnsi="宋体" w:cs="宋体"/>
          <w:color w:val="auto"/>
          <w:sz w:val="20"/>
          <w:szCs w:val="20"/>
          <w:highlight w:val="none"/>
        </w:rPr>
        <w:t>国家级工程质量奖项为中国建设工程鲁班奖或国家优质工程金质奖或国家优质工程奖或中国土木工程詹天佑奖或全国市政金杯示范工程奖。省级或市级工程质量奖项为省级或市级行政主管部门或行业协会颁发的工程质量奖项。如颁发单位为行业协会的，还须提供该协会在“全国社会组织信用信息公示平台（试运行）”己登记备案的查询信息截图页（网址：https://xxgs.chinanpo.mca.gov.cn/gsxt/newList）。只计算承建项目获奖（包括联合承建），参建项目或子公司获奖不参与计分。只计算市政公用工程获奖得分，其他非市政公用工程项目，如：房建、铁路、化工、冶金等获奖不参与计分。同一项目按最高级别获奖计分，如获得同级别的不同奖项只计分一次。需提供证书扫描件作为证明依据，时间以获奖证书发证日期为准。如未颁发证书，需提供相关奖项颁发协会/学会网站名单截图并加盖投标单位</w:t>
      </w:r>
      <w:r>
        <w:rPr>
          <w:rFonts w:hint="eastAsia" w:cs="宋体"/>
          <w:color w:val="auto"/>
          <w:sz w:val="20"/>
          <w:szCs w:val="20"/>
          <w:highlight w:val="none"/>
        </w:rPr>
        <w:t>电子印章</w:t>
      </w:r>
      <w:r>
        <w:rPr>
          <w:rFonts w:hint="eastAsia" w:ascii="宋体" w:hAnsi="宋体" w:cs="宋体"/>
          <w:color w:val="auto"/>
          <w:sz w:val="20"/>
          <w:szCs w:val="20"/>
          <w:highlight w:val="none"/>
        </w:rPr>
        <w:t>。</w:t>
      </w:r>
    </w:p>
    <w:p>
      <w:pPr>
        <w:adjustRightInd w:val="0"/>
        <w:snapToGrid w:val="0"/>
        <w:spacing w:line="360" w:lineRule="auto"/>
        <w:ind w:firstLine="400" w:firstLineChars="200"/>
        <w:rPr>
          <w:rFonts w:ascii="宋体" w:hAnsi="宋体"/>
          <w:color w:val="auto"/>
          <w:sz w:val="20"/>
          <w:szCs w:val="20"/>
          <w:highlight w:val="none"/>
        </w:rPr>
      </w:pPr>
      <w:r>
        <w:rPr>
          <w:rFonts w:ascii="宋体" w:hAnsi="宋体"/>
          <w:b/>
          <w:bCs/>
          <w:color w:val="auto"/>
          <w:sz w:val="20"/>
          <w:szCs w:val="20"/>
          <w:highlight w:val="none"/>
        </w:rPr>
        <w:t>3</w:t>
      </w:r>
      <w:r>
        <w:rPr>
          <w:rFonts w:hint="eastAsia" w:ascii="宋体" w:hAnsi="宋体"/>
          <w:b/>
          <w:bCs/>
          <w:color w:val="auto"/>
          <w:sz w:val="20"/>
          <w:szCs w:val="20"/>
          <w:highlight w:val="none"/>
        </w:rPr>
        <w:t>、工程研发能力：</w:t>
      </w:r>
      <w:r>
        <w:rPr>
          <w:rFonts w:hint="eastAsia" w:ascii="宋体" w:hAnsi="宋体"/>
          <w:color w:val="auto"/>
          <w:sz w:val="20"/>
          <w:szCs w:val="20"/>
          <w:highlight w:val="none"/>
        </w:rPr>
        <w:t>（1）国家级市政工程科学技术奖包含“国家科学技术进步奖”或“全国市政工程科学技术奖”等，市级或省级市政工程科学技术奖是指市级或省级建设行政主管部门或科技行政部门或行业协会颁发的市政工程科学技术奖项；须提供获奖证书扫描件和行政主管部门或科技行政部门认可的组织出具的科学技术成果鉴定证书或第三方技术评价证明材料（体现该奖项研究背景项目为市政类项目），时间以证书颁发时间为准，同一项目获得多个奖项的，该项目获奖只按其中一个奖项所在最高级别计算一次分数，不得重复计算；其中协会颁发的奖项，要求发证协会必须经民政部门依法登记成立，且提供其在“全国社会组织信用信息公示平台（试运行）”网站（https://xxgs.chinanpo.mca.gov.cn/gsxt/newList）查询结果的网页打印页，否则该项不得分。无提交上述资料不计分。</w:t>
      </w:r>
    </w:p>
    <w:p>
      <w:pPr>
        <w:adjustRightInd w:val="0"/>
        <w:snapToGrid w:val="0"/>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2）工法证书须提供经建设行政主管部门认定的工法获奖证书扫描件，另须提供由省级或以上建设职能部门（或其主管的行业协会）出具（对工法科技成果内容及其应用在具体工程项目所产生的效益进行鉴定）的科学技术成果鉴定证书扫描件，并且在科学技术成果鉴定证书中需明确该工法的研究背景项目为市政类项目，并提供其鉴定证书所对应的工程项目施工许可证（投标人须为该施工许可证中的施工总承包单位），工法科技成果为投标单位子公司名义的不作计算。无法提供以上证明材料或提供的证明材料不符合要求或证明材料未加盖投标人电子印章的不得分。</w:t>
      </w:r>
    </w:p>
    <w:p>
      <w:pPr>
        <w:adjustRightInd w:val="0"/>
        <w:snapToGrid w:val="0"/>
        <w:spacing w:line="360" w:lineRule="auto"/>
        <w:ind w:firstLine="400" w:firstLineChars="200"/>
        <w:rPr>
          <w:rFonts w:ascii="宋体" w:hAnsi="宋体"/>
          <w:color w:val="auto"/>
          <w:sz w:val="20"/>
          <w:szCs w:val="20"/>
          <w:highlight w:val="none"/>
        </w:rPr>
      </w:pPr>
      <w:r>
        <w:rPr>
          <w:rFonts w:ascii="宋体" w:hAnsi="宋体"/>
          <w:b/>
          <w:bCs/>
          <w:color w:val="auto"/>
          <w:sz w:val="20"/>
          <w:szCs w:val="20"/>
          <w:highlight w:val="none"/>
        </w:rPr>
        <w:t>4</w:t>
      </w:r>
      <w:r>
        <w:rPr>
          <w:rFonts w:hint="eastAsia" w:ascii="宋体" w:hAnsi="宋体"/>
          <w:b/>
          <w:bCs/>
          <w:color w:val="auto"/>
          <w:sz w:val="20"/>
          <w:szCs w:val="20"/>
          <w:highlight w:val="none"/>
        </w:rPr>
        <w:t>、第三方评价：</w:t>
      </w:r>
      <w:r>
        <w:rPr>
          <w:rFonts w:hint="eastAsia" w:ascii="宋体" w:hAnsi="宋体"/>
          <w:color w:val="auto"/>
          <w:sz w:val="20"/>
          <w:szCs w:val="20"/>
          <w:highlight w:val="none"/>
        </w:rPr>
        <w:t>（</w:t>
      </w:r>
      <w:r>
        <w:rPr>
          <w:rFonts w:ascii="宋体" w:hAnsi="宋体"/>
          <w:color w:val="auto"/>
          <w:sz w:val="20"/>
          <w:szCs w:val="20"/>
          <w:highlight w:val="none"/>
        </w:rPr>
        <w:t>1）</w:t>
      </w:r>
      <w:r>
        <w:rPr>
          <w:rFonts w:hint="eastAsia" w:ascii="宋体" w:hAnsi="宋体"/>
          <w:color w:val="auto"/>
          <w:sz w:val="20"/>
          <w:szCs w:val="20"/>
          <w:highlight w:val="none"/>
        </w:rPr>
        <w:t>AAA企业信用等级评价：</w:t>
      </w:r>
    </w:p>
    <w:p>
      <w:pPr>
        <w:adjustRightInd w:val="0"/>
        <w:snapToGrid w:val="0"/>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①以施工相关的国家级行业协会颁发的企业信用等级证书为准；得分只计算单一评价机构评价的最长连续次数，不同评价机构的评价不累计得分；</w:t>
      </w:r>
    </w:p>
    <w:p>
      <w:pPr>
        <w:adjustRightInd w:val="0"/>
        <w:snapToGrid w:val="0"/>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②</w:t>
      </w:r>
      <w:r>
        <w:rPr>
          <w:rFonts w:hint="eastAsia" w:ascii="宋体" w:hAnsi="宋体" w:cs="宋体"/>
          <w:color w:val="auto"/>
          <w:sz w:val="20"/>
          <w:szCs w:val="20"/>
          <w:highlight w:val="none"/>
        </w:rPr>
        <w:t>投标人每获得一份证书记一次获得，且最近获得的证书须在有效期内。</w:t>
      </w:r>
      <w:r>
        <w:rPr>
          <w:rFonts w:hint="eastAsia" w:ascii="宋体" w:hAnsi="宋体"/>
          <w:color w:val="auto"/>
          <w:sz w:val="20"/>
          <w:szCs w:val="20"/>
          <w:highlight w:val="none"/>
        </w:rPr>
        <w:t>具体评审时间标准以评价机构的评审要求为准，如证书有效期为3年，相邻两次证书的评价时间（或颁发日期）间隔不超三个年度方可计算两次评价的连续年数；证书的评价时间以“评价时间”或“颁发日期”显示的年度为准，如“评价时间”与“颁发日期”不一致时，以“评价时间”显示的年度为准。</w:t>
      </w:r>
      <w:r>
        <w:rPr>
          <w:rFonts w:hint="eastAsia" w:ascii="宋体" w:hAnsi="宋体" w:cs="宋体"/>
          <w:color w:val="auto"/>
          <w:sz w:val="20"/>
          <w:szCs w:val="20"/>
          <w:highlight w:val="none"/>
        </w:rPr>
        <w:t>投标人须提供证书扫描件及颁发协会网站查询结果截图及网址，上述资料显示的企业全称须与投标人单位全称一致。</w:t>
      </w:r>
      <w:r>
        <w:rPr>
          <w:rFonts w:hint="eastAsia"/>
          <w:color w:val="auto"/>
          <w:sz w:val="20"/>
          <w:szCs w:val="20"/>
          <w:highlight w:val="none"/>
        </w:rPr>
        <w:t>并同时提供其在“中国社会组织政务服务平台”网站（</w:t>
      </w:r>
      <w:r>
        <w:rPr>
          <w:color w:val="auto"/>
          <w:sz w:val="20"/>
          <w:szCs w:val="20"/>
          <w:highlight w:val="none"/>
        </w:rPr>
        <w:t>https://chinanpo.mca.gov.cn/</w:t>
      </w:r>
      <w:r>
        <w:rPr>
          <w:rFonts w:hint="eastAsia"/>
          <w:color w:val="auto"/>
          <w:sz w:val="20"/>
          <w:szCs w:val="20"/>
          <w:highlight w:val="none"/>
        </w:rPr>
        <w:t>）查询结果的网页信息截图。</w:t>
      </w:r>
      <w:r>
        <w:rPr>
          <w:rFonts w:hint="eastAsia" w:ascii="宋体" w:hAnsi="宋体"/>
          <w:color w:val="auto"/>
          <w:sz w:val="20"/>
          <w:szCs w:val="20"/>
          <w:highlight w:val="none"/>
        </w:rPr>
        <w:t>只计算投标人自身，不计算投标人的子公司、分公司及分支机构。否则不得分。</w:t>
      </w:r>
      <w:r>
        <w:rPr>
          <w:rFonts w:hint="eastAsia" w:ascii="宋体" w:hAnsi="宋体" w:cs="宋体"/>
          <w:color w:val="auto"/>
          <w:sz w:val="20"/>
          <w:szCs w:val="20"/>
          <w:highlight w:val="none"/>
        </w:rPr>
        <w:t>不符合上述条件或未提供上述资料的不得分。</w:t>
      </w:r>
    </w:p>
    <w:p>
      <w:pPr>
        <w:adjustRightInd w:val="0"/>
        <w:snapToGrid w:val="0"/>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2）“纳税信用A级纳税人”称号须提供证书扫描件和省级或以上税务局网站纳税信用信息查询结果网页截图并加盖投标人企业电子印章。“纳税信用A级纳税人”称号仅计算投标人自身（不包括子公司、分公司及分支机构），须含最新评审年度（202</w:t>
      </w:r>
      <w:r>
        <w:rPr>
          <w:rFonts w:ascii="宋体" w:hAnsi="宋体"/>
          <w:color w:val="auto"/>
          <w:sz w:val="20"/>
          <w:szCs w:val="20"/>
          <w:highlight w:val="none"/>
        </w:rPr>
        <w:t>2</w:t>
      </w:r>
      <w:r>
        <w:rPr>
          <w:rFonts w:hint="eastAsia" w:ascii="宋体" w:hAnsi="宋体"/>
          <w:color w:val="auto"/>
          <w:sz w:val="20"/>
          <w:szCs w:val="20"/>
          <w:highlight w:val="none"/>
        </w:rPr>
        <w:t>年度）。不符合上述条件或未提供上述资料或无加盖投标人电子印章的不得分。时间以评价年度为准。</w:t>
      </w:r>
    </w:p>
    <w:p>
      <w:pPr>
        <w:adjustRightInd w:val="0"/>
        <w:snapToGrid w:val="0"/>
        <w:spacing w:line="360" w:lineRule="auto"/>
        <w:ind w:left="-2" w:firstLine="400" w:firstLineChars="200"/>
        <w:rPr>
          <w:rFonts w:ascii="宋体" w:hAnsi="宋体" w:cs="宋体"/>
          <w:color w:val="auto"/>
          <w:sz w:val="20"/>
          <w:szCs w:val="20"/>
          <w:highlight w:val="none"/>
        </w:rPr>
      </w:pPr>
      <w:r>
        <w:rPr>
          <w:rFonts w:ascii="宋体" w:hAnsi="宋体" w:cs="宋体"/>
          <w:b/>
          <w:bCs/>
          <w:color w:val="auto"/>
          <w:sz w:val="20"/>
          <w:szCs w:val="20"/>
          <w:highlight w:val="none"/>
        </w:rPr>
        <w:t>5</w:t>
      </w:r>
      <w:r>
        <w:rPr>
          <w:rFonts w:hint="eastAsia" w:ascii="宋体" w:hAnsi="宋体" w:cs="宋体"/>
          <w:b/>
          <w:bCs/>
          <w:color w:val="auto"/>
          <w:sz w:val="20"/>
          <w:szCs w:val="20"/>
          <w:highlight w:val="none"/>
        </w:rPr>
        <w:t>、项目管理机构人员：</w:t>
      </w:r>
      <w:r>
        <w:rPr>
          <w:rFonts w:hint="eastAsia" w:ascii="宋体" w:hAnsi="宋体" w:cs="宋体"/>
          <w:color w:val="auto"/>
          <w:sz w:val="20"/>
          <w:szCs w:val="20"/>
          <w:highlight w:val="none"/>
        </w:rPr>
        <w:t>项目管理机构人员应为注册在该投标人的在册人员（不</w:t>
      </w:r>
      <w:r>
        <w:rPr>
          <w:rFonts w:hint="eastAsia" w:cs="宋体"/>
          <w:color w:val="auto"/>
          <w:sz w:val="20"/>
          <w:szCs w:val="20"/>
          <w:highlight w:val="none"/>
        </w:rPr>
        <w:t>包括具有独立法人资格的</w:t>
      </w:r>
      <w:r>
        <w:rPr>
          <w:rFonts w:hint="eastAsia" w:ascii="宋体" w:hAnsi="宋体" w:cs="宋体"/>
          <w:color w:val="auto"/>
          <w:sz w:val="20"/>
          <w:szCs w:val="20"/>
          <w:highlight w:val="none"/>
        </w:rPr>
        <w:t>子母公司人员）</w:t>
      </w:r>
      <w:r>
        <w:rPr>
          <w:rFonts w:hint="eastAsia" w:cs="宋体"/>
          <w:color w:val="auto"/>
          <w:sz w:val="20"/>
          <w:szCs w:val="20"/>
          <w:highlight w:val="none"/>
        </w:rPr>
        <w:t>，</w:t>
      </w:r>
      <w:r>
        <w:rPr>
          <w:rFonts w:hint="eastAsia" w:ascii="宋体" w:hAnsi="宋体" w:cs="宋体"/>
          <w:color w:val="auto"/>
          <w:sz w:val="20"/>
          <w:szCs w:val="20"/>
          <w:highlight w:val="none"/>
        </w:rPr>
        <w:t>如投标人为集团公司，则不含集团</w:t>
      </w:r>
      <w:r>
        <w:rPr>
          <w:rFonts w:hint="eastAsia" w:cs="宋体"/>
          <w:color w:val="auto"/>
          <w:sz w:val="20"/>
          <w:szCs w:val="20"/>
          <w:highlight w:val="none"/>
        </w:rPr>
        <w:t>有独立法人资格的</w:t>
      </w:r>
      <w:r>
        <w:rPr>
          <w:rFonts w:hint="eastAsia" w:ascii="宋体" w:hAnsi="宋体" w:cs="宋体"/>
          <w:color w:val="auto"/>
          <w:sz w:val="20"/>
          <w:szCs w:val="20"/>
          <w:highlight w:val="none"/>
        </w:rPr>
        <w:t>下属子公司，专指集团本部人员</w:t>
      </w:r>
      <w:r>
        <w:rPr>
          <w:rFonts w:hint="eastAsia" w:cs="宋体"/>
          <w:color w:val="auto"/>
          <w:sz w:val="20"/>
          <w:szCs w:val="20"/>
          <w:highlight w:val="none"/>
        </w:rPr>
        <w:t>，</w:t>
      </w:r>
      <w:r>
        <w:rPr>
          <w:rFonts w:hint="eastAsia" w:ascii="宋体" w:hAnsi="宋体" w:cs="宋体"/>
          <w:color w:val="auto"/>
          <w:sz w:val="20"/>
          <w:szCs w:val="20"/>
          <w:highlight w:val="none"/>
        </w:rPr>
        <w:t>同样下属公司也不得使用集团公司的人员。各岗位人员不得相互兼职。</w:t>
      </w:r>
    </w:p>
    <w:p>
      <w:pPr>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6、本评分表中所附所有证明材料均须提供原件扫描件或网页页面截图打印件并同时加盖投标人电子公章，且内容必须清晰可辨，如因提供资料内容模糊导致评标时无法判断的，后果由投标人自负。未按要求提供上述资料或资料提供不完整或资料不符合要求的不得分。</w:t>
      </w:r>
    </w:p>
    <w:p>
      <w:pPr>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7、</w:t>
      </w:r>
      <w:r>
        <w:rPr>
          <w:rFonts w:hint="eastAsia" w:ascii="宋体" w:hAnsi="宋体" w:cs="宋体"/>
          <w:color w:val="auto"/>
          <w:sz w:val="20"/>
          <w:szCs w:val="20"/>
          <w:highlight w:val="none"/>
          <w:lang w:val="zh-CN"/>
        </w:rPr>
        <w:t>本表按百分制评分，所有评委每个分项的分数汇总后的算术平均值为投标人的最终得分。分数出现小数点，保留小数点后二位小数，第三位小数四舍五入</w:t>
      </w:r>
      <w:r>
        <w:rPr>
          <w:rFonts w:hint="eastAsia" w:ascii="宋体" w:hAnsi="宋体" w:cs="宋体"/>
          <w:color w:val="auto"/>
          <w:kern w:val="0"/>
          <w:sz w:val="20"/>
          <w:szCs w:val="20"/>
          <w:highlight w:val="none"/>
          <w:lang w:val="zh-CN" w:bidi="zh-CN"/>
        </w:rPr>
        <w:t>。</w:t>
      </w:r>
    </w:p>
    <w:p>
      <w:pPr>
        <w:spacing w:line="360" w:lineRule="auto"/>
        <w:ind w:firstLine="459"/>
        <w:rPr>
          <w:color w:val="auto"/>
          <w:highlight w:val="none"/>
        </w:rPr>
      </w:pPr>
      <w:r>
        <w:rPr>
          <w:rFonts w:hint="eastAsia" w:cs="Calibri"/>
          <w:color w:val="auto"/>
          <w:kern w:val="0"/>
          <w:szCs w:val="21"/>
          <w:highlight w:val="none"/>
        </w:rPr>
        <w:t xml:space="preserve">评委签名：     </w:t>
      </w:r>
    </w:p>
    <w:p>
      <w:pPr>
        <w:rPr>
          <w:color w:val="auto"/>
          <w:highlight w:val="none"/>
        </w:rPr>
      </w:pPr>
    </w:p>
    <w:bookmarkEnd w:id="35"/>
    <w:p>
      <w:pPr>
        <w:rPr>
          <w:color w:val="auto"/>
          <w:szCs w:val="21"/>
          <w:highlight w:val="none"/>
        </w:rPr>
      </w:pPr>
      <w:r>
        <w:rPr>
          <w:rFonts w:hint="eastAsia"/>
          <w:color w:val="auto"/>
          <w:szCs w:val="21"/>
          <w:highlight w:val="none"/>
        </w:rPr>
        <w:br w:type="page"/>
      </w:r>
    </w:p>
    <w:p>
      <w:pPr>
        <w:rPr>
          <w:color w:val="auto"/>
          <w:szCs w:val="21"/>
          <w:highlight w:val="none"/>
        </w:rPr>
      </w:pPr>
      <w:r>
        <w:rPr>
          <w:rFonts w:hint="eastAsia"/>
          <w:color w:val="auto"/>
          <w:szCs w:val="21"/>
          <w:highlight w:val="none"/>
        </w:rPr>
        <w:t>附表五（适用于加权平均法）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38"/>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vAlign w:val="center"/>
          </w:tcPr>
          <w:p>
            <w:pPr>
              <w:rPr>
                <w:rFonts w:ascii="宋体"/>
                <w:color w:val="auto"/>
                <w:szCs w:val="21"/>
                <w:highlight w:val="none"/>
              </w:rPr>
            </w:pPr>
            <w:r>
              <w:rPr>
                <w:rFonts w:hint="eastAsia" w:ascii="宋体" w:hAnsi="宋体"/>
                <w:color w:val="auto"/>
                <w:szCs w:val="21"/>
                <w:highlight w:val="none"/>
              </w:rPr>
              <w:t>投标人名称</w:t>
            </w:r>
          </w:p>
        </w:tc>
        <w:tc>
          <w:tcPr>
            <w:tcW w:w="1021" w:type="dxa"/>
            <w:gridSpan w:val="2"/>
            <w:vAlign w:val="center"/>
          </w:tcPr>
          <w:p>
            <w:pPr>
              <w:rPr>
                <w:rFonts w:ascii="宋体"/>
                <w:color w:val="auto"/>
                <w:szCs w:val="21"/>
                <w:highlight w:val="none"/>
              </w:rPr>
            </w:pPr>
          </w:p>
        </w:tc>
        <w:tc>
          <w:tcPr>
            <w:tcW w:w="1034"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2"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vAlign w:val="center"/>
          </w:tcPr>
          <w:p>
            <w:pPr>
              <w:rPr>
                <w:rFonts w:asci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21" w:type="dxa"/>
            <w:gridSpan w:val="2"/>
            <w:vAlign w:val="center"/>
          </w:tcPr>
          <w:p>
            <w:pPr>
              <w:rPr>
                <w:rFonts w:ascii="宋体"/>
                <w:color w:val="auto"/>
                <w:szCs w:val="21"/>
                <w:highlight w:val="none"/>
              </w:rPr>
            </w:pPr>
          </w:p>
        </w:tc>
        <w:tc>
          <w:tcPr>
            <w:tcW w:w="1034"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2"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vAlign w:val="center"/>
          </w:tcPr>
          <w:p>
            <w:pPr>
              <w:rPr>
                <w:rFonts w:ascii="宋体"/>
                <w:color w:val="auto"/>
                <w:szCs w:val="21"/>
                <w:highlight w:val="none"/>
              </w:rPr>
            </w:pPr>
            <w:r>
              <w:rPr>
                <w:rFonts w:hint="eastAsia" w:ascii="宋体" w:hAnsi="宋体"/>
                <w:color w:val="auto"/>
                <w:szCs w:val="21"/>
                <w:highlight w:val="none"/>
              </w:rPr>
              <w:t>报价权重</w:t>
            </w:r>
          </w:p>
        </w:tc>
        <w:tc>
          <w:tcPr>
            <w:tcW w:w="1009" w:type="dxa"/>
            <w:vAlign w:val="center"/>
          </w:tcPr>
          <w:p>
            <w:pPr>
              <w:rPr>
                <w:rFonts w:ascii="宋体"/>
                <w:color w:val="auto"/>
                <w:szCs w:val="21"/>
                <w:highlight w:val="none"/>
              </w:rPr>
            </w:pPr>
          </w:p>
        </w:tc>
        <w:tc>
          <w:tcPr>
            <w:tcW w:w="1046" w:type="dxa"/>
            <w:gridSpan w:val="2"/>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2"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vAlign w:val="center"/>
          </w:tcPr>
          <w:p>
            <w:pPr>
              <w:rPr>
                <w:rFonts w:ascii="宋体"/>
                <w:color w:val="auto"/>
                <w:szCs w:val="21"/>
                <w:highlight w:val="none"/>
              </w:rPr>
            </w:pPr>
            <w:r>
              <w:rPr>
                <w:rFonts w:hint="eastAsia" w:ascii="宋体" w:hAnsi="宋体"/>
                <w:color w:val="auto"/>
                <w:szCs w:val="21"/>
                <w:highlight w:val="none"/>
              </w:rPr>
              <w:t>评标参考价</w:t>
            </w:r>
            <w:r>
              <w:rPr>
                <w:rFonts w:ascii="宋体" w:hAnsi="宋体"/>
                <w:color w:val="auto"/>
                <w:szCs w:val="21"/>
                <w:highlight w:val="none"/>
              </w:rPr>
              <w:t>PC</w:t>
            </w:r>
            <w:r>
              <w:rPr>
                <w:rFonts w:hint="eastAsia" w:ascii="宋体" w:hAnsi="宋体"/>
                <w:color w:val="auto"/>
                <w:szCs w:val="21"/>
                <w:highlight w:val="none"/>
              </w:rPr>
              <w:t>（元）</w:t>
            </w:r>
          </w:p>
        </w:tc>
        <w:tc>
          <w:tcPr>
            <w:tcW w:w="12384" w:type="dxa"/>
            <w:gridSpan w:val="13"/>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vAlign w:val="center"/>
          </w:tcPr>
          <w:p>
            <w:pPr>
              <w:rPr>
                <w:rFonts w:asci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21" w:type="dxa"/>
            <w:gridSpan w:val="2"/>
            <w:vAlign w:val="center"/>
          </w:tcPr>
          <w:p>
            <w:pPr>
              <w:rPr>
                <w:rFonts w:ascii="宋体"/>
                <w:color w:val="auto"/>
                <w:szCs w:val="21"/>
                <w:highlight w:val="none"/>
              </w:rPr>
            </w:pPr>
          </w:p>
        </w:tc>
        <w:tc>
          <w:tcPr>
            <w:tcW w:w="1034"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2"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vAlign w:val="center"/>
          </w:tcPr>
          <w:p>
            <w:pPr>
              <w:rPr>
                <w:rFonts w:asci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21" w:type="dxa"/>
            <w:gridSpan w:val="2"/>
            <w:vAlign w:val="center"/>
          </w:tcPr>
          <w:p>
            <w:pPr>
              <w:rPr>
                <w:rFonts w:ascii="宋体"/>
                <w:color w:val="auto"/>
                <w:szCs w:val="21"/>
                <w:highlight w:val="none"/>
              </w:rPr>
            </w:pPr>
          </w:p>
        </w:tc>
        <w:tc>
          <w:tcPr>
            <w:tcW w:w="1034"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2"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vAlign w:val="center"/>
          </w:tcPr>
          <w:p>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21" w:type="dxa"/>
            <w:gridSpan w:val="2"/>
            <w:vAlign w:val="center"/>
          </w:tcPr>
          <w:p>
            <w:pPr>
              <w:rPr>
                <w:rFonts w:ascii="宋体" w:hAnsi="宋体"/>
                <w:color w:val="auto"/>
                <w:szCs w:val="21"/>
                <w:highlight w:val="none"/>
              </w:rPr>
            </w:pPr>
          </w:p>
        </w:tc>
        <w:tc>
          <w:tcPr>
            <w:tcW w:w="1034" w:type="dxa"/>
            <w:vAlign w:val="center"/>
          </w:tcPr>
          <w:p>
            <w:pPr>
              <w:rPr>
                <w:rFonts w:ascii="宋体" w:hAnsi="宋体"/>
                <w:color w:val="auto"/>
                <w:szCs w:val="21"/>
                <w:highlight w:val="none"/>
              </w:rPr>
            </w:pPr>
          </w:p>
        </w:tc>
        <w:tc>
          <w:tcPr>
            <w:tcW w:w="1033" w:type="dxa"/>
            <w:vAlign w:val="center"/>
          </w:tcPr>
          <w:p>
            <w:pPr>
              <w:rPr>
                <w:rFonts w:ascii="宋体" w:hAnsi="宋体"/>
                <w:color w:val="auto"/>
                <w:szCs w:val="21"/>
                <w:highlight w:val="none"/>
              </w:rPr>
            </w:pPr>
          </w:p>
        </w:tc>
        <w:tc>
          <w:tcPr>
            <w:tcW w:w="1033" w:type="dxa"/>
            <w:vAlign w:val="center"/>
          </w:tcPr>
          <w:p>
            <w:pPr>
              <w:rPr>
                <w:rFonts w:ascii="宋体" w:hAnsi="宋体"/>
                <w:color w:val="auto"/>
                <w:szCs w:val="21"/>
                <w:highlight w:val="none"/>
              </w:rPr>
            </w:pPr>
          </w:p>
        </w:tc>
        <w:tc>
          <w:tcPr>
            <w:tcW w:w="1033" w:type="dxa"/>
            <w:vAlign w:val="center"/>
          </w:tcPr>
          <w:p>
            <w:pPr>
              <w:rPr>
                <w:rFonts w:ascii="宋体" w:hAnsi="宋体"/>
                <w:color w:val="auto"/>
                <w:szCs w:val="21"/>
                <w:highlight w:val="none"/>
              </w:rPr>
            </w:pPr>
          </w:p>
        </w:tc>
        <w:tc>
          <w:tcPr>
            <w:tcW w:w="1033" w:type="dxa"/>
            <w:vAlign w:val="center"/>
          </w:tcPr>
          <w:p>
            <w:pPr>
              <w:rPr>
                <w:rFonts w:ascii="宋体" w:hAnsi="宋体"/>
                <w:color w:val="auto"/>
                <w:szCs w:val="21"/>
                <w:highlight w:val="none"/>
              </w:rPr>
            </w:pPr>
          </w:p>
        </w:tc>
        <w:tc>
          <w:tcPr>
            <w:tcW w:w="1033" w:type="dxa"/>
            <w:vAlign w:val="center"/>
          </w:tcPr>
          <w:p>
            <w:pPr>
              <w:rPr>
                <w:rFonts w:ascii="宋体" w:hAnsi="宋体"/>
                <w:color w:val="auto"/>
                <w:szCs w:val="21"/>
                <w:highlight w:val="none"/>
              </w:rPr>
            </w:pPr>
          </w:p>
        </w:tc>
        <w:tc>
          <w:tcPr>
            <w:tcW w:w="1033" w:type="dxa"/>
            <w:vAlign w:val="center"/>
          </w:tcPr>
          <w:p>
            <w:pPr>
              <w:rPr>
                <w:rFonts w:ascii="宋体" w:hAnsi="宋体"/>
                <w:color w:val="auto"/>
                <w:szCs w:val="21"/>
                <w:highlight w:val="none"/>
              </w:rPr>
            </w:pPr>
          </w:p>
        </w:tc>
        <w:tc>
          <w:tcPr>
            <w:tcW w:w="1033" w:type="dxa"/>
            <w:vAlign w:val="center"/>
          </w:tcPr>
          <w:p>
            <w:pPr>
              <w:rPr>
                <w:rFonts w:ascii="宋体" w:hAnsi="宋体"/>
                <w:color w:val="auto"/>
                <w:szCs w:val="21"/>
                <w:highlight w:val="none"/>
              </w:rPr>
            </w:pPr>
          </w:p>
        </w:tc>
        <w:tc>
          <w:tcPr>
            <w:tcW w:w="1033" w:type="dxa"/>
            <w:vAlign w:val="center"/>
          </w:tcPr>
          <w:p>
            <w:pPr>
              <w:rPr>
                <w:rFonts w:ascii="宋体" w:hAnsi="宋体"/>
                <w:color w:val="auto"/>
                <w:szCs w:val="21"/>
                <w:highlight w:val="none"/>
              </w:rPr>
            </w:pPr>
          </w:p>
        </w:tc>
        <w:tc>
          <w:tcPr>
            <w:tcW w:w="1033" w:type="dxa"/>
            <w:vAlign w:val="center"/>
          </w:tcPr>
          <w:p>
            <w:pPr>
              <w:rPr>
                <w:rFonts w:ascii="宋体" w:hAnsi="宋体"/>
                <w:color w:val="auto"/>
                <w:szCs w:val="21"/>
                <w:highlight w:val="none"/>
              </w:rPr>
            </w:pPr>
          </w:p>
        </w:tc>
        <w:tc>
          <w:tcPr>
            <w:tcW w:w="1032"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vAlign w:val="center"/>
          </w:tcPr>
          <w:p>
            <w:pPr>
              <w:rPr>
                <w:rFonts w:ascii="宋体"/>
                <w:color w:val="auto"/>
                <w:szCs w:val="21"/>
                <w:highlight w:val="none"/>
              </w:rPr>
            </w:pPr>
            <w:r>
              <w:rPr>
                <w:rFonts w:hint="eastAsia" w:ascii="宋体" w:hAnsi="宋体"/>
                <w:color w:val="auto"/>
                <w:szCs w:val="21"/>
                <w:highlight w:val="none"/>
              </w:rPr>
              <w:t>得分排名次序</w:t>
            </w:r>
          </w:p>
        </w:tc>
        <w:tc>
          <w:tcPr>
            <w:tcW w:w="1021" w:type="dxa"/>
            <w:gridSpan w:val="2"/>
            <w:vAlign w:val="center"/>
          </w:tcPr>
          <w:p>
            <w:pPr>
              <w:rPr>
                <w:rFonts w:ascii="宋体"/>
                <w:color w:val="auto"/>
                <w:szCs w:val="21"/>
                <w:highlight w:val="none"/>
              </w:rPr>
            </w:pPr>
          </w:p>
        </w:tc>
        <w:tc>
          <w:tcPr>
            <w:tcW w:w="1034"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3" w:type="dxa"/>
            <w:vAlign w:val="center"/>
          </w:tcPr>
          <w:p>
            <w:pPr>
              <w:rPr>
                <w:rFonts w:ascii="宋体"/>
                <w:color w:val="auto"/>
                <w:szCs w:val="21"/>
                <w:highlight w:val="none"/>
              </w:rPr>
            </w:pPr>
          </w:p>
        </w:tc>
        <w:tc>
          <w:tcPr>
            <w:tcW w:w="1032" w:type="dxa"/>
            <w:vAlign w:val="center"/>
          </w:tcPr>
          <w:p>
            <w:pPr>
              <w:rPr>
                <w:rFonts w:ascii="宋体"/>
                <w:color w:val="auto"/>
                <w:szCs w:val="21"/>
                <w:highlight w:val="none"/>
              </w:rPr>
            </w:pPr>
          </w:p>
        </w:tc>
      </w:tr>
    </w:tbl>
    <w:p>
      <w:pPr>
        <w:rPr>
          <w:strike/>
          <w:color w:val="auto"/>
          <w:sz w:val="24"/>
          <w:szCs w:val="24"/>
          <w:highlight w:val="none"/>
        </w:rPr>
      </w:pPr>
      <w:r>
        <w:rPr>
          <w:rFonts w:hint="eastAsia"/>
          <w:color w:val="auto"/>
          <w:szCs w:val="21"/>
          <w:highlight w:val="none"/>
        </w:rPr>
        <w:t>评委签名：</w:t>
      </w:r>
      <w:r>
        <w:rPr>
          <w:b/>
          <w:color w:val="auto"/>
          <w:sz w:val="36"/>
          <w:szCs w:val="36"/>
          <w:highlight w:val="none"/>
        </w:rPr>
        <w:br w:type="page"/>
      </w:r>
      <w:r>
        <w:rPr>
          <w:rFonts w:hint="eastAsia"/>
          <w:strike/>
          <w:color w:val="auto"/>
          <w:szCs w:val="21"/>
          <w:highlight w:val="none"/>
        </w:rPr>
        <w:t>附表五（适用于区间抽取法）</w:t>
      </w:r>
    </w:p>
    <w:p>
      <w:pPr>
        <w:jc w:val="center"/>
        <w:rPr>
          <w:b/>
          <w:strike/>
          <w:color w:val="auto"/>
          <w:sz w:val="36"/>
          <w:szCs w:val="36"/>
          <w:highlight w:val="none"/>
        </w:rPr>
      </w:pPr>
      <w:r>
        <w:rPr>
          <w:rFonts w:hint="eastAsia"/>
          <w:b/>
          <w:strike/>
          <w:color w:val="auto"/>
          <w:sz w:val="36"/>
          <w:szCs w:val="36"/>
          <w:highlight w:val="none"/>
        </w:rPr>
        <w:t>经济标评分表</w:t>
      </w:r>
    </w:p>
    <w:p>
      <w:pPr>
        <w:rPr>
          <w:strike/>
          <w:color w:val="auto"/>
          <w:szCs w:val="21"/>
          <w:highlight w:val="none"/>
        </w:rPr>
      </w:pPr>
      <w:r>
        <w:rPr>
          <w:rFonts w:hint="eastAsia"/>
          <w:strike/>
          <w:color w:val="auto"/>
          <w:szCs w:val="21"/>
          <w:highlight w:val="none"/>
        </w:rPr>
        <w:t>工程名称：</w:t>
      </w:r>
    </w:p>
    <w:tbl>
      <w:tblPr>
        <w:tblStyle w:val="38"/>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vAlign w:val="center"/>
          </w:tcPr>
          <w:p>
            <w:pPr>
              <w:rPr>
                <w:rFonts w:ascii="宋体"/>
                <w:strike/>
                <w:color w:val="auto"/>
                <w:szCs w:val="21"/>
                <w:highlight w:val="none"/>
              </w:rPr>
            </w:pPr>
            <w:r>
              <w:rPr>
                <w:rFonts w:hint="eastAsia" w:ascii="宋体" w:hAnsi="宋体"/>
                <w:strike/>
                <w:color w:val="auto"/>
                <w:szCs w:val="21"/>
                <w:highlight w:val="none"/>
              </w:rPr>
              <w:t>投标人名称</w:t>
            </w: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2" w:type="dxa"/>
            <w:vAlign w:val="center"/>
          </w:tcPr>
          <w:p>
            <w:pPr>
              <w:rPr>
                <w:rFonts w:asci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vAlign w:val="center"/>
          </w:tcPr>
          <w:p>
            <w:pPr>
              <w:rPr>
                <w:rFonts w:ascii="宋体"/>
                <w:strike/>
                <w:color w:val="auto"/>
                <w:szCs w:val="21"/>
                <w:highlight w:val="none"/>
              </w:rPr>
            </w:pPr>
            <w:r>
              <w:rPr>
                <w:rFonts w:hint="eastAsia" w:ascii="宋体" w:hAnsi="宋体"/>
                <w:strike/>
                <w:color w:val="auto"/>
                <w:szCs w:val="21"/>
                <w:highlight w:val="none"/>
              </w:rPr>
              <w:t>投标报价</w:t>
            </w:r>
            <w:r>
              <w:rPr>
                <w:rFonts w:ascii="宋体" w:hAnsi="宋体"/>
                <w:strike/>
                <w:color w:val="auto"/>
                <w:szCs w:val="21"/>
                <w:highlight w:val="none"/>
              </w:rPr>
              <w:t>PT</w:t>
            </w:r>
            <w:r>
              <w:rPr>
                <w:rFonts w:hint="eastAsia" w:ascii="宋体" w:hAnsi="宋体"/>
                <w:strike/>
                <w:color w:val="auto"/>
                <w:szCs w:val="21"/>
                <w:highlight w:val="none"/>
              </w:rPr>
              <w:t>（元）</w:t>
            </w: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2" w:type="dxa"/>
            <w:vAlign w:val="center"/>
          </w:tcPr>
          <w:p>
            <w:pPr>
              <w:rPr>
                <w:rFonts w:asci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vAlign w:val="center"/>
          </w:tcPr>
          <w:p>
            <w:pPr>
              <w:rPr>
                <w:rFonts w:ascii="宋体" w:hAnsi="宋体"/>
                <w:strike/>
                <w:color w:val="auto"/>
                <w:szCs w:val="21"/>
                <w:highlight w:val="none"/>
              </w:rPr>
            </w:pPr>
            <w:r>
              <w:rPr>
                <w:rFonts w:hint="eastAsia" w:ascii="宋体" w:hAnsi="宋体"/>
                <w:strike/>
                <w:color w:val="auto"/>
                <w:szCs w:val="21"/>
                <w:highlight w:val="none"/>
              </w:rPr>
              <w:t>计算评标参考价的等分点值</w:t>
            </w:r>
            <w:r>
              <w:rPr>
                <w:rFonts w:ascii="宋体" w:hAnsi="宋体"/>
                <w:strike/>
                <w:color w:val="auto"/>
                <w:szCs w:val="21"/>
                <w:highlight w:val="none"/>
              </w:rPr>
              <w:t>X</w:t>
            </w:r>
          </w:p>
        </w:tc>
        <w:tc>
          <w:tcPr>
            <w:tcW w:w="12373" w:type="dxa"/>
            <w:gridSpan w:val="12"/>
            <w:vAlign w:val="center"/>
          </w:tcPr>
          <w:p>
            <w:pPr>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vAlign w:val="center"/>
          </w:tcPr>
          <w:p>
            <w:pPr>
              <w:rPr>
                <w:rFonts w:ascii="宋体"/>
                <w:strike/>
                <w:color w:val="auto"/>
                <w:szCs w:val="21"/>
                <w:highlight w:val="none"/>
              </w:rPr>
            </w:pPr>
            <w:r>
              <w:rPr>
                <w:rFonts w:hint="eastAsia" w:ascii="宋体" w:hAnsi="宋体"/>
                <w:strike/>
                <w:color w:val="auto"/>
                <w:szCs w:val="21"/>
                <w:highlight w:val="none"/>
              </w:rPr>
              <w:t>评标参考价</w:t>
            </w:r>
            <w:r>
              <w:rPr>
                <w:rFonts w:ascii="宋体" w:hAnsi="宋体"/>
                <w:strike/>
                <w:color w:val="auto"/>
                <w:szCs w:val="21"/>
                <w:highlight w:val="none"/>
              </w:rPr>
              <w:t>PC</w:t>
            </w:r>
            <w:r>
              <w:rPr>
                <w:rFonts w:hint="eastAsia" w:ascii="宋体" w:hAnsi="宋体"/>
                <w:strike/>
                <w:color w:val="auto"/>
                <w:szCs w:val="21"/>
                <w:highlight w:val="none"/>
              </w:rPr>
              <w:t>（元）</w:t>
            </w:r>
          </w:p>
        </w:tc>
        <w:tc>
          <w:tcPr>
            <w:tcW w:w="12373" w:type="dxa"/>
            <w:gridSpan w:val="12"/>
            <w:vAlign w:val="center"/>
          </w:tcPr>
          <w:p>
            <w:pPr>
              <w:rPr>
                <w:rFonts w:asci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vAlign w:val="center"/>
          </w:tcPr>
          <w:p>
            <w:pPr>
              <w:rPr>
                <w:rFonts w:ascii="宋体"/>
                <w:strike/>
                <w:color w:val="auto"/>
                <w:szCs w:val="21"/>
                <w:highlight w:val="none"/>
              </w:rPr>
            </w:pPr>
            <w:r>
              <w:rPr>
                <w:rFonts w:hint="eastAsia" w:ascii="宋体" w:hAnsi="宋体"/>
                <w:strike/>
                <w:color w:val="auto"/>
                <w:szCs w:val="21"/>
                <w:highlight w:val="none"/>
              </w:rPr>
              <w:t>偏差（（</w:t>
            </w:r>
            <w:r>
              <w:rPr>
                <w:rFonts w:ascii="宋体" w:hAnsi="宋体"/>
                <w:strike/>
                <w:color w:val="auto"/>
                <w:szCs w:val="21"/>
                <w:highlight w:val="none"/>
              </w:rPr>
              <w:t>PT-PC</w:t>
            </w:r>
            <w:r>
              <w:rPr>
                <w:rFonts w:hint="eastAsia" w:ascii="宋体" w:hAnsi="宋体"/>
                <w:strike/>
                <w:color w:val="auto"/>
                <w:szCs w:val="21"/>
                <w:highlight w:val="none"/>
              </w:rPr>
              <w:t>）</w:t>
            </w:r>
            <w:r>
              <w:rPr>
                <w:rFonts w:ascii="宋体" w:hAnsi="宋体"/>
                <w:strike/>
                <w:color w:val="auto"/>
                <w:szCs w:val="21"/>
                <w:highlight w:val="none"/>
              </w:rPr>
              <w:t>/PC</w:t>
            </w:r>
            <w:r>
              <w:rPr>
                <w:rFonts w:hint="eastAsia" w:ascii="宋体" w:hAnsi="宋体"/>
                <w:strike/>
                <w:color w:val="auto"/>
                <w:szCs w:val="21"/>
                <w:highlight w:val="none"/>
              </w:rPr>
              <w:t>）（</w:t>
            </w:r>
            <w:r>
              <w:rPr>
                <w:rFonts w:ascii="宋体" w:hAnsi="宋体"/>
                <w:strike/>
                <w:color w:val="auto"/>
                <w:szCs w:val="21"/>
                <w:highlight w:val="none"/>
              </w:rPr>
              <w:t>%</w:t>
            </w:r>
            <w:r>
              <w:rPr>
                <w:rFonts w:hint="eastAsia" w:ascii="宋体" w:hAnsi="宋体"/>
                <w:strike/>
                <w:color w:val="auto"/>
                <w:szCs w:val="21"/>
                <w:highlight w:val="none"/>
              </w:rPr>
              <w:t>）</w:t>
            </w: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2" w:type="dxa"/>
            <w:vAlign w:val="center"/>
          </w:tcPr>
          <w:p>
            <w:pPr>
              <w:rPr>
                <w:rFonts w:asci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vAlign w:val="center"/>
          </w:tcPr>
          <w:p>
            <w:pPr>
              <w:rPr>
                <w:rFonts w:ascii="宋体"/>
                <w:strike/>
                <w:color w:val="auto"/>
                <w:szCs w:val="21"/>
                <w:highlight w:val="none"/>
              </w:rPr>
            </w:pPr>
            <w:r>
              <w:rPr>
                <w:rFonts w:hint="eastAsia" w:ascii="宋体" w:hAnsi="宋体"/>
                <w:strike/>
                <w:color w:val="auto"/>
                <w:szCs w:val="21"/>
                <w:highlight w:val="none"/>
              </w:rPr>
              <w:t>减分（</w:t>
            </w:r>
            <w:r>
              <w:rPr>
                <w:rFonts w:ascii="宋体" w:hAnsi="宋体"/>
                <w:strike/>
                <w:color w:val="auto"/>
                <w:szCs w:val="21"/>
                <w:highlight w:val="none"/>
              </w:rPr>
              <w:t>A</w:t>
            </w:r>
            <w:r>
              <w:rPr>
                <w:rFonts w:hint="eastAsia" w:ascii="宋体" w:hAnsi="宋体"/>
                <w:strike/>
                <w:color w:val="auto"/>
                <w:szCs w:val="21"/>
                <w:highlight w:val="none"/>
              </w:rPr>
              <w:t>）</w:t>
            </w: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2" w:type="dxa"/>
            <w:vAlign w:val="center"/>
          </w:tcPr>
          <w:p>
            <w:pPr>
              <w:rPr>
                <w:rFonts w:asci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vAlign w:val="center"/>
          </w:tcPr>
          <w:p>
            <w:pPr>
              <w:rPr>
                <w:rFonts w:ascii="宋体" w:hAnsi="宋体"/>
                <w:strike/>
                <w:color w:val="auto"/>
                <w:szCs w:val="21"/>
                <w:highlight w:val="none"/>
              </w:rPr>
            </w:pPr>
            <w:r>
              <w:rPr>
                <w:rFonts w:hint="eastAsia" w:ascii="宋体" w:hAnsi="宋体"/>
                <w:strike/>
                <w:color w:val="auto"/>
                <w:szCs w:val="21"/>
                <w:highlight w:val="none"/>
              </w:rPr>
              <w:t>得分</w:t>
            </w:r>
            <w:r>
              <w:rPr>
                <w:rFonts w:ascii="宋体" w:hAnsi="宋体"/>
                <w:strike/>
                <w:color w:val="auto"/>
                <w:szCs w:val="21"/>
                <w:highlight w:val="none"/>
              </w:rPr>
              <w:t>(I=100-A)</w:t>
            </w:r>
          </w:p>
        </w:tc>
        <w:tc>
          <w:tcPr>
            <w:tcW w:w="1031" w:type="dxa"/>
            <w:vAlign w:val="center"/>
          </w:tcPr>
          <w:p>
            <w:pPr>
              <w:rPr>
                <w:rFonts w:ascii="宋体" w:hAnsi="宋体"/>
                <w:strike/>
                <w:color w:val="auto"/>
                <w:szCs w:val="21"/>
                <w:highlight w:val="none"/>
              </w:rPr>
            </w:pPr>
          </w:p>
        </w:tc>
        <w:tc>
          <w:tcPr>
            <w:tcW w:w="1031" w:type="dxa"/>
            <w:vAlign w:val="center"/>
          </w:tcPr>
          <w:p>
            <w:pPr>
              <w:rPr>
                <w:rFonts w:ascii="宋体" w:hAnsi="宋体"/>
                <w:strike/>
                <w:color w:val="auto"/>
                <w:szCs w:val="21"/>
                <w:highlight w:val="none"/>
              </w:rPr>
            </w:pPr>
          </w:p>
        </w:tc>
        <w:tc>
          <w:tcPr>
            <w:tcW w:w="1031" w:type="dxa"/>
            <w:vAlign w:val="center"/>
          </w:tcPr>
          <w:p>
            <w:pPr>
              <w:rPr>
                <w:rFonts w:ascii="宋体" w:hAnsi="宋体"/>
                <w:strike/>
                <w:color w:val="auto"/>
                <w:szCs w:val="21"/>
                <w:highlight w:val="none"/>
              </w:rPr>
            </w:pPr>
          </w:p>
        </w:tc>
        <w:tc>
          <w:tcPr>
            <w:tcW w:w="1031" w:type="dxa"/>
            <w:vAlign w:val="center"/>
          </w:tcPr>
          <w:p>
            <w:pPr>
              <w:rPr>
                <w:rFonts w:ascii="宋体" w:hAnsi="宋体"/>
                <w:strike/>
                <w:color w:val="auto"/>
                <w:szCs w:val="21"/>
                <w:highlight w:val="none"/>
              </w:rPr>
            </w:pPr>
          </w:p>
        </w:tc>
        <w:tc>
          <w:tcPr>
            <w:tcW w:w="1031" w:type="dxa"/>
            <w:vAlign w:val="center"/>
          </w:tcPr>
          <w:p>
            <w:pPr>
              <w:rPr>
                <w:rFonts w:ascii="宋体" w:hAnsi="宋体"/>
                <w:strike/>
                <w:color w:val="auto"/>
                <w:szCs w:val="21"/>
                <w:highlight w:val="none"/>
              </w:rPr>
            </w:pPr>
          </w:p>
        </w:tc>
        <w:tc>
          <w:tcPr>
            <w:tcW w:w="1031" w:type="dxa"/>
            <w:vAlign w:val="center"/>
          </w:tcPr>
          <w:p>
            <w:pPr>
              <w:rPr>
                <w:rFonts w:ascii="宋体" w:hAnsi="宋体"/>
                <w:strike/>
                <w:color w:val="auto"/>
                <w:szCs w:val="21"/>
                <w:highlight w:val="none"/>
              </w:rPr>
            </w:pPr>
          </w:p>
        </w:tc>
        <w:tc>
          <w:tcPr>
            <w:tcW w:w="1031" w:type="dxa"/>
            <w:vAlign w:val="center"/>
          </w:tcPr>
          <w:p>
            <w:pPr>
              <w:rPr>
                <w:rFonts w:ascii="宋体" w:hAnsi="宋体"/>
                <w:strike/>
                <w:color w:val="auto"/>
                <w:szCs w:val="21"/>
                <w:highlight w:val="none"/>
              </w:rPr>
            </w:pPr>
          </w:p>
        </w:tc>
        <w:tc>
          <w:tcPr>
            <w:tcW w:w="1031" w:type="dxa"/>
            <w:vAlign w:val="center"/>
          </w:tcPr>
          <w:p>
            <w:pPr>
              <w:rPr>
                <w:rFonts w:ascii="宋体" w:hAnsi="宋体"/>
                <w:strike/>
                <w:color w:val="auto"/>
                <w:szCs w:val="21"/>
                <w:highlight w:val="none"/>
              </w:rPr>
            </w:pPr>
          </w:p>
        </w:tc>
        <w:tc>
          <w:tcPr>
            <w:tcW w:w="1031" w:type="dxa"/>
            <w:vAlign w:val="center"/>
          </w:tcPr>
          <w:p>
            <w:pPr>
              <w:rPr>
                <w:rFonts w:ascii="宋体" w:hAnsi="宋体"/>
                <w:strike/>
                <w:color w:val="auto"/>
                <w:szCs w:val="21"/>
                <w:highlight w:val="none"/>
              </w:rPr>
            </w:pPr>
          </w:p>
        </w:tc>
        <w:tc>
          <w:tcPr>
            <w:tcW w:w="1031" w:type="dxa"/>
            <w:vAlign w:val="center"/>
          </w:tcPr>
          <w:p>
            <w:pPr>
              <w:rPr>
                <w:rFonts w:ascii="宋体" w:hAnsi="宋体"/>
                <w:strike/>
                <w:color w:val="auto"/>
                <w:szCs w:val="21"/>
                <w:highlight w:val="none"/>
              </w:rPr>
            </w:pPr>
          </w:p>
        </w:tc>
        <w:tc>
          <w:tcPr>
            <w:tcW w:w="1031" w:type="dxa"/>
            <w:vAlign w:val="center"/>
          </w:tcPr>
          <w:p>
            <w:pPr>
              <w:rPr>
                <w:rFonts w:ascii="宋体" w:hAnsi="宋体"/>
                <w:strike/>
                <w:color w:val="auto"/>
                <w:szCs w:val="21"/>
                <w:highlight w:val="none"/>
              </w:rPr>
            </w:pPr>
          </w:p>
        </w:tc>
        <w:tc>
          <w:tcPr>
            <w:tcW w:w="1032" w:type="dxa"/>
            <w:vAlign w:val="center"/>
          </w:tcPr>
          <w:p>
            <w:pPr>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vAlign w:val="center"/>
          </w:tcPr>
          <w:p>
            <w:pPr>
              <w:rPr>
                <w:rFonts w:ascii="宋体"/>
                <w:strike/>
                <w:color w:val="auto"/>
                <w:szCs w:val="21"/>
                <w:highlight w:val="none"/>
              </w:rPr>
            </w:pPr>
            <w:r>
              <w:rPr>
                <w:rFonts w:hint="eastAsia" w:ascii="宋体" w:hAnsi="宋体"/>
                <w:strike/>
                <w:color w:val="auto"/>
                <w:szCs w:val="21"/>
                <w:highlight w:val="none"/>
              </w:rPr>
              <w:t>得分排名次序</w:t>
            </w: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1" w:type="dxa"/>
            <w:vAlign w:val="center"/>
          </w:tcPr>
          <w:p>
            <w:pPr>
              <w:rPr>
                <w:rFonts w:ascii="宋体"/>
                <w:strike/>
                <w:color w:val="auto"/>
                <w:szCs w:val="21"/>
                <w:highlight w:val="none"/>
              </w:rPr>
            </w:pPr>
          </w:p>
        </w:tc>
        <w:tc>
          <w:tcPr>
            <w:tcW w:w="1032" w:type="dxa"/>
            <w:vAlign w:val="center"/>
          </w:tcPr>
          <w:p>
            <w:pPr>
              <w:rPr>
                <w:rFonts w:ascii="宋体"/>
                <w:strike/>
                <w:color w:val="auto"/>
                <w:szCs w:val="21"/>
                <w:highlight w:val="none"/>
              </w:rPr>
            </w:pPr>
          </w:p>
        </w:tc>
      </w:tr>
    </w:tbl>
    <w:p>
      <w:pPr>
        <w:rPr>
          <w:strike/>
          <w:color w:val="auto"/>
          <w:szCs w:val="21"/>
          <w:highlight w:val="none"/>
        </w:rPr>
      </w:pPr>
      <w:r>
        <w:rPr>
          <w:rFonts w:hint="eastAsia"/>
          <w:strike/>
          <w:color w:val="auto"/>
          <w:szCs w:val="21"/>
          <w:highlight w:val="none"/>
        </w:rPr>
        <w:t>评委签名：</w:t>
      </w:r>
    </w:p>
    <w:p>
      <w:pPr>
        <w:rPr>
          <w:strike/>
          <w:color w:val="auto"/>
          <w:szCs w:val="21"/>
          <w:highlight w:val="none"/>
        </w:rPr>
      </w:pPr>
    </w:p>
    <w:p>
      <w:pPr>
        <w:rPr>
          <w:strike/>
          <w:color w:val="auto"/>
          <w:szCs w:val="21"/>
          <w:highlight w:val="none"/>
        </w:rPr>
      </w:pPr>
    </w:p>
    <w:p>
      <w:pPr>
        <w:rPr>
          <w:color w:val="auto"/>
          <w:szCs w:val="21"/>
          <w:highlight w:val="none"/>
        </w:rPr>
      </w:pPr>
    </w:p>
    <w:p>
      <w:pPr>
        <w:rPr>
          <w:color w:val="auto"/>
          <w:szCs w:val="21"/>
          <w:highlight w:val="none"/>
        </w:rPr>
      </w:pPr>
    </w:p>
    <w:p>
      <w:pPr>
        <w:rPr>
          <w:b/>
          <w:color w:val="auto"/>
          <w:szCs w:val="21"/>
          <w:highlight w:val="none"/>
        </w:rPr>
      </w:pPr>
      <w:r>
        <w:rPr>
          <w:rFonts w:hint="eastAsia"/>
          <w:color w:val="auto"/>
          <w:szCs w:val="21"/>
          <w:highlight w:val="none"/>
        </w:rPr>
        <w:t>附表六</w:t>
      </w:r>
    </w:p>
    <w:p>
      <w:pPr>
        <w:jc w:val="center"/>
        <w:rPr>
          <w:b/>
          <w:color w:val="auto"/>
          <w:sz w:val="36"/>
          <w:szCs w:val="36"/>
          <w:highlight w:val="none"/>
        </w:rPr>
      </w:pPr>
      <w:r>
        <w:rPr>
          <w:rFonts w:hint="eastAsia"/>
          <w:b/>
          <w:color w:val="auto"/>
          <w:sz w:val="36"/>
          <w:szCs w:val="36"/>
          <w:highlight w:val="none"/>
        </w:rPr>
        <w:t>算术复核表</w:t>
      </w:r>
    </w:p>
    <w:p>
      <w:pPr>
        <w:ind w:firstLine="210" w:firstLineChars="100"/>
        <w:rPr>
          <w:rFonts w:asci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8"/>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修正前投标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修正后投标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修正率</w:t>
            </w:r>
          </w:p>
          <w:p>
            <w:pPr>
              <w:rPr>
                <w:rFonts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single" w:color="auto" w:sz="4" w:space="0"/>
              <w:bottom w:val="single" w:color="auto" w:sz="4" w:space="0"/>
              <w:right w:val="single" w:color="auto" w:sz="4" w:space="0"/>
            </w:tcBorders>
            <w:vAlign w:val="center"/>
          </w:tcPr>
          <w:p>
            <w:pPr>
              <w:rPr>
                <w:rFonts w:asci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color w:val="auto"/>
          <w:kern w:val="0"/>
          <w:szCs w:val="21"/>
          <w:highlight w:val="none"/>
        </w:rPr>
      </w:pP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 xml:space="preserve">                        </w:t>
      </w:r>
      <w:r>
        <w:rPr>
          <w:color w:val="auto"/>
          <w:kern w:val="0"/>
          <w:szCs w:val="21"/>
          <w:highlight w:val="none"/>
        </w:rPr>
        <w:tab/>
      </w:r>
      <w:r>
        <w:rPr>
          <w:rFonts w:hint="eastAsia"/>
          <w:color w:val="auto"/>
          <w:kern w:val="0"/>
          <w:szCs w:val="21"/>
          <w:highlight w:val="none"/>
        </w:rPr>
        <w:t>日期：</w:t>
      </w:r>
    </w:p>
    <w:p>
      <w:pPr>
        <w:rPr>
          <w:color w:val="auto"/>
          <w:highlight w:val="none"/>
        </w:rPr>
      </w:pPr>
    </w:p>
    <w:p>
      <w:pPr>
        <w:rPr>
          <w:color w:val="auto"/>
          <w:highlight w:val="none"/>
        </w:rPr>
      </w:pPr>
      <w:r>
        <w:rPr>
          <w:color w:val="auto"/>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p>
    <w:tbl>
      <w:tblPr>
        <w:tblStyle w:val="38"/>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rPr>
                <w:b/>
                <w:color w:val="auto"/>
                <w:sz w:val="28"/>
                <w:szCs w:val="28"/>
                <w:highlight w:val="none"/>
              </w:rPr>
            </w:pPr>
            <w:r>
              <w:rPr>
                <w:rFonts w:hint="eastAsia"/>
                <w:b/>
                <w:color w:val="auto"/>
                <w:sz w:val="28"/>
                <w:szCs w:val="28"/>
                <w:highlight w:val="none"/>
              </w:rPr>
              <w:t>编号</w:t>
            </w:r>
          </w:p>
        </w:tc>
        <w:tc>
          <w:tcPr>
            <w:tcW w:w="4297" w:type="dxa"/>
          </w:tcPr>
          <w:p>
            <w:pPr>
              <w:rPr>
                <w:b/>
                <w:color w:val="auto"/>
                <w:sz w:val="28"/>
                <w:szCs w:val="28"/>
                <w:highlight w:val="none"/>
              </w:rPr>
            </w:pPr>
            <w:r>
              <w:rPr>
                <w:rFonts w:hint="eastAsia"/>
                <w:b/>
                <w:color w:val="auto"/>
                <w:sz w:val="28"/>
                <w:szCs w:val="28"/>
                <w:highlight w:val="none"/>
              </w:rPr>
              <w:t>投标人名称</w:t>
            </w:r>
          </w:p>
        </w:tc>
        <w:tc>
          <w:tcPr>
            <w:tcW w:w="2330" w:type="dxa"/>
          </w:tcPr>
          <w:p>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Pr>
          <w:p>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Pr>
          <w:p>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rPr>
                <w:color w:val="auto"/>
                <w:sz w:val="36"/>
                <w:szCs w:val="36"/>
                <w:highlight w:val="none"/>
              </w:rPr>
            </w:pPr>
          </w:p>
        </w:tc>
        <w:tc>
          <w:tcPr>
            <w:tcW w:w="4297" w:type="dxa"/>
          </w:tcPr>
          <w:p>
            <w:pPr>
              <w:rPr>
                <w:color w:val="auto"/>
                <w:sz w:val="36"/>
                <w:szCs w:val="36"/>
                <w:highlight w:val="none"/>
              </w:rPr>
            </w:pPr>
          </w:p>
        </w:tc>
        <w:tc>
          <w:tcPr>
            <w:tcW w:w="2330" w:type="dxa"/>
          </w:tcPr>
          <w:p>
            <w:pPr>
              <w:rPr>
                <w:color w:val="auto"/>
                <w:sz w:val="36"/>
                <w:szCs w:val="36"/>
                <w:highlight w:val="none"/>
              </w:rPr>
            </w:pPr>
          </w:p>
        </w:tc>
        <w:tc>
          <w:tcPr>
            <w:tcW w:w="3101" w:type="dxa"/>
          </w:tcPr>
          <w:p>
            <w:pPr>
              <w:rPr>
                <w:color w:val="auto"/>
                <w:sz w:val="36"/>
                <w:szCs w:val="36"/>
                <w:highlight w:val="none"/>
              </w:rPr>
            </w:pPr>
          </w:p>
        </w:tc>
        <w:tc>
          <w:tcPr>
            <w:tcW w:w="3423" w:type="dxa"/>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rPr>
                <w:color w:val="auto"/>
                <w:sz w:val="36"/>
                <w:szCs w:val="36"/>
                <w:highlight w:val="none"/>
              </w:rPr>
            </w:pPr>
          </w:p>
        </w:tc>
        <w:tc>
          <w:tcPr>
            <w:tcW w:w="4297" w:type="dxa"/>
          </w:tcPr>
          <w:p>
            <w:pPr>
              <w:rPr>
                <w:color w:val="auto"/>
                <w:sz w:val="36"/>
                <w:szCs w:val="36"/>
                <w:highlight w:val="none"/>
              </w:rPr>
            </w:pPr>
          </w:p>
        </w:tc>
        <w:tc>
          <w:tcPr>
            <w:tcW w:w="2330" w:type="dxa"/>
          </w:tcPr>
          <w:p>
            <w:pPr>
              <w:rPr>
                <w:color w:val="auto"/>
                <w:sz w:val="36"/>
                <w:szCs w:val="36"/>
                <w:highlight w:val="none"/>
              </w:rPr>
            </w:pPr>
          </w:p>
        </w:tc>
        <w:tc>
          <w:tcPr>
            <w:tcW w:w="3101" w:type="dxa"/>
          </w:tcPr>
          <w:p>
            <w:pPr>
              <w:rPr>
                <w:color w:val="auto"/>
                <w:sz w:val="36"/>
                <w:szCs w:val="36"/>
                <w:highlight w:val="none"/>
              </w:rPr>
            </w:pPr>
          </w:p>
        </w:tc>
        <w:tc>
          <w:tcPr>
            <w:tcW w:w="3423" w:type="dxa"/>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rPr>
                <w:color w:val="auto"/>
                <w:sz w:val="36"/>
                <w:szCs w:val="36"/>
                <w:highlight w:val="none"/>
              </w:rPr>
            </w:pPr>
          </w:p>
        </w:tc>
        <w:tc>
          <w:tcPr>
            <w:tcW w:w="4297" w:type="dxa"/>
          </w:tcPr>
          <w:p>
            <w:pPr>
              <w:rPr>
                <w:color w:val="auto"/>
                <w:sz w:val="36"/>
                <w:szCs w:val="36"/>
                <w:highlight w:val="none"/>
              </w:rPr>
            </w:pPr>
          </w:p>
        </w:tc>
        <w:tc>
          <w:tcPr>
            <w:tcW w:w="2330" w:type="dxa"/>
          </w:tcPr>
          <w:p>
            <w:pPr>
              <w:rPr>
                <w:color w:val="auto"/>
                <w:sz w:val="36"/>
                <w:szCs w:val="36"/>
                <w:highlight w:val="none"/>
              </w:rPr>
            </w:pPr>
          </w:p>
        </w:tc>
        <w:tc>
          <w:tcPr>
            <w:tcW w:w="3101" w:type="dxa"/>
          </w:tcPr>
          <w:p>
            <w:pPr>
              <w:rPr>
                <w:color w:val="auto"/>
                <w:sz w:val="36"/>
                <w:szCs w:val="36"/>
                <w:highlight w:val="none"/>
              </w:rPr>
            </w:pPr>
          </w:p>
        </w:tc>
        <w:tc>
          <w:tcPr>
            <w:tcW w:w="3423" w:type="dxa"/>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rPr>
                <w:color w:val="auto"/>
                <w:sz w:val="36"/>
                <w:szCs w:val="36"/>
                <w:highlight w:val="none"/>
              </w:rPr>
            </w:pPr>
          </w:p>
        </w:tc>
        <w:tc>
          <w:tcPr>
            <w:tcW w:w="4297" w:type="dxa"/>
          </w:tcPr>
          <w:p>
            <w:pPr>
              <w:rPr>
                <w:color w:val="auto"/>
                <w:sz w:val="36"/>
                <w:szCs w:val="36"/>
                <w:highlight w:val="none"/>
              </w:rPr>
            </w:pPr>
          </w:p>
        </w:tc>
        <w:tc>
          <w:tcPr>
            <w:tcW w:w="2330" w:type="dxa"/>
          </w:tcPr>
          <w:p>
            <w:pPr>
              <w:rPr>
                <w:color w:val="auto"/>
                <w:sz w:val="36"/>
                <w:szCs w:val="36"/>
                <w:highlight w:val="none"/>
              </w:rPr>
            </w:pPr>
          </w:p>
        </w:tc>
        <w:tc>
          <w:tcPr>
            <w:tcW w:w="3101" w:type="dxa"/>
          </w:tcPr>
          <w:p>
            <w:pPr>
              <w:rPr>
                <w:color w:val="auto"/>
                <w:sz w:val="36"/>
                <w:szCs w:val="36"/>
                <w:highlight w:val="none"/>
              </w:rPr>
            </w:pPr>
          </w:p>
        </w:tc>
        <w:tc>
          <w:tcPr>
            <w:tcW w:w="3423" w:type="dxa"/>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rPr>
                <w:color w:val="auto"/>
                <w:sz w:val="36"/>
                <w:szCs w:val="36"/>
                <w:highlight w:val="none"/>
              </w:rPr>
            </w:pPr>
          </w:p>
        </w:tc>
        <w:tc>
          <w:tcPr>
            <w:tcW w:w="4297" w:type="dxa"/>
          </w:tcPr>
          <w:p>
            <w:pPr>
              <w:rPr>
                <w:color w:val="auto"/>
                <w:sz w:val="36"/>
                <w:szCs w:val="36"/>
                <w:highlight w:val="none"/>
              </w:rPr>
            </w:pPr>
          </w:p>
        </w:tc>
        <w:tc>
          <w:tcPr>
            <w:tcW w:w="2330" w:type="dxa"/>
          </w:tcPr>
          <w:p>
            <w:pPr>
              <w:rPr>
                <w:color w:val="auto"/>
                <w:sz w:val="36"/>
                <w:szCs w:val="36"/>
                <w:highlight w:val="none"/>
              </w:rPr>
            </w:pPr>
          </w:p>
        </w:tc>
        <w:tc>
          <w:tcPr>
            <w:tcW w:w="3101" w:type="dxa"/>
          </w:tcPr>
          <w:p>
            <w:pPr>
              <w:rPr>
                <w:color w:val="auto"/>
                <w:sz w:val="36"/>
                <w:szCs w:val="36"/>
                <w:highlight w:val="none"/>
              </w:rPr>
            </w:pPr>
          </w:p>
        </w:tc>
        <w:tc>
          <w:tcPr>
            <w:tcW w:w="3423" w:type="dxa"/>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rPr>
                <w:color w:val="auto"/>
                <w:sz w:val="36"/>
                <w:szCs w:val="36"/>
                <w:highlight w:val="none"/>
              </w:rPr>
            </w:pPr>
          </w:p>
        </w:tc>
        <w:tc>
          <w:tcPr>
            <w:tcW w:w="4297" w:type="dxa"/>
          </w:tcPr>
          <w:p>
            <w:pPr>
              <w:rPr>
                <w:color w:val="auto"/>
                <w:sz w:val="36"/>
                <w:szCs w:val="36"/>
                <w:highlight w:val="none"/>
              </w:rPr>
            </w:pPr>
          </w:p>
        </w:tc>
        <w:tc>
          <w:tcPr>
            <w:tcW w:w="2330" w:type="dxa"/>
          </w:tcPr>
          <w:p>
            <w:pPr>
              <w:rPr>
                <w:color w:val="auto"/>
                <w:sz w:val="36"/>
                <w:szCs w:val="36"/>
                <w:highlight w:val="none"/>
              </w:rPr>
            </w:pPr>
          </w:p>
        </w:tc>
        <w:tc>
          <w:tcPr>
            <w:tcW w:w="3101" w:type="dxa"/>
          </w:tcPr>
          <w:p>
            <w:pPr>
              <w:rPr>
                <w:color w:val="auto"/>
                <w:sz w:val="36"/>
                <w:szCs w:val="36"/>
                <w:highlight w:val="none"/>
              </w:rPr>
            </w:pPr>
          </w:p>
        </w:tc>
        <w:tc>
          <w:tcPr>
            <w:tcW w:w="3423" w:type="dxa"/>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rPr>
                <w:color w:val="auto"/>
                <w:sz w:val="36"/>
                <w:szCs w:val="36"/>
                <w:highlight w:val="none"/>
              </w:rPr>
            </w:pPr>
          </w:p>
        </w:tc>
        <w:tc>
          <w:tcPr>
            <w:tcW w:w="4297" w:type="dxa"/>
          </w:tcPr>
          <w:p>
            <w:pPr>
              <w:rPr>
                <w:color w:val="auto"/>
                <w:sz w:val="36"/>
                <w:szCs w:val="36"/>
                <w:highlight w:val="none"/>
              </w:rPr>
            </w:pPr>
          </w:p>
        </w:tc>
        <w:tc>
          <w:tcPr>
            <w:tcW w:w="2330" w:type="dxa"/>
          </w:tcPr>
          <w:p>
            <w:pPr>
              <w:rPr>
                <w:color w:val="auto"/>
                <w:sz w:val="36"/>
                <w:szCs w:val="36"/>
                <w:highlight w:val="none"/>
              </w:rPr>
            </w:pPr>
          </w:p>
        </w:tc>
        <w:tc>
          <w:tcPr>
            <w:tcW w:w="3101" w:type="dxa"/>
          </w:tcPr>
          <w:p>
            <w:pPr>
              <w:rPr>
                <w:color w:val="auto"/>
                <w:sz w:val="36"/>
                <w:szCs w:val="36"/>
                <w:highlight w:val="none"/>
              </w:rPr>
            </w:pPr>
          </w:p>
        </w:tc>
        <w:tc>
          <w:tcPr>
            <w:tcW w:w="3423" w:type="dxa"/>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rPr>
                <w:color w:val="auto"/>
                <w:sz w:val="36"/>
                <w:szCs w:val="36"/>
                <w:highlight w:val="none"/>
              </w:rPr>
            </w:pPr>
          </w:p>
        </w:tc>
        <w:tc>
          <w:tcPr>
            <w:tcW w:w="4297" w:type="dxa"/>
          </w:tcPr>
          <w:p>
            <w:pPr>
              <w:rPr>
                <w:color w:val="auto"/>
                <w:sz w:val="36"/>
                <w:szCs w:val="36"/>
                <w:highlight w:val="none"/>
              </w:rPr>
            </w:pPr>
          </w:p>
        </w:tc>
        <w:tc>
          <w:tcPr>
            <w:tcW w:w="2330" w:type="dxa"/>
          </w:tcPr>
          <w:p>
            <w:pPr>
              <w:rPr>
                <w:color w:val="auto"/>
                <w:sz w:val="36"/>
                <w:szCs w:val="36"/>
                <w:highlight w:val="none"/>
              </w:rPr>
            </w:pPr>
          </w:p>
        </w:tc>
        <w:tc>
          <w:tcPr>
            <w:tcW w:w="3101" w:type="dxa"/>
          </w:tcPr>
          <w:p>
            <w:pPr>
              <w:rPr>
                <w:color w:val="auto"/>
                <w:sz w:val="36"/>
                <w:szCs w:val="36"/>
                <w:highlight w:val="none"/>
              </w:rPr>
            </w:pPr>
          </w:p>
        </w:tc>
        <w:tc>
          <w:tcPr>
            <w:tcW w:w="3423" w:type="dxa"/>
          </w:tcPr>
          <w:p>
            <w:pPr>
              <w:rPr>
                <w:color w:val="auto"/>
                <w:sz w:val="36"/>
                <w:szCs w:val="36"/>
                <w:highlight w:val="none"/>
              </w:rPr>
            </w:pPr>
          </w:p>
        </w:tc>
      </w:tr>
    </w:tbl>
    <w:p>
      <w:pPr>
        <w:rPr>
          <w:color w:val="auto"/>
          <w:szCs w:val="21"/>
          <w:highlight w:val="none"/>
        </w:rPr>
      </w:pPr>
      <w:r>
        <w:rPr>
          <w:rFonts w:hint="eastAsia"/>
          <w:color w:val="auto"/>
          <w:szCs w:val="21"/>
          <w:highlight w:val="none"/>
        </w:rPr>
        <w:t>评委签名：</w:t>
      </w:r>
    </w:p>
    <w:p>
      <w:pPr>
        <w:spacing w:line="360" w:lineRule="auto"/>
        <w:jc w:val="center"/>
        <w:rPr>
          <w:rFonts w:ascii="仿宋_GB2312" w:hAnsi="宋体" w:eastAsia="仿宋_GB2312"/>
          <w:color w:val="auto"/>
          <w:szCs w:val="21"/>
          <w:highlight w:val="none"/>
        </w:rPr>
        <w:sectPr>
          <w:headerReference r:id="rId6" w:type="first"/>
          <w:footerReference r:id="rId8" w:type="first"/>
          <w:headerReference r:id="rId5" w:type="default"/>
          <w:footerReference r:id="rId7" w:type="default"/>
          <w:endnotePr>
            <w:numFmt w:val="decimal"/>
          </w:endnotePr>
          <w:pgSz w:w="16838" w:h="11906" w:orient="landscape"/>
          <w:pgMar w:top="1418" w:right="1247" w:bottom="1418" w:left="1134" w:header="851" w:footer="907" w:gutter="0"/>
          <w:cols w:space="720" w:num="1"/>
          <w:titlePg/>
          <w:docGrid w:type="linesAndChars" w:linePitch="312" w:charSpace="0"/>
        </w:sectPr>
      </w:pPr>
    </w:p>
    <w:p>
      <w:pPr>
        <w:pStyle w:val="4"/>
        <w:jc w:val="center"/>
        <w:rPr>
          <w:color w:val="auto"/>
          <w:highlight w:val="none"/>
        </w:rPr>
      </w:pPr>
      <w:bookmarkStart w:id="36" w:name="_Toc5686"/>
      <w:bookmarkStart w:id="37" w:name="_Toc2272566"/>
      <w:r>
        <w:rPr>
          <w:rFonts w:hint="eastAsia"/>
          <w:color w:val="auto"/>
          <w:highlight w:val="none"/>
        </w:rPr>
        <w:t>第三章</w:t>
      </w:r>
      <w:r>
        <w:rPr>
          <w:color w:val="auto"/>
          <w:highlight w:val="none"/>
        </w:rPr>
        <w:t xml:space="preserve">  </w:t>
      </w:r>
      <w:r>
        <w:rPr>
          <w:rFonts w:hint="eastAsia"/>
          <w:color w:val="auto"/>
          <w:highlight w:val="none"/>
        </w:rPr>
        <w:t>合同条款</w:t>
      </w:r>
      <w:bookmarkEnd w:id="36"/>
      <w:bookmarkEnd w:id="37"/>
    </w:p>
    <w:p>
      <w:pPr>
        <w:jc w:val="center"/>
        <w:rPr>
          <w:rFonts w:ascii="宋体"/>
          <w:b/>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另册</w:t>
      </w:r>
      <w:r>
        <w:rPr>
          <w:rFonts w:hint="eastAsia"/>
          <w:color w:val="auto"/>
          <w:sz w:val="24"/>
          <w:szCs w:val="24"/>
          <w:highlight w:val="none"/>
        </w:rPr>
        <w:t>）</w:t>
      </w:r>
    </w:p>
    <w:p>
      <w:pPr>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6"/>
        <w:spacing w:line="360" w:lineRule="auto"/>
        <w:rPr>
          <w:color w:val="auto"/>
          <w:sz w:val="24"/>
          <w:szCs w:val="24"/>
          <w:highlight w:val="none"/>
        </w:rPr>
      </w:pPr>
    </w:p>
    <w:p>
      <w:pPr>
        <w:pStyle w:val="21"/>
        <w:spacing w:line="360" w:lineRule="auto"/>
        <w:rPr>
          <w:color w:val="auto"/>
          <w:sz w:val="24"/>
          <w:szCs w:val="24"/>
          <w:highlight w:val="none"/>
        </w:rPr>
      </w:pPr>
    </w:p>
    <w:p>
      <w:pPr>
        <w:pStyle w:val="4"/>
        <w:jc w:val="center"/>
        <w:rPr>
          <w:color w:val="auto"/>
          <w:highlight w:val="none"/>
        </w:rPr>
      </w:pPr>
      <w:bookmarkStart w:id="38" w:name="_Toc6158"/>
      <w:bookmarkStart w:id="39" w:name="_Toc2272567"/>
      <w:r>
        <w:rPr>
          <w:rFonts w:hint="eastAsia"/>
          <w:color w:val="auto"/>
          <w:highlight w:val="none"/>
        </w:rPr>
        <w:t>第四章</w:t>
      </w:r>
      <w:r>
        <w:rPr>
          <w:color w:val="auto"/>
          <w:highlight w:val="none"/>
        </w:rPr>
        <w:t xml:space="preserve">  </w:t>
      </w:r>
      <w:r>
        <w:rPr>
          <w:rFonts w:hint="eastAsia"/>
          <w:color w:val="auto"/>
          <w:highlight w:val="none"/>
        </w:rPr>
        <w:t>投标文件格式</w:t>
      </w:r>
      <w:bookmarkEnd w:id="38"/>
      <w:bookmarkEnd w:id="39"/>
    </w:p>
    <w:p>
      <w:pPr>
        <w:autoSpaceDE w:val="0"/>
        <w:autoSpaceDN w:val="0"/>
        <w:adjustRightInd w:val="0"/>
        <w:rPr>
          <w:rFonts w:ascii="宋体"/>
          <w:color w:val="auto"/>
          <w:sz w:val="24"/>
          <w:szCs w:val="24"/>
          <w:highlight w:val="none"/>
        </w:rPr>
      </w:pPr>
    </w:p>
    <w:p>
      <w:pPr>
        <w:autoSpaceDE w:val="0"/>
        <w:autoSpaceDN w:val="0"/>
        <w:adjustRightInd w:val="0"/>
        <w:rPr>
          <w:rFonts w:ascii="宋体"/>
          <w:color w:val="auto"/>
          <w:sz w:val="24"/>
          <w:szCs w:val="24"/>
          <w:highlight w:val="none"/>
        </w:rPr>
      </w:pPr>
    </w:p>
    <w:p>
      <w:pPr>
        <w:autoSpaceDE w:val="0"/>
        <w:autoSpaceDN w:val="0"/>
        <w:adjustRightInd w:val="0"/>
        <w:rPr>
          <w:rFonts w:ascii="宋体"/>
          <w:color w:val="auto"/>
          <w:sz w:val="24"/>
          <w:szCs w:val="24"/>
          <w:highlight w:val="none"/>
        </w:rPr>
      </w:pPr>
    </w:p>
    <w:p>
      <w:pPr>
        <w:autoSpaceDE w:val="0"/>
        <w:autoSpaceDN w:val="0"/>
        <w:adjustRightInd w:val="0"/>
        <w:rPr>
          <w:rFonts w:ascii="宋体"/>
          <w:color w:val="auto"/>
          <w:sz w:val="24"/>
          <w:szCs w:val="24"/>
          <w:highlight w:val="none"/>
        </w:rPr>
      </w:pPr>
    </w:p>
    <w:p>
      <w:pPr>
        <w:autoSpaceDE w:val="0"/>
        <w:autoSpaceDN w:val="0"/>
        <w:adjustRightInd w:val="0"/>
        <w:rPr>
          <w:rFonts w:ascii="宋体"/>
          <w:color w:val="auto"/>
          <w:sz w:val="24"/>
          <w:szCs w:val="24"/>
          <w:highlight w:val="none"/>
        </w:rPr>
      </w:pPr>
    </w:p>
    <w:p>
      <w:pPr>
        <w:autoSpaceDE w:val="0"/>
        <w:autoSpaceDN w:val="0"/>
        <w:adjustRightInd w:val="0"/>
        <w:rPr>
          <w:rFonts w:ascii="宋体"/>
          <w:color w:val="auto"/>
          <w:sz w:val="24"/>
          <w:szCs w:val="24"/>
          <w:highlight w:val="none"/>
        </w:rPr>
      </w:pPr>
    </w:p>
    <w:p>
      <w:pPr>
        <w:autoSpaceDE w:val="0"/>
        <w:autoSpaceDN w:val="0"/>
        <w:adjustRightInd w:val="0"/>
        <w:rPr>
          <w:rFonts w:ascii="宋体"/>
          <w:color w:val="auto"/>
          <w:sz w:val="24"/>
          <w:szCs w:val="24"/>
          <w:highlight w:val="none"/>
        </w:rPr>
      </w:pPr>
    </w:p>
    <w:p>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第一部分</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技术标投标文件（含资格审查文件）</w:t>
      </w: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rPr>
          <w:rFonts w:ascii="宋体" w:hAnsi="宋体" w:cs="宋体"/>
          <w:b/>
          <w:bCs/>
          <w:color w:val="auto"/>
          <w:sz w:val="24"/>
          <w:highlight w:val="none"/>
        </w:rPr>
      </w:pPr>
      <w:r>
        <w:rPr>
          <w:color w:val="auto"/>
          <w:highlight w:val="none"/>
        </w:rPr>
        <w:br w:type="page"/>
      </w:r>
      <w:r>
        <w:rPr>
          <w:rFonts w:ascii="宋体" w:hAnsi="宋体" w:cs="宋体"/>
          <w:color w:val="auto"/>
          <w:sz w:val="24"/>
          <w:highlight w:val="none"/>
        </w:rPr>
        <w:t xml:space="preserve"> </w:t>
      </w:r>
      <w:r>
        <w:rPr>
          <w:rFonts w:hint="eastAsia" w:ascii="宋体" w:hAnsi="宋体" w:cs="宋体"/>
          <w:color w:val="auto"/>
          <w:sz w:val="24"/>
          <w:highlight w:val="none"/>
        </w:rPr>
        <w:t>一、</w:t>
      </w:r>
      <w:r>
        <w:rPr>
          <w:rFonts w:hint="eastAsia" w:ascii="宋体" w:hAnsi="宋体" w:cs="宋体"/>
          <w:b/>
          <w:bCs/>
          <w:color w:val="auto"/>
          <w:sz w:val="24"/>
          <w:highlight w:val="none"/>
        </w:rPr>
        <w:t>技术标投标文件（含资格审查文件）</w:t>
      </w:r>
    </w:p>
    <w:p>
      <w:pPr>
        <w:pStyle w:val="138"/>
        <w:ind w:firstLine="0" w:firstLineChars="0"/>
        <w:rPr>
          <w:rFonts w:ascii="宋体" w:cs="宋体"/>
          <w:color w:val="auto"/>
          <w:highlight w:val="none"/>
        </w:rPr>
      </w:pP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41"/>
        <w:rPr>
          <w:rFonts w:ascii="宋体" w:hAnsi="宋体" w:eastAsia="宋体" w:cs="宋体"/>
          <w:color w:val="auto"/>
          <w:highlight w:val="none"/>
          <w:u w:val="single"/>
        </w:rPr>
      </w:pPr>
      <w:r>
        <w:rPr>
          <w:rFonts w:ascii="宋体" w:hAnsi="宋体" w:eastAsia="宋体" w:cs="宋体"/>
          <w:color w:val="auto"/>
          <w:highlight w:val="none"/>
          <w:u w:val="single"/>
        </w:rPr>
        <w:t>[</w:t>
      </w:r>
      <w:r>
        <w:rPr>
          <w:rFonts w:hint="eastAsia" w:ascii="宋体" w:hAnsi="宋体" w:eastAsia="宋体" w:cs="宋体"/>
          <w:color w:val="auto"/>
          <w:highlight w:val="none"/>
          <w:u w:val="single"/>
        </w:rPr>
        <w:t>工程名称</w:t>
      </w:r>
      <w:r>
        <w:rPr>
          <w:rFonts w:ascii="宋体" w:hAnsi="宋体" w:eastAsia="宋体" w:cs="宋体"/>
          <w:color w:val="auto"/>
          <w:highlight w:val="none"/>
          <w:u w:val="single"/>
        </w:rPr>
        <w:t xml:space="preserve">] </w:t>
      </w: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39"/>
        <w:rPr>
          <w:rFonts w:ascii="宋体" w:hAnsi="宋体" w:eastAsia="宋体" w:cs="宋体"/>
          <w:color w:val="auto"/>
          <w:highlight w:val="none"/>
        </w:rPr>
      </w:pPr>
      <w:r>
        <w:rPr>
          <w:rFonts w:hint="eastAsia" w:ascii="宋体" w:hAnsi="宋体" w:eastAsia="宋体" w:cs="宋体"/>
          <w:color w:val="auto"/>
          <w:highlight w:val="none"/>
        </w:rPr>
        <w:t>投标文件</w:t>
      </w:r>
    </w:p>
    <w:p>
      <w:pPr>
        <w:pStyle w:val="141"/>
        <w:rPr>
          <w:rFonts w:ascii="宋体" w:hAnsi="宋体" w:eastAsia="宋体" w:cs="宋体"/>
          <w:color w:val="auto"/>
          <w:highlight w:val="none"/>
        </w:rPr>
      </w:pPr>
      <w:r>
        <w:rPr>
          <w:rFonts w:hint="eastAsia" w:ascii="宋体" w:hAnsi="宋体" w:eastAsia="宋体"/>
          <w:b w:val="0"/>
          <w:color w:val="auto"/>
          <w:highlight w:val="none"/>
        </w:rPr>
        <w:t>技术标投标文件（含资格审查文件）</w:t>
      </w:r>
    </w:p>
    <w:p>
      <w:pPr>
        <w:pStyle w:val="141"/>
        <w:rPr>
          <w:rFonts w:ascii="宋体" w:hAnsi="宋体" w:eastAsia="宋体" w:cs="宋体"/>
          <w:color w:val="auto"/>
          <w:highlight w:val="none"/>
        </w:rPr>
      </w:pP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38"/>
        <w:ind w:firstLine="496"/>
        <w:rPr>
          <w:rFonts w:ascii="宋体" w:cs="宋体"/>
          <w:color w:val="auto"/>
          <w:highlight w:val="none"/>
        </w:rPr>
      </w:pPr>
    </w:p>
    <w:p>
      <w:pPr>
        <w:pStyle w:val="140"/>
        <w:ind w:firstLine="616"/>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（填写投标人单位名称）    （盖章）</w:t>
      </w:r>
    </w:p>
    <w:p>
      <w:pPr>
        <w:pStyle w:val="140"/>
        <w:ind w:firstLine="616"/>
        <w:rPr>
          <w:rFonts w:ascii="宋体" w:hAnsi="宋体"/>
          <w:color w:val="auto"/>
          <w:highlight w:val="none"/>
        </w:rPr>
      </w:pPr>
      <w:r>
        <w:rPr>
          <w:rFonts w:hint="eastAsia" w:ascii="宋体" w:hAnsi="宋体"/>
          <w:color w:val="auto"/>
          <w:highlight w:val="none"/>
        </w:rPr>
        <w:t>法定代表人或</w:t>
      </w:r>
    </w:p>
    <w:p>
      <w:pPr>
        <w:pStyle w:val="140"/>
        <w:ind w:firstLine="616"/>
        <w:rPr>
          <w:rFonts w:ascii="宋体" w:hAnsi="宋体"/>
          <w:color w:val="auto"/>
          <w:highlight w:val="none"/>
        </w:rPr>
      </w:pPr>
      <w:r>
        <w:rPr>
          <w:rFonts w:hint="eastAsia" w:ascii="宋体" w:hAnsi="宋体"/>
          <w:color w:val="auto"/>
          <w:highlight w:val="none"/>
        </w:rPr>
        <w:t>其委托代理人：</w:t>
      </w:r>
      <w:r>
        <w:rPr>
          <w:rFonts w:hint="eastAsia" w:ascii="宋体" w:hAnsi="宋体"/>
          <w:color w:val="auto"/>
          <w:highlight w:val="none"/>
          <w:u w:val="single"/>
        </w:rPr>
        <w:t xml:space="preserve">                    （签名或盖章）</w:t>
      </w:r>
    </w:p>
    <w:p>
      <w:pPr>
        <w:pStyle w:val="140"/>
        <w:ind w:firstLine="616"/>
        <w:rPr>
          <w:rFonts w:ascii="宋体" w:hAnsi="宋体" w:cs="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p>
    <w:p>
      <w:pPr>
        <w:rPr>
          <w:rFonts w:ascii="宋体" w:hAnsi="宋体" w:cs="宋体"/>
          <w:color w:val="auto"/>
          <w:highlight w:val="none"/>
        </w:rPr>
      </w:pPr>
      <w:r>
        <w:rPr>
          <w:rFonts w:ascii="宋体" w:cs="宋体"/>
          <w:color w:val="auto"/>
          <w:highlight w:val="none"/>
        </w:rPr>
        <w:br w:type="page"/>
      </w:r>
      <w:r>
        <w:rPr>
          <w:rFonts w:hint="eastAsia" w:ascii="宋体" w:hAnsi="宋体" w:cs="宋体"/>
          <w:color w:val="auto"/>
          <w:highlight w:val="none"/>
        </w:rPr>
        <w:t>格式一：</w:t>
      </w:r>
    </w:p>
    <w:p>
      <w:pPr>
        <w:autoSpaceDE w:val="0"/>
        <w:autoSpaceDN w:val="0"/>
        <w:adjustRightInd w:val="0"/>
        <w:ind w:left="-539" w:leftChars="-257" w:firstLine="1130"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8"/>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标</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总 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2150" w:firstLineChars="896"/>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修</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bl>
    <w:p>
      <w:pPr>
        <w:pStyle w:val="21"/>
        <w:rPr>
          <w:color w:val="auto"/>
          <w:highlight w:val="none"/>
        </w:rPr>
      </w:pPr>
    </w:p>
    <w:p>
      <w:pPr>
        <w:rPr>
          <w:color w:val="auto"/>
          <w:highlight w:val="none"/>
        </w:rPr>
      </w:pPr>
    </w:p>
    <w:p>
      <w:pPr>
        <w:rPr>
          <w:rFonts w:ascii="宋体" w:hAnsi="宋体" w:cs="宋体"/>
          <w:color w:val="auto"/>
          <w:highlight w:val="none"/>
        </w:rPr>
      </w:pPr>
      <w:r>
        <w:rPr>
          <w:color w:val="auto"/>
          <w:highlight w:val="none"/>
        </w:rPr>
        <w:br w:type="page"/>
      </w:r>
      <w:r>
        <w:rPr>
          <w:rFonts w:hint="eastAsia" w:ascii="宋体" w:hAnsi="宋体" w:cs="宋体"/>
          <w:color w:val="auto"/>
          <w:highlight w:val="none"/>
        </w:rPr>
        <w:t>格式二：</w:t>
      </w:r>
    </w:p>
    <w:p>
      <w:pPr>
        <w:pStyle w:val="142"/>
        <w:rPr>
          <w:color w:val="auto"/>
          <w:highlight w:val="none"/>
        </w:rPr>
      </w:pPr>
      <w:r>
        <w:rPr>
          <w:rFonts w:hint="eastAsia"/>
          <w:color w:val="auto"/>
          <w:highlight w:val="none"/>
        </w:rPr>
        <w:t>投</w:t>
      </w:r>
      <w:r>
        <w:rPr>
          <w:color w:val="auto"/>
          <w:highlight w:val="none"/>
        </w:rPr>
        <w:t xml:space="preserve"> </w:t>
      </w:r>
      <w:r>
        <w:rPr>
          <w:rFonts w:hint="eastAsia"/>
          <w:color w:val="auto"/>
          <w:highlight w:val="none"/>
        </w:rPr>
        <w:t>标</w:t>
      </w:r>
      <w:r>
        <w:rPr>
          <w:color w:val="auto"/>
          <w:highlight w:val="none"/>
        </w:rPr>
        <w:t xml:space="preserve"> </w:t>
      </w:r>
      <w:r>
        <w:rPr>
          <w:rFonts w:hint="eastAsia"/>
          <w:color w:val="auto"/>
          <w:highlight w:val="none"/>
        </w:rPr>
        <w:t>函</w:t>
      </w:r>
    </w:p>
    <w:p>
      <w:pPr>
        <w:pStyle w:val="138"/>
        <w:spacing w:line="480" w:lineRule="auto"/>
        <w:ind w:firstLine="0" w:firstLineChars="0"/>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 （招标人名称） </w:t>
      </w:r>
    </w:p>
    <w:p>
      <w:pPr>
        <w:pStyle w:val="138"/>
        <w:spacing w:line="480" w:lineRule="auto"/>
        <w:ind w:firstLine="496"/>
        <w:rPr>
          <w:rFonts w:ascii="宋体" w:hAnsi="宋体"/>
          <w:color w:val="auto"/>
          <w:highlight w:val="none"/>
        </w:rPr>
      </w:pPr>
      <w:r>
        <w:rPr>
          <w:rFonts w:hint="eastAsia" w:ascii="宋体" w:hAnsi="宋体"/>
          <w:color w:val="auto"/>
          <w:highlight w:val="none"/>
        </w:rPr>
        <w:t>1.根据招标人</w:t>
      </w:r>
      <w:r>
        <w:rPr>
          <w:rFonts w:hint="eastAsia" w:ascii="宋体" w:hAnsi="宋体"/>
          <w:color w:val="auto"/>
          <w:highlight w:val="none"/>
          <w:u w:val="single"/>
        </w:rPr>
        <w:t xml:space="preserve"> （工程项目名称） </w:t>
      </w:r>
      <w:r>
        <w:rPr>
          <w:rFonts w:hint="eastAsia" w:ascii="宋体" w:hAnsi="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138"/>
        <w:spacing w:line="480" w:lineRule="auto"/>
        <w:ind w:firstLine="496"/>
        <w:rPr>
          <w:rFonts w:ascii="宋体" w:hAnsi="宋体"/>
          <w:color w:val="auto"/>
          <w:highlight w:val="none"/>
        </w:rPr>
      </w:pPr>
      <w:r>
        <w:rPr>
          <w:rFonts w:hint="eastAsia" w:ascii="宋体" w:hAnsi="宋体"/>
          <w:color w:val="auto"/>
          <w:highlight w:val="none"/>
        </w:rPr>
        <w:t>2.我方已详细审核全部招标文件，包括修改文件（如有时）及有关附件。</w:t>
      </w:r>
    </w:p>
    <w:p>
      <w:pPr>
        <w:pStyle w:val="138"/>
        <w:spacing w:line="480" w:lineRule="auto"/>
        <w:ind w:firstLine="496"/>
        <w:rPr>
          <w:rFonts w:ascii="宋体" w:hAnsi="宋体"/>
          <w:color w:val="auto"/>
          <w:highlight w:val="none"/>
        </w:rPr>
      </w:pPr>
      <w:r>
        <w:rPr>
          <w:rFonts w:hint="eastAsia" w:ascii="宋体" w:hAnsi="宋体"/>
          <w:color w:val="auto"/>
          <w:highlight w:val="none"/>
        </w:rPr>
        <w:t>3.如果我方中标，我方保证按照合同文件中规定的开工日期开始施工，并按规定的预计竣工日期完成和交付全部工程。</w:t>
      </w:r>
    </w:p>
    <w:p>
      <w:pPr>
        <w:pStyle w:val="138"/>
        <w:spacing w:line="480" w:lineRule="auto"/>
        <w:ind w:firstLine="496"/>
        <w:rPr>
          <w:rFonts w:ascii="宋体" w:hAnsi="宋体"/>
          <w:color w:val="auto"/>
          <w:highlight w:val="none"/>
        </w:rPr>
      </w:pPr>
      <w:r>
        <w:rPr>
          <w:rFonts w:hint="eastAsia" w:ascii="宋体" w:hAnsi="宋体"/>
          <w:color w:val="auto"/>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pStyle w:val="138"/>
        <w:spacing w:line="480" w:lineRule="auto"/>
        <w:ind w:firstLine="496"/>
        <w:rPr>
          <w:rFonts w:ascii="宋体" w:hAnsi="宋体"/>
          <w:color w:val="auto"/>
          <w:highlight w:val="none"/>
        </w:rPr>
      </w:pPr>
      <w:r>
        <w:rPr>
          <w:rFonts w:hint="eastAsia" w:ascii="宋体" w:hAnsi="宋体"/>
          <w:color w:val="auto"/>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138"/>
        <w:spacing w:line="480" w:lineRule="auto"/>
        <w:ind w:firstLine="496"/>
        <w:rPr>
          <w:rFonts w:ascii="宋体" w:hAnsi="宋体"/>
          <w:color w:val="auto"/>
          <w:highlight w:val="none"/>
        </w:rPr>
      </w:pPr>
      <w:r>
        <w:rPr>
          <w:rFonts w:hint="eastAsia" w:ascii="宋体" w:hAnsi="宋体"/>
          <w:color w:val="auto"/>
          <w:highlight w:val="none"/>
        </w:rPr>
        <w:t>6.如果我方中标，我方将按照招标文件的规定，按时提交履约担保，以保障本项目优质、优价、按期、顺利完成。</w:t>
      </w:r>
    </w:p>
    <w:p>
      <w:pPr>
        <w:pStyle w:val="138"/>
        <w:spacing w:line="480" w:lineRule="auto"/>
        <w:ind w:firstLine="496"/>
        <w:rPr>
          <w:rFonts w:ascii="宋体" w:hAnsi="宋体"/>
          <w:color w:val="auto"/>
          <w:highlight w:val="none"/>
        </w:rPr>
      </w:pPr>
      <w:r>
        <w:rPr>
          <w:rFonts w:hint="eastAsia" w:ascii="宋体" w:hAnsi="宋体"/>
          <w:color w:val="auto"/>
          <w:highlight w:val="none"/>
        </w:rPr>
        <w:t>7.我方同意所提交的投标文件在招标文件投标须知中第15条规定的投标有效期内有效，在此期限届满之前，本投标书始终将对我方具有约束力，并随时接受中标。</w:t>
      </w:r>
    </w:p>
    <w:p>
      <w:pPr>
        <w:pStyle w:val="138"/>
        <w:spacing w:line="480" w:lineRule="auto"/>
        <w:ind w:firstLine="496"/>
        <w:rPr>
          <w:rFonts w:ascii="宋体" w:hAnsi="宋体"/>
          <w:color w:val="auto"/>
          <w:highlight w:val="none"/>
        </w:rPr>
      </w:pPr>
      <w:r>
        <w:rPr>
          <w:rFonts w:hint="eastAsia" w:ascii="宋体" w:hAnsi="宋体"/>
          <w:color w:val="auto"/>
          <w:highlight w:val="none"/>
        </w:rPr>
        <w:t>8.在合同协议书正式签署生效之前，本投标书连同你单位的中标通知书将构成我们双方之间共同遵守的文件，对双方具有约束力。</w:t>
      </w:r>
    </w:p>
    <w:p>
      <w:pPr>
        <w:pStyle w:val="138"/>
        <w:spacing w:line="480" w:lineRule="auto"/>
        <w:ind w:firstLine="496"/>
        <w:rPr>
          <w:rFonts w:ascii="宋体" w:hAnsi="宋体"/>
          <w:color w:val="auto"/>
          <w:highlight w:val="none"/>
        </w:rPr>
      </w:pPr>
      <w:r>
        <w:rPr>
          <w:rFonts w:hint="eastAsia" w:ascii="宋体" w:hAnsi="宋体"/>
          <w:color w:val="auto"/>
          <w:highlight w:val="none"/>
        </w:rPr>
        <w:t>9.随同本投标文件，我方已提交投标担保。如果我方在投标文件有效期内撤回投标文件；或在接到中标通知书后30天内未能或拒绝签订合同协议书；或未能</w:t>
      </w:r>
      <w:r>
        <w:rPr>
          <w:rFonts w:hint="eastAsia" w:ascii="宋体" w:hAnsi="宋体"/>
          <w:b/>
          <w:color w:val="auto"/>
          <w:highlight w:val="none"/>
        </w:rPr>
        <w:t>按招标文件要求</w:t>
      </w:r>
      <w:r>
        <w:rPr>
          <w:rFonts w:hint="eastAsia" w:ascii="宋体" w:hAnsi="宋体"/>
          <w:color w:val="auto"/>
          <w:highlight w:val="none"/>
        </w:rPr>
        <w:t>提交履约担保，你单位有权没收投标保证金，另选中标单位。</w:t>
      </w:r>
    </w:p>
    <w:p>
      <w:pPr>
        <w:pStyle w:val="138"/>
        <w:spacing w:line="480" w:lineRule="auto"/>
        <w:ind w:firstLine="496"/>
        <w:rPr>
          <w:rFonts w:ascii="宋体" w:hAnsi="宋体"/>
          <w:color w:val="auto"/>
          <w:highlight w:val="none"/>
        </w:rPr>
      </w:pPr>
      <w:r>
        <w:rPr>
          <w:rFonts w:hint="eastAsia" w:ascii="宋体" w:hAnsi="宋体"/>
          <w:color w:val="auto"/>
          <w:highlight w:val="none"/>
        </w:rPr>
        <w:t>10.我方理解，你单位不一定接受最低标价的投标或你单位接到的其它任何投标。同时也理解，你单位不负担我方的任何投标费用。</w:t>
      </w:r>
    </w:p>
    <w:p>
      <w:pPr>
        <w:pStyle w:val="138"/>
        <w:ind w:firstLine="496"/>
        <w:rPr>
          <w:rFonts w:ascii="宋体" w:hAnsi="宋体"/>
          <w:color w:val="auto"/>
          <w:highlight w:val="none"/>
        </w:rPr>
      </w:pPr>
    </w:p>
    <w:p>
      <w:pPr>
        <w:pStyle w:val="138"/>
        <w:spacing w:line="480" w:lineRule="auto"/>
        <w:ind w:firstLine="496"/>
        <w:rPr>
          <w:rFonts w:ascii="宋体" w:hAnsi="宋体"/>
          <w:color w:val="auto"/>
          <w:highlight w:val="none"/>
        </w:rPr>
      </w:pP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投 标 人：    （盖章）</w:t>
      </w: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法定代表人或授权代理人（签字或盖章）：</w:t>
      </w:r>
    </w:p>
    <w:p>
      <w:pPr>
        <w:ind w:firstLine="620" w:firstLineChars="25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日    期：    年    月    日</w:t>
      </w:r>
    </w:p>
    <w:p>
      <w:pPr>
        <w:rPr>
          <w:rFonts w:ascii="宋体" w:hAnsi="宋体" w:cs="宋体"/>
          <w:color w:val="auto"/>
          <w:highlight w:val="none"/>
        </w:rPr>
      </w:pPr>
      <w:r>
        <w:rPr>
          <w:color w:val="auto"/>
          <w:spacing w:val="4"/>
          <w:highlight w:val="none"/>
        </w:rPr>
        <w:br w:type="page"/>
      </w:r>
      <w:r>
        <w:rPr>
          <w:rFonts w:hint="eastAsia" w:ascii="宋体" w:hAnsi="宋体" w:cs="宋体"/>
          <w:color w:val="auto"/>
          <w:highlight w:val="none"/>
        </w:rPr>
        <w:t>格式三：</w:t>
      </w:r>
    </w:p>
    <w:p>
      <w:pPr>
        <w:pStyle w:val="142"/>
        <w:rPr>
          <w:color w:val="auto"/>
          <w:highlight w:val="none"/>
        </w:rPr>
      </w:pPr>
    </w:p>
    <w:p>
      <w:pPr>
        <w:pStyle w:val="142"/>
        <w:rPr>
          <w:b w:val="0"/>
          <w:color w:val="auto"/>
          <w:highlight w:val="none"/>
        </w:rPr>
      </w:pPr>
      <w:r>
        <w:rPr>
          <w:rFonts w:hint="eastAsia"/>
          <w:b w:val="0"/>
          <w:color w:val="auto"/>
          <w:highlight w:val="none"/>
        </w:rPr>
        <w:t>类似工程业绩表</w:t>
      </w:r>
    </w:p>
    <w:p>
      <w:pPr>
        <w:pStyle w:val="138"/>
        <w:ind w:firstLine="0" w:firstLineChars="0"/>
        <w:jc w:val="center"/>
        <w:rPr>
          <w:rFonts w:ascii="宋体" w:hAnsi="宋体" w:cs="宋体"/>
          <w:b/>
          <w:bCs/>
          <w:color w:val="auto"/>
          <w:highlight w:val="none"/>
        </w:rPr>
      </w:pPr>
      <w:r>
        <w:rPr>
          <w:rFonts w:hint="eastAsia" w:ascii="宋体" w:hAnsi="宋体" w:cs="宋体"/>
          <w:b/>
          <w:bCs/>
          <w:color w:val="auto"/>
          <w:highlight w:val="none"/>
        </w:rPr>
        <w:t>（投标人按评审要求提供，格式自拟）</w:t>
      </w:r>
    </w:p>
    <w:p>
      <w:pPr>
        <w:pStyle w:val="138"/>
        <w:ind w:firstLine="3596" w:firstLineChars="1450"/>
        <w:rPr>
          <w:rFonts w:ascii="宋体" w:hAnsi="宋体" w:cs="宋体"/>
          <w:color w:val="auto"/>
          <w:highlight w:val="none"/>
        </w:rPr>
      </w:pPr>
    </w:p>
    <w:p>
      <w:pPr>
        <w:pStyle w:val="138"/>
        <w:ind w:firstLine="3596" w:firstLineChars="1450"/>
        <w:rPr>
          <w:rFonts w:ascii="宋体" w:hAnsi="宋体" w:cs="宋体"/>
          <w:color w:val="auto"/>
          <w:highlight w:val="none"/>
        </w:rPr>
      </w:pPr>
    </w:p>
    <w:p>
      <w:pPr>
        <w:pStyle w:val="138"/>
        <w:ind w:firstLine="3596" w:firstLineChars="1450"/>
        <w:rPr>
          <w:rFonts w:ascii="宋体" w:hAnsi="宋体" w:cs="宋体"/>
          <w:color w:val="auto"/>
          <w:highlight w:val="none"/>
        </w:rPr>
      </w:pPr>
    </w:p>
    <w:p>
      <w:pPr>
        <w:pStyle w:val="138"/>
        <w:ind w:firstLine="3596" w:firstLineChars="1450"/>
        <w:rPr>
          <w:rFonts w:ascii="宋体" w:hAnsi="宋体" w:cs="宋体"/>
          <w:color w:val="auto"/>
          <w:highlight w:val="none"/>
        </w:rPr>
      </w:pPr>
    </w:p>
    <w:p>
      <w:pPr>
        <w:pStyle w:val="138"/>
        <w:ind w:firstLine="3596" w:firstLineChars="1450"/>
        <w:rPr>
          <w:rFonts w:ascii="宋体" w:hAnsi="宋体" w:cs="宋体"/>
          <w:color w:val="auto"/>
          <w:highlight w:val="none"/>
        </w:rPr>
      </w:pPr>
      <w:r>
        <w:rPr>
          <w:rFonts w:hint="eastAsia" w:ascii="宋体" w:hAnsi="宋体" w:cs="宋体"/>
          <w:color w:val="auto"/>
          <w:highlight w:val="none"/>
        </w:rPr>
        <w:t>投标人：　　（盖章）</w:t>
      </w:r>
    </w:p>
    <w:p>
      <w:pPr>
        <w:pStyle w:val="138"/>
        <w:ind w:firstLine="3596" w:firstLineChars="1450"/>
        <w:rPr>
          <w:rFonts w:ascii="宋体" w:hAnsi="宋体" w:cs="宋体"/>
          <w:color w:val="auto"/>
          <w:highlight w:val="none"/>
        </w:rPr>
      </w:pPr>
      <w:r>
        <w:rPr>
          <w:rFonts w:hint="eastAsia" w:ascii="宋体" w:hAnsi="宋体" w:cs="宋体"/>
          <w:color w:val="auto"/>
          <w:highlight w:val="none"/>
        </w:rPr>
        <w:t>法定代表人或授权代理人(签字或盖章)：</w:t>
      </w:r>
    </w:p>
    <w:p>
      <w:pPr>
        <w:pStyle w:val="21"/>
        <w:rPr>
          <w:rFonts w:hAnsi="宋体" w:cs="宋体"/>
          <w:snapToGrid w:val="0"/>
          <w:color w:val="auto"/>
          <w:spacing w:val="4"/>
          <w:sz w:val="24"/>
          <w:highlight w:val="none"/>
        </w:rPr>
      </w:pPr>
      <w:r>
        <w:rPr>
          <w:rFonts w:hint="eastAsia" w:hAnsi="宋体" w:cs="宋体"/>
          <w:color w:val="auto"/>
          <w:highlight w:val="none"/>
        </w:rPr>
        <w:t xml:space="preserve">        </w:t>
      </w:r>
      <w:r>
        <w:rPr>
          <w:rFonts w:hAnsi="宋体" w:cs="宋体"/>
          <w:color w:val="auto"/>
          <w:highlight w:val="none"/>
        </w:rPr>
        <w:t xml:space="preserve">     </w:t>
      </w:r>
      <w:r>
        <w:rPr>
          <w:rFonts w:hint="eastAsia" w:hAnsi="宋体" w:cs="宋体"/>
          <w:color w:val="auto"/>
          <w:highlight w:val="none"/>
        </w:rPr>
        <w:t xml:space="preserve"> </w:t>
      </w:r>
      <w:r>
        <w:rPr>
          <w:rFonts w:hAnsi="宋体" w:cs="宋体"/>
          <w:color w:val="auto"/>
          <w:highlight w:val="none"/>
        </w:rPr>
        <w:t xml:space="preserve">                      </w:t>
      </w:r>
      <w:r>
        <w:rPr>
          <w:rFonts w:hint="eastAsia" w:hAnsi="宋体" w:cs="宋体"/>
          <w:snapToGrid w:val="0"/>
          <w:color w:val="auto"/>
          <w:spacing w:val="4"/>
          <w:sz w:val="24"/>
          <w:highlight w:val="none"/>
        </w:rPr>
        <w:t>日   期：    年    月    日</w:t>
      </w:r>
    </w:p>
    <w:p>
      <w:pPr>
        <w:pStyle w:val="21"/>
        <w:rPr>
          <w:rFonts w:hAnsi="宋体" w:cs="宋体"/>
          <w:snapToGrid w:val="0"/>
          <w:color w:val="auto"/>
          <w:spacing w:val="4"/>
          <w:sz w:val="24"/>
          <w:highlight w:val="none"/>
        </w:rPr>
      </w:pPr>
      <w:r>
        <w:rPr>
          <w:rFonts w:hAnsi="宋体" w:cs="宋体"/>
          <w:snapToGrid w:val="0"/>
          <w:color w:val="auto"/>
          <w:spacing w:val="4"/>
          <w:sz w:val="24"/>
          <w:highlight w:val="none"/>
        </w:rPr>
        <w:br w:type="page"/>
      </w:r>
      <w:r>
        <w:rPr>
          <w:rFonts w:hint="eastAsia" w:hAnsi="宋体" w:cs="宋体"/>
          <w:snapToGrid w:val="0"/>
          <w:color w:val="auto"/>
          <w:spacing w:val="4"/>
          <w:sz w:val="24"/>
          <w:highlight w:val="none"/>
        </w:rPr>
        <w:t>格式四：</w:t>
      </w:r>
    </w:p>
    <w:p>
      <w:pPr>
        <w:pStyle w:val="142"/>
        <w:rPr>
          <w:rFonts w:ascii="宋体" w:hAnsi="宋体" w:eastAsia="宋体"/>
          <w:color w:val="auto"/>
          <w:highlight w:val="none"/>
        </w:rPr>
      </w:pPr>
      <w:r>
        <w:rPr>
          <w:rFonts w:hint="eastAsia" w:ascii="宋体" w:hAnsi="宋体" w:eastAsia="宋体"/>
          <w:color w:val="auto"/>
          <w:highlight w:val="none"/>
        </w:rPr>
        <w:t>承</w:t>
      </w:r>
      <w:r>
        <w:rPr>
          <w:rFonts w:ascii="宋体" w:hAnsi="宋体" w:eastAsia="宋体"/>
          <w:color w:val="auto"/>
          <w:highlight w:val="none"/>
        </w:rPr>
        <w:t xml:space="preserve">  </w:t>
      </w:r>
      <w:r>
        <w:rPr>
          <w:rFonts w:hint="eastAsia" w:ascii="宋体" w:hAnsi="宋体" w:eastAsia="宋体"/>
          <w:color w:val="auto"/>
          <w:highlight w:val="none"/>
        </w:rPr>
        <w:t>诺</w:t>
      </w:r>
      <w:r>
        <w:rPr>
          <w:rFonts w:ascii="宋体" w:hAnsi="宋体" w:eastAsia="宋体"/>
          <w:color w:val="auto"/>
          <w:highlight w:val="none"/>
        </w:rPr>
        <w:t xml:space="preserve">  </w:t>
      </w:r>
      <w:r>
        <w:rPr>
          <w:rFonts w:hint="eastAsia" w:ascii="宋体" w:hAnsi="宋体" w:eastAsia="宋体"/>
          <w:color w:val="auto"/>
          <w:highlight w:val="none"/>
        </w:rPr>
        <w:t>书</w:t>
      </w:r>
    </w:p>
    <w:p>
      <w:pPr>
        <w:pStyle w:val="138"/>
        <w:ind w:firstLine="0" w:firstLineChars="0"/>
        <w:rPr>
          <w:rFonts w:ascii="宋体" w:hAnsi="宋体"/>
          <w:color w:val="auto"/>
          <w:highlight w:val="none"/>
        </w:rPr>
      </w:pPr>
      <w:r>
        <w:rPr>
          <w:rFonts w:hint="eastAsia" w:ascii="宋体" w:hAnsi="宋体"/>
          <w:color w:val="auto"/>
          <w:highlight w:val="none"/>
        </w:rPr>
        <w:t>致：广州市白云区太和镇人民政府</w:t>
      </w:r>
    </w:p>
    <w:p>
      <w:pPr>
        <w:pStyle w:val="138"/>
        <w:ind w:firstLine="496"/>
        <w:rPr>
          <w:rFonts w:ascii="宋体" w:hAnsi="宋体"/>
          <w:color w:val="auto"/>
          <w:highlight w:val="none"/>
        </w:rPr>
      </w:pPr>
      <w:r>
        <w:rPr>
          <w:rFonts w:hint="eastAsia" w:ascii="宋体" w:hAnsi="宋体"/>
          <w:color w:val="auto"/>
          <w:highlight w:val="none"/>
        </w:rPr>
        <w:t>经详细阅读本工程招标文件、招标答疑纪要和踏勘现场，我司已理解招标人对本招标项目工程管理的高标准及严格要求，在此，我司郑重作出以下承诺：</w:t>
      </w:r>
    </w:p>
    <w:p>
      <w:pPr>
        <w:pStyle w:val="138"/>
        <w:ind w:firstLine="496"/>
        <w:rPr>
          <w:rFonts w:ascii="宋体" w:hAnsi="宋体"/>
          <w:color w:val="auto"/>
          <w:highlight w:val="none"/>
        </w:rPr>
      </w:pPr>
      <w:r>
        <w:rPr>
          <w:rFonts w:hint="eastAsia" w:ascii="宋体" w:hAnsi="宋体"/>
          <w:color w:val="auto"/>
          <w:highlight w:val="none"/>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pPr>
        <w:pStyle w:val="138"/>
        <w:ind w:firstLine="496"/>
        <w:rPr>
          <w:rFonts w:ascii="宋体" w:hAnsi="宋体"/>
          <w:color w:val="auto"/>
          <w:highlight w:val="none"/>
        </w:rPr>
      </w:pPr>
      <w:r>
        <w:rPr>
          <w:rFonts w:hint="eastAsia" w:ascii="宋体" w:hAnsi="宋体"/>
          <w:color w:val="auto"/>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pPr>
        <w:pStyle w:val="138"/>
        <w:ind w:firstLine="496"/>
        <w:rPr>
          <w:rFonts w:ascii="宋体" w:hAnsi="宋体"/>
          <w:color w:val="auto"/>
          <w:highlight w:val="none"/>
        </w:rPr>
      </w:pPr>
      <w:r>
        <w:rPr>
          <w:rFonts w:hint="eastAsia" w:ascii="宋体" w:hAnsi="宋体"/>
          <w:color w:val="auto"/>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并由此造成的责任由我司承担。</w:t>
      </w:r>
    </w:p>
    <w:p>
      <w:pPr>
        <w:pStyle w:val="138"/>
        <w:ind w:firstLine="496"/>
        <w:rPr>
          <w:rFonts w:ascii="宋体" w:hAnsi="宋体"/>
          <w:color w:val="auto"/>
          <w:highlight w:val="none"/>
        </w:rPr>
      </w:pPr>
      <w:r>
        <w:rPr>
          <w:rFonts w:hint="eastAsia" w:ascii="宋体" w:hAnsi="宋体"/>
          <w:color w:val="auto"/>
          <w:highlight w:val="none"/>
        </w:rPr>
        <w:t>四、经认真进行市场调查，我司承诺本招标项目材料、设备来源有保证，可按投标承诺及时组织到货，无需代换，图纸、资料和设计文件中所要求的条件我司全部能够满足。</w:t>
      </w:r>
    </w:p>
    <w:p>
      <w:pPr>
        <w:pStyle w:val="138"/>
        <w:ind w:firstLine="496"/>
        <w:rPr>
          <w:rFonts w:ascii="宋体" w:hAnsi="宋体"/>
          <w:color w:val="auto"/>
          <w:spacing w:val="2"/>
          <w:position w:val="2"/>
          <w:highlight w:val="none"/>
        </w:rPr>
      </w:pPr>
      <w:r>
        <w:rPr>
          <w:rFonts w:hint="eastAsia" w:ascii="宋体" w:hAnsi="宋体"/>
          <w:color w:val="auto"/>
          <w:highlight w:val="none"/>
        </w:rPr>
        <w:t>五、</w:t>
      </w:r>
      <w:r>
        <w:rPr>
          <w:rFonts w:hint="eastAsia" w:ascii="宋体" w:hAnsi="宋体"/>
          <w:color w:val="auto"/>
          <w:spacing w:val="2"/>
          <w:position w:val="2"/>
          <w:highlight w:val="none"/>
        </w:rPr>
        <w:t>鉴于本工程的重要性、复杂性和工期的紧迫性，为确保按时、按质完成本工程的施工任务，我司经慎重考虑，承诺按招标文件的要求投入人员。否则，按合同约定处理，并承担违约责任。</w:t>
      </w:r>
    </w:p>
    <w:p>
      <w:pPr>
        <w:pStyle w:val="138"/>
        <w:ind w:firstLine="488"/>
        <w:rPr>
          <w:rFonts w:ascii="宋体" w:hAnsi="宋体"/>
          <w:color w:val="auto"/>
          <w:highlight w:val="none"/>
        </w:rPr>
      </w:pPr>
      <w:r>
        <w:rPr>
          <w:rFonts w:hint="eastAsia" w:ascii="宋体" w:hAnsi="宋体"/>
          <w:color w:val="auto"/>
          <w:spacing w:val="2"/>
          <w:position w:val="2"/>
          <w:highlight w:val="none"/>
        </w:rPr>
        <w:t>六、</w:t>
      </w:r>
      <w:r>
        <w:rPr>
          <w:rFonts w:hint="eastAsia" w:ascii="宋体" w:hAnsi="宋体"/>
          <w:color w:val="auto"/>
          <w:highlight w:val="none"/>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pPr>
        <w:pStyle w:val="138"/>
        <w:ind w:firstLine="496"/>
        <w:rPr>
          <w:rFonts w:ascii="宋体" w:hAnsi="宋体"/>
          <w:color w:val="auto"/>
          <w:highlight w:val="none"/>
        </w:rPr>
      </w:pPr>
      <w:r>
        <w:rPr>
          <w:rFonts w:hint="eastAsia" w:ascii="宋体" w:hAnsi="宋体"/>
          <w:color w:val="auto"/>
          <w:highlight w:val="none"/>
        </w:rPr>
        <w:t>七、我司已充分阅读并结合我司实际全面理解招标文件第三章合同格式的所有内容，</w:t>
      </w:r>
      <w:r>
        <w:rPr>
          <w:rFonts w:hint="eastAsia"/>
          <w:color w:val="auto"/>
          <w:highlight w:val="none"/>
        </w:rPr>
        <w:t>如有疑问，已在答疑阶段提出，</w:t>
      </w:r>
      <w:r>
        <w:rPr>
          <w:rFonts w:hint="eastAsia" w:ascii="宋体" w:hAnsi="宋体"/>
          <w:color w:val="auto"/>
          <w:highlight w:val="none"/>
        </w:rPr>
        <w:t>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pPr>
        <w:pStyle w:val="138"/>
        <w:ind w:firstLine="496"/>
        <w:rPr>
          <w:rFonts w:ascii="宋体" w:hAnsi="宋体"/>
          <w:color w:val="auto"/>
          <w:highlight w:val="none"/>
        </w:rPr>
      </w:pPr>
      <w:r>
        <w:rPr>
          <w:rFonts w:hint="eastAsia" w:ascii="宋体" w:hAnsi="宋体"/>
          <w:color w:val="auto"/>
          <w:highlight w:val="none"/>
        </w:rPr>
        <w:t>八、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危险性较大的分部分项工程安全管理规定》(中华人民共和国住房和城乡建设部令第37号)、《广州市住房和城乡建设局关于印发加强建设工程安全生产管理落实建设各方主体责任的暂行规定的通知》（穗建规字〔2020〕34号）、《广州市住房和城乡建设委员会关于印发建设工程扬尘防治“6个100%”管理标准细化措施的通知》（穗建质〔2018〕1394号）、《广州市住房和城乡建设局等8部门关于印发广州市建设工程扬尘防治“6个100%”管理标准图集（V2.0版）的通知》、《广州市住房和城乡建设局关于印发广州市房屋建筑工程安全防护指导图集（防高坠篇）的通知》和《广州市建设工程绿色施工围蔽指导图集（V2.0版）》（穗建质〔2020〕1号）、《广州市住房和城乡建设委员会关于印发房屋和市政工程绿色环保施工管理工作指引的通知》(穗建质〔2018〕371号)各项规定和招标文件要求，且在本项目实施过程中，如有新的规范及标准颁布，我司保证按新的规范及标准执行。我方承诺将制定安全文明施工专项方案及费用使用清单计划作为工程施工合同组成部分。否则，愿意无条件接受招标人的任何处罚，直至被清退出场，并为此承担相应的法律责任。</w:t>
      </w:r>
    </w:p>
    <w:p>
      <w:pPr>
        <w:pStyle w:val="138"/>
        <w:ind w:firstLine="472"/>
        <w:rPr>
          <w:rFonts w:ascii="宋体" w:hAnsi="宋体"/>
          <w:bCs/>
          <w:color w:val="auto"/>
          <w:spacing w:val="-2"/>
          <w:highlight w:val="none"/>
        </w:rPr>
      </w:pPr>
      <w:r>
        <w:rPr>
          <w:rFonts w:hint="eastAsia" w:ascii="宋体" w:hAnsi="宋体"/>
          <w:bCs/>
          <w:color w:val="auto"/>
          <w:spacing w:val="-2"/>
          <w:highlight w:val="none"/>
        </w:rPr>
        <w:t>九、</w:t>
      </w:r>
      <w:r>
        <w:rPr>
          <w:rFonts w:hint="eastAsia" w:ascii="宋体" w:hAnsi="宋体"/>
          <w:color w:val="auto"/>
          <w:spacing w:val="-2"/>
          <w:highlight w:val="none"/>
        </w:rPr>
        <w:t>我司保证本工程竣工验收、竣工资料和竣工备案管理完全符合国家、省、市政府、主管部门颁布的竣工验收和档案管理各项规定及招标文件中提出的各项管理要求。</w:t>
      </w:r>
    </w:p>
    <w:p>
      <w:pPr>
        <w:pStyle w:val="138"/>
        <w:ind w:firstLine="496"/>
        <w:rPr>
          <w:rFonts w:ascii="宋体" w:hAnsi="宋体"/>
          <w:color w:val="auto"/>
          <w:highlight w:val="none"/>
        </w:rPr>
      </w:pPr>
      <w:r>
        <w:rPr>
          <w:rFonts w:hint="eastAsia" w:ascii="宋体" w:hAnsi="宋体"/>
          <w:color w:val="auto"/>
          <w:highlight w:val="none"/>
        </w:rPr>
        <w:t>十、我司保证在本项目投标中不存在围标、串标等违法、违规行为，如经招标监管部门查实存在上述行为，我司同意由招标人没收我司提交的投标保证金，并对由此造成的后果承担相应的法律责任。</w:t>
      </w:r>
    </w:p>
    <w:p>
      <w:pPr>
        <w:pStyle w:val="138"/>
        <w:ind w:firstLine="496"/>
        <w:rPr>
          <w:rFonts w:ascii="宋体" w:hAnsi="宋体"/>
          <w:bCs/>
          <w:color w:val="auto"/>
          <w:highlight w:val="none"/>
        </w:rPr>
      </w:pPr>
      <w:r>
        <w:rPr>
          <w:rFonts w:hint="eastAsia" w:ascii="宋体" w:hAnsi="宋体"/>
          <w:color w:val="auto"/>
          <w:highlight w:val="none"/>
        </w:rPr>
        <w:t>十一、如果我司中标，我司保证实际投入本项目的人员、材料、机械、设备与我司递交的投标文件一致，且不低于本项目招标文件的要求。若不满足招标文件要求或考核不通过，我司承诺无条件按招标人的要求进行更换，直至招标人满意为止。</w:t>
      </w:r>
      <w:r>
        <w:rPr>
          <w:rFonts w:hint="eastAsia" w:ascii="宋体" w:hAnsi="宋体"/>
          <w:bCs/>
          <w:color w:val="auto"/>
          <w:highlight w:val="none"/>
        </w:rPr>
        <w:t>经招标人和总监理工程师考核，我司未按投标文件投入主要人员或经过更换后的人员不能满足本项目要求的，</w:t>
      </w:r>
      <w:r>
        <w:rPr>
          <w:rFonts w:hint="eastAsia" w:ascii="宋体" w:hAnsi="宋体"/>
          <w:color w:val="auto"/>
          <w:highlight w:val="none"/>
        </w:rPr>
        <w:t>我司承诺</w:t>
      </w:r>
      <w:r>
        <w:rPr>
          <w:rFonts w:hint="eastAsia" w:ascii="宋体" w:hAnsi="宋体"/>
          <w:bCs/>
          <w:color w:val="auto"/>
          <w:highlight w:val="none"/>
        </w:rPr>
        <w:t>除无条件按招标人的要求更换外，还应按合同约定的金额向招标人支付违约金。</w:t>
      </w:r>
    </w:p>
    <w:p>
      <w:pPr>
        <w:pStyle w:val="138"/>
        <w:ind w:firstLine="496"/>
        <w:rPr>
          <w:rFonts w:ascii="宋体" w:hAnsi="宋体"/>
          <w:color w:val="auto"/>
          <w:highlight w:val="none"/>
        </w:rPr>
      </w:pPr>
      <w:r>
        <w:rPr>
          <w:rFonts w:hint="eastAsia" w:ascii="宋体" w:hAnsi="宋体"/>
          <w:color w:val="auto"/>
          <w:highlight w:val="none"/>
        </w:rPr>
        <w:t>十二、如果我司中标，对招标人、监理人为确保工程质量管理和工程进度而下达的调整项目经理部组成人员的指令、通知，我司承诺无条件地在限期内执行并调整到位。</w:t>
      </w:r>
    </w:p>
    <w:p>
      <w:pPr>
        <w:pStyle w:val="138"/>
        <w:ind w:firstLine="496"/>
        <w:rPr>
          <w:rFonts w:ascii="宋体" w:hAnsi="宋体"/>
          <w:color w:val="auto"/>
          <w:highlight w:val="none"/>
        </w:rPr>
      </w:pPr>
      <w:r>
        <w:rPr>
          <w:rFonts w:hint="eastAsia" w:ascii="宋体" w:hAnsi="宋体"/>
          <w:color w:val="auto"/>
          <w:highlight w:val="none"/>
        </w:rPr>
        <w:t>十三、</w:t>
      </w:r>
      <w:r>
        <w:rPr>
          <w:rFonts w:hint="eastAsia" w:ascii="宋体" w:hAnsi="宋体"/>
          <w:color w:val="auto"/>
          <w:highlight w:val="none"/>
          <w:u w:val="single"/>
        </w:rPr>
        <w:t>如果我方中标，我方承诺按《广东省住房和城乡建设厅关于采取切实措施坚决遏制施工扬尘污染的紧急通知》（粤建发电[2018]20号）和《</w:t>
      </w:r>
      <w:r>
        <w:rPr>
          <w:rFonts w:ascii="宋体" w:hAnsi="宋体"/>
          <w:color w:val="auto"/>
          <w:highlight w:val="none"/>
          <w:u w:val="single"/>
        </w:rPr>
        <w:t>广东省建设工程领域用工实名管理暂行办法</w:t>
      </w:r>
      <w:r>
        <w:rPr>
          <w:rFonts w:hint="eastAsia" w:ascii="宋体" w:hAnsi="宋体"/>
          <w:color w:val="auto"/>
          <w:highlight w:val="none"/>
          <w:u w:val="single"/>
        </w:rPr>
        <w:t>》（粤建规范[2019]1号）、《</w:t>
      </w:r>
      <w:r>
        <w:rPr>
          <w:rFonts w:ascii="宋体" w:hAnsi="宋体"/>
          <w:color w:val="auto"/>
          <w:szCs w:val="21"/>
          <w:highlight w:val="none"/>
          <w:u w:val="single"/>
        </w:rPr>
        <w:t>广州市住房和城乡建设局关于印发广州市建筑施工实名制管理办法的通知</w:t>
      </w:r>
      <w:r>
        <w:rPr>
          <w:rFonts w:hint="eastAsia" w:ascii="宋体" w:hAnsi="宋体"/>
          <w:color w:val="auto"/>
          <w:highlight w:val="none"/>
          <w:u w:val="single"/>
        </w:rPr>
        <w:t>》（穗建规字</w:t>
      </w:r>
      <w:r>
        <w:rPr>
          <w:rFonts w:ascii="宋体" w:hAnsi="宋体"/>
          <w:color w:val="auto"/>
          <w:szCs w:val="21"/>
          <w:highlight w:val="none"/>
          <w:u w:val="single"/>
        </w:rPr>
        <w:t>〔2020〕18号</w:t>
      </w:r>
      <w:r>
        <w:rPr>
          <w:rFonts w:hint="eastAsia" w:ascii="宋体" w:hAnsi="宋体"/>
          <w:color w:val="auto"/>
          <w:highlight w:val="none"/>
          <w:u w:val="single"/>
        </w:rPr>
        <w:t>）、《关于印发广州市建设领域工人工资支付分账管理实施细则的通知》（穗建规字</w:t>
      </w:r>
      <w:r>
        <w:rPr>
          <w:rFonts w:ascii="宋体" w:hAnsi="宋体"/>
          <w:color w:val="auto"/>
          <w:highlight w:val="none"/>
          <w:u w:val="single"/>
        </w:rPr>
        <w:t>[2020]37</w:t>
      </w:r>
      <w:r>
        <w:rPr>
          <w:rFonts w:hint="eastAsia" w:ascii="宋体" w:hAnsi="宋体"/>
          <w:color w:val="auto"/>
          <w:highlight w:val="none"/>
          <w:u w:val="single"/>
        </w:rPr>
        <w:t>号）在投标文件中编制建设工程施工扬尘污染防治和用工实名管理专项方案以及费用使用计划作为工程施工合同组成部分。</w:t>
      </w:r>
    </w:p>
    <w:p>
      <w:pPr>
        <w:pStyle w:val="138"/>
        <w:ind w:firstLine="496"/>
        <w:rPr>
          <w:rFonts w:ascii="宋体" w:hAnsi="宋体"/>
          <w:color w:val="auto"/>
          <w:highlight w:val="none"/>
        </w:rPr>
      </w:pPr>
      <w:r>
        <w:rPr>
          <w:rFonts w:hint="eastAsia" w:ascii="宋体" w:hAnsi="宋体"/>
          <w:color w:val="auto"/>
          <w:highlight w:val="none"/>
        </w:rPr>
        <w:t>十四、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pPr>
        <w:pStyle w:val="138"/>
        <w:ind w:firstLine="496"/>
        <w:rPr>
          <w:rFonts w:ascii="宋体" w:hAnsi="宋体"/>
          <w:color w:val="auto"/>
          <w:highlight w:val="none"/>
        </w:rPr>
      </w:pP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投 标 人：    （盖章）</w:t>
      </w: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法定代表人或授权代理人（签字或盖章）：</w:t>
      </w:r>
    </w:p>
    <w:p>
      <w:pPr>
        <w:pStyle w:val="21"/>
        <w:rPr>
          <w:rFonts w:hAnsi="宋体"/>
          <w:color w:val="auto"/>
          <w:sz w:val="24"/>
          <w:szCs w:val="24"/>
          <w:highlight w:val="none"/>
        </w:rPr>
      </w:pPr>
      <w:r>
        <w:rPr>
          <w:rFonts w:hint="eastAsia" w:hAnsi="宋体"/>
          <w:color w:val="auto"/>
          <w:sz w:val="24"/>
          <w:szCs w:val="24"/>
          <w:highlight w:val="none"/>
        </w:rPr>
        <w:t xml:space="preserve">     日    期：    年    月    日</w:t>
      </w:r>
    </w:p>
    <w:p>
      <w:pPr>
        <w:pStyle w:val="21"/>
        <w:rPr>
          <w:rFonts w:hAnsi="宋体"/>
          <w:color w:val="auto"/>
          <w:sz w:val="24"/>
          <w:szCs w:val="24"/>
          <w:highlight w:val="none"/>
        </w:rPr>
      </w:pPr>
      <w:r>
        <w:rPr>
          <w:rFonts w:hAnsi="宋体"/>
          <w:color w:val="auto"/>
          <w:sz w:val="24"/>
          <w:szCs w:val="24"/>
          <w:highlight w:val="none"/>
        </w:rPr>
        <w:br w:type="page"/>
      </w:r>
      <w:r>
        <w:rPr>
          <w:rFonts w:hint="eastAsia" w:hAnsi="宋体"/>
          <w:color w:val="auto"/>
          <w:sz w:val="24"/>
          <w:szCs w:val="24"/>
          <w:highlight w:val="none"/>
        </w:rPr>
        <w:t>格式五：</w:t>
      </w:r>
    </w:p>
    <w:p>
      <w:pPr>
        <w:pStyle w:val="142"/>
        <w:rPr>
          <w:b w:val="0"/>
          <w:color w:val="auto"/>
          <w:highlight w:val="none"/>
        </w:rPr>
      </w:pPr>
      <w:r>
        <w:rPr>
          <w:rFonts w:hint="eastAsia"/>
          <w:b w:val="0"/>
          <w:color w:val="auto"/>
          <w:highlight w:val="none"/>
        </w:rPr>
        <w:t>工期响应承诺书</w:t>
      </w:r>
    </w:p>
    <w:p>
      <w:pPr>
        <w:spacing w:line="360" w:lineRule="auto"/>
        <w:rPr>
          <w:rFonts w:ascii="宋体" w:hAnsi="宋体"/>
          <w:b/>
          <w:color w:val="auto"/>
          <w:szCs w:val="21"/>
          <w:highlight w:val="none"/>
          <w:u w:val="single"/>
        </w:rPr>
      </w:pPr>
      <w:r>
        <w:rPr>
          <w:rFonts w:hint="eastAsia" w:ascii="宋体" w:hAnsi="宋体"/>
          <w:b/>
          <w:bCs/>
          <w:color w:val="auto"/>
          <w:sz w:val="24"/>
          <w:szCs w:val="24"/>
          <w:highlight w:val="none"/>
        </w:rPr>
        <w:t>致：</w:t>
      </w:r>
      <w:r>
        <w:rPr>
          <w:rFonts w:hint="eastAsia" w:ascii="宋体" w:hAnsi="宋体"/>
          <w:b/>
          <w:color w:val="auto"/>
          <w:szCs w:val="21"/>
          <w:highlight w:val="none"/>
          <w:u w:val="single"/>
        </w:rPr>
        <w:t>（招标人名称）</w:t>
      </w:r>
    </w:p>
    <w:p>
      <w:pPr>
        <w:spacing w:line="360" w:lineRule="auto"/>
        <w:ind w:firstLine="435"/>
        <w:rPr>
          <w:rFonts w:ascii="宋体" w:hAnsi="宋体"/>
          <w:color w:val="auto"/>
          <w:szCs w:val="20"/>
          <w:highlight w:val="none"/>
        </w:rPr>
      </w:pPr>
      <w:r>
        <w:rPr>
          <w:rFonts w:hint="eastAsia" w:ascii="宋体" w:hAnsi="宋体"/>
          <w:color w:val="auto"/>
          <w:szCs w:val="24"/>
          <w:highlight w:val="none"/>
        </w:rPr>
        <w:t>我方在</w:t>
      </w:r>
      <w:r>
        <w:rPr>
          <w:rFonts w:hint="eastAsia" w:ascii="宋体" w:hAnsi="宋体"/>
          <w:b/>
          <w:color w:val="auto"/>
          <w:szCs w:val="21"/>
          <w:highlight w:val="none"/>
          <w:u w:val="single"/>
        </w:rPr>
        <w:t xml:space="preserve">    [项目名称]    </w:t>
      </w:r>
      <w:r>
        <w:rPr>
          <w:rFonts w:hint="eastAsia" w:ascii="宋体" w:hAnsi="宋体"/>
          <w:color w:val="auto"/>
          <w:szCs w:val="21"/>
          <w:highlight w:val="none"/>
        </w:rPr>
        <w:t>工程</w:t>
      </w:r>
      <w:r>
        <w:rPr>
          <w:rFonts w:hint="eastAsia" w:ascii="宋体" w:hAnsi="宋体"/>
          <w:color w:val="auto"/>
          <w:szCs w:val="24"/>
          <w:highlight w:val="none"/>
        </w:rPr>
        <w:t>招标中，如有幸中标，在此郑重承诺：</w:t>
      </w:r>
    </w:p>
    <w:p>
      <w:pPr>
        <w:spacing w:line="360" w:lineRule="auto"/>
        <w:ind w:firstLine="435"/>
        <w:rPr>
          <w:rFonts w:ascii="宋体" w:hAnsi="宋体"/>
          <w:color w:val="auto"/>
          <w:highlight w:val="none"/>
        </w:rPr>
      </w:pPr>
      <w:r>
        <w:rPr>
          <w:rFonts w:hint="eastAsia" w:ascii="宋体" w:hAnsi="宋体"/>
          <w:color w:val="auto"/>
          <w:highlight w:val="none"/>
        </w:rPr>
        <w:t>我司已按投标须知第5款的要求完成了踏勘现场的工作，并充分了解现场条件。如若中标，我司理解招标人向投标人提供的有关现场的数据和资料，是招标人现有的能被投标人利用的资料。招标人对投标人做出的任何推论、理解和结论均不负责任。我司承诺不会因任何现场条件的阻碍而向招标人拖延工期或索赔费用。在保证工程质量的前提下，</w:t>
      </w:r>
      <w:r>
        <w:rPr>
          <w:rFonts w:hint="eastAsia" w:ascii="宋体" w:hAnsi="宋体"/>
          <w:b/>
          <w:color w:val="auto"/>
          <w:highlight w:val="none"/>
          <w:u w:val="single"/>
        </w:rPr>
        <w:t>我司承诺在    日</w:t>
      </w:r>
      <w:r>
        <w:rPr>
          <w:rFonts w:ascii="宋体" w:hAnsi="宋体"/>
          <w:b/>
          <w:color w:val="auto"/>
          <w:highlight w:val="none"/>
          <w:u w:val="single"/>
        </w:rPr>
        <w:t>历</w:t>
      </w:r>
      <w:r>
        <w:rPr>
          <w:rFonts w:hint="eastAsia" w:ascii="宋体" w:hAnsi="宋体"/>
          <w:b/>
          <w:color w:val="auto"/>
          <w:highlight w:val="none"/>
          <w:u w:val="single"/>
        </w:rPr>
        <w:t>天内（即比招标文件要求的    日历天提前    天）完工。</w:t>
      </w:r>
    </w:p>
    <w:p>
      <w:pPr>
        <w:spacing w:line="360" w:lineRule="auto"/>
        <w:ind w:firstLine="435"/>
        <w:rPr>
          <w:rFonts w:ascii="宋体" w:hAnsi="宋体"/>
          <w:color w:val="auto"/>
          <w:highlight w:val="none"/>
        </w:rPr>
      </w:pPr>
      <w:r>
        <w:rPr>
          <w:rFonts w:hint="eastAsia" w:ascii="宋体" w:hAnsi="宋体"/>
          <w:color w:val="auto"/>
          <w:highlight w:val="none"/>
        </w:rPr>
        <w:t>若工程未能在上述时间内完工，招标人有权无条件没收我司的履约保证金，我司将对此无任何异议。我司已考虑了此部分工作的难度和风险，其费用已在措施费中充分考虑，保证不因任何现场条件的阻碍而影响投标承诺的竣工日期。</w:t>
      </w:r>
    </w:p>
    <w:p>
      <w:pPr>
        <w:pStyle w:val="6"/>
        <w:spacing w:line="360" w:lineRule="auto"/>
        <w:ind w:left="-2" w:leftChars="-1" w:firstLine="367" w:firstLineChars="175"/>
        <w:rPr>
          <w:rFonts w:ascii="宋体" w:hAnsi="宋体"/>
          <w:color w:val="auto"/>
          <w:szCs w:val="24"/>
          <w:highlight w:val="none"/>
        </w:rPr>
      </w:pPr>
    </w:p>
    <w:p>
      <w:pPr>
        <w:spacing w:line="360" w:lineRule="auto"/>
        <w:ind w:left="630" w:leftChars="300" w:firstLine="525" w:firstLineChars="250"/>
        <w:rPr>
          <w:rFonts w:ascii="宋体" w:hAnsi="宋体"/>
          <w:color w:val="auto"/>
          <w:szCs w:val="24"/>
          <w:highlight w:val="none"/>
        </w:rPr>
      </w:pP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投 标 人：    （盖章）</w:t>
      </w: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法定代表人或授权代理人（签字或盖章）：</w:t>
      </w:r>
    </w:p>
    <w:p>
      <w:pPr>
        <w:pStyle w:val="21"/>
        <w:rPr>
          <w:rFonts w:hAnsi="宋体"/>
          <w:color w:val="auto"/>
          <w:sz w:val="24"/>
          <w:szCs w:val="24"/>
          <w:highlight w:val="none"/>
        </w:rPr>
      </w:pPr>
      <w:r>
        <w:rPr>
          <w:rFonts w:hint="eastAsia" w:hAnsi="宋体"/>
          <w:color w:val="auto"/>
          <w:sz w:val="24"/>
          <w:szCs w:val="24"/>
          <w:highlight w:val="none"/>
        </w:rPr>
        <w:t xml:space="preserve">     日    期：    年    月    日</w:t>
      </w:r>
    </w:p>
    <w:p>
      <w:pPr>
        <w:pStyle w:val="21"/>
        <w:rPr>
          <w:color w:val="auto"/>
          <w:highlight w:val="none"/>
        </w:rPr>
      </w:pPr>
      <w:r>
        <w:rPr>
          <w:color w:val="auto"/>
          <w:highlight w:val="none"/>
        </w:rPr>
        <w:br w:type="page"/>
      </w:r>
      <w:r>
        <w:rPr>
          <w:rFonts w:hint="eastAsia"/>
          <w:color w:val="auto"/>
          <w:highlight w:val="none"/>
        </w:rPr>
        <w:t>格式六：</w:t>
      </w:r>
    </w:p>
    <w:p>
      <w:pPr>
        <w:pStyle w:val="142"/>
        <w:rPr>
          <w:b w:val="0"/>
          <w:color w:val="auto"/>
          <w:highlight w:val="none"/>
        </w:rPr>
      </w:pPr>
      <w:r>
        <w:rPr>
          <w:rFonts w:hint="eastAsia"/>
          <w:b w:val="0"/>
          <w:color w:val="auto"/>
          <w:highlight w:val="none"/>
        </w:rPr>
        <w:t>合同响应承诺书</w:t>
      </w:r>
    </w:p>
    <w:p>
      <w:pPr>
        <w:spacing w:line="360" w:lineRule="auto"/>
        <w:rPr>
          <w:rFonts w:ascii="宋体" w:hAnsi="宋体"/>
          <w:b/>
          <w:color w:val="auto"/>
          <w:szCs w:val="21"/>
          <w:highlight w:val="none"/>
          <w:u w:val="single"/>
        </w:rPr>
      </w:pPr>
      <w:r>
        <w:rPr>
          <w:rFonts w:hint="eastAsia" w:ascii="宋体" w:hAnsi="宋体"/>
          <w:b/>
          <w:bCs/>
          <w:color w:val="auto"/>
          <w:sz w:val="24"/>
          <w:szCs w:val="24"/>
          <w:highlight w:val="none"/>
        </w:rPr>
        <w:t>致：</w:t>
      </w:r>
      <w:r>
        <w:rPr>
          <w:rFonts w:hint="eastAsia" w:ascii="宋体" w:hAnsi="宋体"/>
          <w:b/>
          <w:color w:val="auto"/>
          <w:szCs w:val="21"/>
          <w:highlight w:val="none"/>
          <w:u w:val="single"/>
        </w:rPr>
        <w:t>（招标人名称）</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我公司在</w:t>
      </w:r>
      <w:r>
        <w:rPr>
          <w:rFonts w:hint="eastAsia" w:ascii="宋体" w:hAnsi="宋体"/>
          <w:b/>
          <w:color w:val="auto"/>
          <w:szCs w:val="21"/>
          <w:highlight w:val="none"/>
          <w:u w:val="single"/>
        </w:rPr>
        <w:t xml:space="preserve">    [项目名称]   </w:t>
      </w:r>
      <w:r>
        <w:rPr>
          <w:rFonts w:hint="eastAsia" w:ascii="宋体" w:hAnsi="宋体"/>
          <w:color w:val="auto"/>
          <w:szCs w:val="21"/>
          <w:highlight w:val="none"/>
        </w:rPr>
        <w:t>工程</w:t>
      </w:r>
      <w:r>
        <w:rPr>
          <w:rFonts w:hint="eastAsia" w:ascii="宋体" w:hAnsi="宋体"/>
          <w:color w:val="auto"/>
          <w:szCs w:val="24"/>
          <w:highlight w:val="none"/>
        </w:rPr>
        <w:t>招标中，若有幸中标，在此郑重承诺：</w:t>
      </w:r>
    </w:p>
    <w:p>
      <w:pPr>
        <w:tabs>
          <w:tab w:val="left" w:pos="6937"/>
        </w:tabs>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1、我公司承诺，按照招标文件合同条款约定的方式提供履约担保，并完全同意发包人对本项目工程款的监管。</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2、我公司承诺，完全响应招标文件的所有条款，包括但不限于质量目标、工期目标、验收标准、计量支付办法、结算方式、保修责任、材料（设备）采购相关规定等，并履行合同全部义务。</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3、我公司承诺按不低于现场最低配备要求配备相应的管理人员、劳动力、机械设备、检测仪器和其他设备。在实际施工过程中，为实现工期目标需增加人力、机械、设备时，我公司完全接受发包人、监理单位的安排，按要求增加相应人力、机械、设备等，所产生的费用已在投标报价中考虑，不再向发包人另行申请增加费用。</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4、我公司理解，在施工过程中，发包人有权变更、增加（增加工程量或增加新工作内容）或减少某部分工作内容，我公司愿意全力配合和支持发包人的要求。若发包人变更增加部分工作内容时，我公司承诺按发包人的要求组织施工；若发包人减少部分工作内容时，我公司承诺按实施工和办理结算，不另行追究发包人有关赔偿费用和责任。</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5、我公司承诺，</w:t>
      </w:r>
      <w:r>
        <w:rPr>
          <w:rFonts w:hint="eastAsia" w:ascii="宋体" w:hAnsi="宋体"/>
          <w:b/>
          <w:color w:val="auto"/>
          <w:szCs w:val="24"/>
          <w:highlight w:val="none"/>
        </w:rPr>
        <w:t>在中标通知书发出之日起争取15日历天，最多不超过30日历天内与招标人签订施工合同。</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6、若我公司中标后在签订合同时，出现资质不符或被建设主管部门处罚等情况，导致不能承担合同约定工作内容时，我公司承诺由此造成的一切损失由我公司承担，并同意放弃中标资格。</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7、我公司承诺，不转包中标项目；若需对专业工程进行分包时，严格按照招标投标等相关法律、法规及合同要求进行分包。</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8、我公司承诺，项目竣工验收后60日历天内整理结算资料送监理单位审核。</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9、我公司承诺，配合发包人做好见证取样的材料设备检测有关工作，配合发包人做好现场材料（设备）使用评价等相关工作。若在施工过程中由于我公司管理不善，导致材料设备检测批次增加，造成检测费用超过该项的概算或预算费用10%或以上的，所增加的费用由我公司负责支付。</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10、我公司承诺，在投标时已充分了解项目情况，并结合项目编制投标文件，对投标时的措施费进行包干，竣工结算时不作调整。我公司在开工前结合现场实际重新编制施工组织方案报监理单位、发包人审批后方能实施，费用已在投标报价中充分考虑。</w:t>
      </w: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若我公司违背上述承诺，若合同已有具体违约措施的，我公司接受按合同对我公司进行处罚；若合同没有具体处罚措施的，我公司接受招标人（发包人）取消我公司中标资格、或没收保证金、或没收履约担保、或停止支付工程款、或处以罚款、或通报批评、或终止合同等处罚，并承担由此造成的一切经济损失。</w:t>
      </w:r>
    </w:p>
    <w:p>
      <w:pPr>
        <w:spacing w:line="360" w:lineRule="auto"/>
        <w:ind w:left="630" w:leftChars="300" w:firstLine="525" w:firstLineChars="250"/>
        <w:rPr>
          <w:rFonts w:ascii="宋体" w:hAnsi="宋体"/>
          <w:color w:val="auto"/>
          <w:szCs w:val="24"/>
          <w:highlight w:val="none"/>
        </w:rPr>
      </w:pPr>
    </w:p>
    <w:p>
      <w:pPr>
        <w:spacing w:line="360" w:lineRule="auto"/>
        <w:ind w:left="630" w:leftChars="300" w:firstLine="525" w:firstLineChars="250"/>
        <w:rPr>
          <w:rFonts w:ascii="宋体" w:hAnsi="宋体"/>
          <w:color w:val="auto"/>
          <w:szCs w:val="24"/>
          <w:highlight w:val="none"/>
        </w:rPr>
      </w:pP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投 标 人：    （盖章）</w:t>
      </w: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法定代表人或授权代理人（签字或盖章）：</w:t>
      </w:r>
    </w:p>
    <w:p>
      <w:pPr>
        <w:pStyle w:val="21"/>
        <w:rPr>
          <w:rFonts w:hAnsi="宋体"/>
          <w:color w:val="auto"/>
          <w:sz w:val="24"/>
          <w:szCs w:val="24"/>
          <w:highlight w:val="none"/>
        </w:rPr>
      </w:pPr>
      <w:r>
        <w:rPr>
          <w:rFonts w:hint="eastAsia" w:hAnsi="宋体"/>
          <w:color w:val="auto"/>
          <w:sz w:val="24"/>
          <w:szCs w:val="24"/>
          <w:highlight w:val="none"/>
        </w:rPr>
        <w:t xml:space="preserve">     日    期：    年    月    日</w:t>
      </w:r>
    </w:p>
    <w:p>
      <w:pPr>
        <w:pStyle w:val="21"/>
        <w:rPr>
          <w:color w:val="auto"/>
          <w:highlight w:val="none"/>
        </w:rPr>
      </w:pPr>
      <w:r>
        <w:rPr>
          <w:color w:val="auto"/>
          <w:highlight w:val="none"/>
        </w:rPr>
        <w:br w:type="page"/>
      </w:r>
      <w:r>
        <w:rPr>
          <w:rFonts w:hint="eastAsia"/>
          <w:color w:val="auto"/>
          <w:highlight w:val="none"/>
        </w:rPr>
        <w:t>格式七：</w:t>
      </w:r>
    </w:p>
    <w:p>
      <w:pPr>
        <w:jc w:val="center"/>
        <w:rPr>
          <w:rFonts w:ascii="宋体" w:hAnsi="宋体"/>
          <w:color w:val="auto"/>
          <w:sz w:val="30"/>
          <w:szCs w:val="30"/>
          <w:highlight w:val="none"/>
        </w:rPr>
      </w:pPr>
      <w:r>
        <w:rPr>
          <w:rFonts w:hint="eastAsia" w:ascii="宋体" w:hAnsi="宋体"/>
          <w:b/>
          <w:color w:val="auto"/>
          <w:sz w:val="30"/>
          <w:szCs w:val="30"/>
          <w:highlight w:val="none"/>
        </w:rPr>
        <w:t>危险性较大的分部分项工程清单及超过一定规模的危险性较大的分部分项工程清单</w:t>
      </w:r>
    </w:p>
    <w:p>
      <w:pPr>
        <w:pStyle w:val="157"/>
        <w:numPr>
          <w:ilvl w:val="0"/>
          <w:numId w:val="4"/>
        </w:numPr>
        <w:autoSpaceDE w:val="0"/>
        <w:autoSpaceDN w:val="0"/>
        <w:adjustRightInd w:val="0"/>
        <w:spacing w:line="360" w:lineRule="auto"/>
        <w:ind w:firstLineChars="0"/>
        <w:jc w:val="left"/>
        <w:rPr>
          <w:rFonts w:ascii="宋体" w:hAnsi="宋体"/>
          <w:color w:val="auto"/>
          <w:sz w:val="22"/>
          <w:szCs w:val="24"/>
          <w:highlight w:val="none"/>
        </w:rPr>
      </w:pPr>
      <w:r>
        <w:rPr>
          <w:rFonts w:hint="eastAsia" w:ascii="宋体" w:hAnsi="宋体"/>
          <w:color w:val="auto"/>
          <w:sz w:val="22"/>
          <w:szCs w:val="24"/>
          <w:highlight w:val="none"/>
        </w:rPr>
        <w:t>根据中华人民共和国住房和城乡建设部令第37号《危险性较大的分部分项工程安全管理规定》（以下简称“37号文”），投标人在投标时须补充完善危大工程清单并明确相应的安全管理措施。</w:t>
      </w:r>
    </w:p>
    <w:p>
      <w:pPr>
        <w:pStyle w:val="157"/>
        <w:numPr>
          <w:ilvl w:val="0"/>
          <w:numId w:val="4"/>
        </w:numPr>
        <w:autoSpaceDE w:val="0"/>
        <w:autoSpaceDN w:val="0"/>
        <w:adjustRightInd w:val="0"/>
        <w:spacing w:line="360" w:lineRule="auto"/>
        <w:ind w:firstLineChars="0"/>
        <w:jc w:val="left"/>
        <w:rPr>
          <w:rFonts w:ascii="宋体" w:hAnsi="宋体"/>
          <w:color w:val="auto"/>
          <w:sz w:val="22"/>
          <w:szCs w:val="24"/>
          <w:highlight w:val="none"/>
        </w:rPr>
      </w:pPr>
      <w:r>
        <w:rPr>
          <w:rFonts w:hint="eastAsia" w:ascii="宋体" w:hAnsi="宋体"/>
          <w:color w:val="auto"/>
          <w:sz w:val="22"/>
          <w:szCs w:val="24"/>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olor w:val="auto"/>
          <w:sz w:val="22"/>
          <w:szCs w:val="32"/>
          <w:highlight w:val="none"/>
        </w:rPr>
        <w:t>√”标识。</w:t>
      </w:r>
    </w:p>
    <w:p>
      <w:pPr>
        <w:pStyle w:val="157"/>
        <w:numPr>
          <w:ilvl w:val="0"/>
          <w:numId w:val="5"/>
        </w:numPr>
        <w:autoSpaceDE w:val="0"/>
        <w:autoSpaceDN w:val="0"/>
        <w:adjustRightInd w:val="0"/>
        <w:spacing w:line="360" w:lineRule="auto"/>
        <w:ind w:firstLineChars="0"/>
        <w:jc w:val="left"/>
        <w:rPr>
          <w:rFonts w:ascii="宋体" w:hAnsi="宋体"/>
          <w:color w:val="auto"/>
          <w:sz w:val="22"/>
          <w:szCs w:val="32"/>
          <w:highlight w:val="none"/>
        </w:rPr>
      </w:pPr>
      <w:r>
        <w:rPr>
          <w:rFonts w:hint="eastAsia" w:ascii="宋体" w:hAnsi="宋体"/>
          <w:color w:val="auto"/>
          <w:sz w:val="22"/>
          <w:szCs w:val="24"/>
          <w:highlight w:val="none"/>
        </w:rPr>
        <w:t>投标单位同意建设单位在清单中标识的该项请在对应项打“</w:t>
      </w:r>
      <w:r>
        <w:rPr>
          <w:rFonts w:hint="eastAsia" w:ascii="宋体" w:hAnsi="宋体"/>
          <w:color w:val="auto"/>
          <w:sz w:val="22"/>
          <w:szCs w:val="32"/>
          <w:highlight w:val="none"/>
        </w:rPr>
        <w:t>√”标识，</w:t>
      </w:r>
      <w:r>
        <w:rPr>
          <w:rFonts w:hint="eastAsia" w:ascii="宋体" w:hAnsi="宋体"/>
          <w:b/>
          <w:bCs/>
          <w:color w:val="auto"/>
          <w:sz w:val="22"/>
          <w:szCs w:val="32"/>
          <w:highlight w:val="none"/>
          <w:u w:val="single"/>
        </w:rPr>
        <w:t>并于本清单后附相应的安全管理措施</w:t>
      </w:r>
      <w:r>
        <w:rPr>
          <w:rFonts w:hint="eastAsia" w:ascii="宋体" w:hAnsi="宋体"/>
          <w:b/>
          <w:bCs/>
          <w:color w:val="auto"/>
          <w:sz w:val="22"/>
          <w:szCs w:val="32"/>
          <w:highlight w:val="none"/>
        </w:rPr>
        <w:t>。</w:t>
      </w:r>
    </w:p>
    <w:p>
      <w:pPr>
        <w:pStyle w:val="157"/>
        <w:numPr>
          <w:ilvl w:val="0"/>
          <w:numId w:val="5"/>
        </w:numPr>
        <w:autoSpaceDE w:val="0"/>
        <w:autoSpaceDN w:val="0"/>
        <w:adjustRightInd w:val="0"/>
        <w:spacing w:line="360" w:lineRule="auto"/>
        <w:ind w:firstLineChars="0"/>
        <w:jc w:val="left"/>
        <w:rPr>
          <w:rFonts w:ascii="宋体" w:hAnsi="宋体"/>
          <w:color w:val="auto"/>
          <w:sz w:val="22"/>
          <w:szCs w:val="32"/>
          <w:highlight w:val="none"/>
        </w:rPr>
      </w:pPr>
      <w:r>
        <w:rPr>
          <w:rFonts w:hint="eastAsia" w:ascii="宋体" w:hAnsi="宋体"/>
          <w:color w:val="auto"/>
          <w:sz w:val="22"/>
          <w:szCs w:val="24"/>
          <w:highlight w:val="none"/>
        </w:rPr>
        <w:t>投标单位对清单中认为需要补充的该项请在对应项打“</w:t>
      </w:r>
      <w:r>
        <w:rPr>
          <w:rFonts w:hint="eastAsia" w:ascii="宋体" w:hAnsi="宋体"/>
          <w:color w:val="auto"/>
          <w:sz w:val="22"/>
          <w:szCs w:val="32"/>
          <w:highlight w:val="none"/>
        </w:rPr>
        <w:t>√”标识，</w:t>
      </w:r>
      <w:r>
        <w:rPr>
          <w:rFonts w:hint="eastAsia" w:ascii="宋体" w:hAnsi="宋体"/>
          <w:b/>
          <w:bCs/>
          <w:color w:val="auto"/>
          <w:sz w:val="22"/>
          <w:szCs w:val="32"/>
          <w:highlight w:val="none"/>
          <w:u w:val="single"/>
        </w:rPr>
        <w:t>并于本清单后附相应的安全管理措施</w:t>
      </w:r>
      <w:r>
        <w:rPr>
          <w:rFonts w:hint="eastAsia" w:ascii="宋体" w:hAnsi="宋体"/>
          <w:b/>
          <w:bCs/>
          <w:color w:val="auto"/>
          <w:sz w:val="22"/>
          <w:szCs w:val="32"/>
          <w:highlight w:val="none"/>
        </w:rPr>
        <w:t>。</w:t>
      </w:r>
    </w:p>
    <w:p>
      <w:pPr>
        <w:pStyle w:val="157"/>
        <w:numPr>
          <w:ilvl w:val="0"/>
          <w:numId w:val="5"/>
        </w:numPr>
        <w:autoSpaceDE w:val="0"/>
        <w:autoSpaceDN w:val="0"/>
        <w:adjustRightInd w:val="0"/>
        <w:spacing w:line="360" w:lineRule="auto"/>
        <w:ind w:firstLineChars="0"/>
        <w:jc w:val="left"/>
        <w:rPr>
          <w:rFonts w:ascii="宋体" w:hAnsi="宋体"/>
          <w:color w:val="auto"/>
          <w:sz w:val="22"/>
          <w:szCs w:val="24"/>
          <w:highlight w:val="none"/>
        </w:rPr>
      </w:pPr>
      <w:r>
        <w:rPr>
          <w:rFonts w:hint="eastAsia" w:ascii="宋体" w:hAnsi="宋体"/>
          <w:color w:val="auto"/>
          <w:sz w:val="22"/>
          <w:szCs w:val="32"/>
          <w:highlight w:val="none"/>
        </w:rPr>
        <w:t>投标单位不同意建设单位</w:t>
      </w:r>
      <w:r>
        <w:rPr>
          <w:rFonts w:hint="eastAsia" w:ascii="宋体" w:hAnsi="宋体"/>
          <w:color w:val="auto"/>
          <w:sz w:val="22"/>
          <w:szCs w:val="24"/>
          <w:highlight w:val="none"/>
        </w:rPr>
        <w:t>在清单中标识的该项</w:t>
      </w:r>
      <w:r>
        <w:rPr>
          <w:rFonts w:hint="eastAsia" w:ascii="宋体" w:hAnsi="宋体"/>
          <w:color w:val="auto"/>
          <w:sz w:val="22"/>
          <w:szCs w:val="32"/>
          <w:highlight w:val="none"/>
        </w:rPr>
        <w:t>请在对应项打“×”标识，并在备注栏填上相关说明。</w:t>
      </w:r>
    </w:p>
    <w:p>
      <w:pPr>
        <w:pStyle w:val="157"/>
        <w:numPr>
          <w:ilvl w:val="0"/>
          <w:numId w:val="4"/>
        </w:numPr>
        <w:autoSpaceDE w:val="0"/>
        <w:autoSpaceDN w:val="0"/>
        <w:adjustRightInd w:val="0"/>
        <w:spacing w:line="360" w:lineRule="auto"/>
        <w:ind w:firstLineChars="0"/>
        <w:jc w:val="left"/>
        <w:rPr>
          <w:rFonts w:ascii="宋体" w:hAnsi="宋体"/>
          <w:color w:val="auto"/>
          <w:sz w:val="22"/>
          <w:szCs w:val="24"/>
          <w:highlight w:val="none"/>
        </w:rPr>
      </w:pPr>
      <w:r>
        <w:rPr>
          <w:rFonts w:hint="eastAsia" w:ascii="宋体" w:hAnsi="宋体"/>
          <w:color w:val="auto"/>
          <w:sz w:val="22"/>
          <w:szCs w:val="24"/>
          <w:highlight w:val="none"/>
        </w:rPr>
        <w:t>投标单位应当在投标时根据招标人提供的下述第5点清单，</w:t>
      </w:r>
      <w:r>
        <w:rPr>
          <w:rFonts w:hint="eastAsia" w:ascii="宋体" w:hAnsi="宋体"/>
          <w:b/>
          <w:bCs/>
          <w:color w:val="auto"/>
          <w:sz w:val="22"/>
          <w:szCs w:val="24"/>
          <w:highlight w:val="none"/>
          <w:u w:val="single"/>
        </w:rPr>
        <w:t>在本清单后附编制的专项施工方案</w:t>
      </w:r>
      <w:r>
        <w:rPr>
          <w:rFonts w:hint="eastAsia" w:ascii="宋体" w:hAnsi="宋体"/>
          <w:color w:val="auto"/>
          <w:sz w:val="22"/>
          <w:szCs w:val="24"/>
          <w:highlight w:val="none"/>
        </w:rPr>
        <w:t>。</w:t>
      </w:r>
    </w:p>
    <w:p>
      <w:pPr>
        <w:pStyle w:val="157"/>
        <w:numPr>
          <w:ilvl w:val="0"/>
          <w:numId w:val="4"/>
        </w:numPr>
        <w:autoSpaceDE w:val="0"/>
        <w:autoSpaceDN w:val="0"/>
        <w:adjustRightInd w:val="0"/>
        <w:spacing w:line="360" w:lineRule="auto"/>
        <w:ind w:firstLineChars="0"/>
        <w:jc w:val="left"/>
        <w:rPr>
          <w:rFonts w:ascii="宋体" w:hAnsi="宋体"/>
          <w:color w:val="auto"/>
          <w:sz w:val="22"/>
          <w:szCs w:val="24"/>
          <w:highlight w:val="none"/>
        </w:rPr>
      </w:pPr>
      <w:r>
        <w:rPr>
          <w:rFonts w:hint="eastAsia" w:ascii="宋体" w:hAnsi="宋体"/>
          <w:color w:val="auto"/>
          <w:sz w:val="22"/>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57"/>
        <w:numPr>
          <w:ilvl w:val="0"/>
          <w:numId w:val="4"/>
        </w:numPr>
        <w:autoSpaceDE w:val="0"/>
        <w:autoSpaceDN w:val="0"/>
        <w:adjustRightInd w:val="0"/>
        <w:spacing w:line="360" w:lineRule="auto"/>
        <w:ind w:firstLineChars="0"/>
        <w:jc w:val="left"/>
        <w:rPr>
          <w:rFonts w:ascii="宋体" w:hAnsi="宋体"/>
          <w:color w:val="auto"/>
          <w:sz w:val="22"/>
          <w:szCs w:val="24"/>
          <w:highlight w:val="none"/>
        </w:rPr>
      </w:pPr>
      <w:r>
        <w:rPr>
          <w:rFonts w:hint="eastAsia" w:ascii="宋体" w:hAnsi="宋体"/>
          <w:color w:val="auto"/>
          <w:sz w:val="22"/>
          <w:szCs w:val="24"/>
          <w:highlight w:val="none"/>
        </w:rPr>
        <w:t>危险性较大的分部分项工程清单及超过一定规模的危险性较大的分部分项工程清单：</w:t>
      </w:r>
    </w:p>
    <w:tbl>
      <w:tblPr>
        <w:tblStyle w:val="38"/>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一、危险性较大的分部分项工程清单</w:t>
            </w:r>
          </w:p>
        </w:tc>
        <w:tc>
          <w:tcPr>
            <w:tcW w:w="1361"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建设单位</w:t>
            </w:r>
          </w:p>
        </w:tc>
        <w:tc>
          <w:tcPr>
            <w:tcW w:w="1361"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投标单位</w:t>
            </w:r>
          </w:p>
        </w:tc>
        <w:tc>
          <w:tcPr>
            <w:tcW w:w="1063"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一、基坑支护</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（一）开挖深度超过3m（含3m）的基坑（槽）的土方开挖、支护、降水工程。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（二）开挖深度虽未超过3m，但地质条件、周围环境和地下管线复杂，或影响毗邻建、构筑物安全的基坑（槽）的土方开挖、支护、降水工程。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二、模板工程及支撑体系</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s="宋体"/>
                <w:color w:val="auto"/>
                <w:szCs w:val="21"/>
                <w:highlight w:val="none"/>
              </w:rPr>
              <w:t>（二）采用起重机械进行安装的工程。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四、脚手架工程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（一）搭设高度24m及以上的落地式钢管脚手架工程（包括采光井、电梯井脚手架）。</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（二）附着式升降脚手架工程。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（三）悬挑式脚手架工程。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（四）高处作业吊篮。</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（五）卸料平台、操作平台工程。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（六）异型脚手架工程。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五、拆除工程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可能影响行人、交通、电力设施、通讯设施或其它建、构筑物安全的拆除工程。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六、暗挖工程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七、其它</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（一）建筑幕墙安装工程。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（二）钢结构、网架和索膜结构安装工程。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（三）人工挖孔桩工程。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（四）水下作业工程。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（五）装配式建筑混凝土预制构件安装工程。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spacing w:line="276" w:lineRule="auto"/>
              <w:rPr>
                <w:rFonts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361" w:type="dxa"/>
            <w:vAlign w:val="center"/>
          </w:tcPr>
          <w:p>
            <w:pPr>
              <w:spacing w:line="276" w:lineRule="auto"/>
              <w:jc w:val="center"/>
              <w:rPr>
                <w:rFonts w:ascii="宋体" w:hAnsi="宋体"/>
                <w:color w:val="auto"/>
                <w:szCs w:val="21"/>
                <w:highlight w:val="none"/>
              </w:rPr>
            </w:pPr>
          </w:p>
        </w:tc>
        <w:tc>
          <w:tcPr>
            <w:tcW w:w="1361" w:type="dxa"/>
            <w:vAlign w:val="center"/>
          </w:tcPr>
          <w:p>
            <w:pPr>
              <w:spacing w:line="276" w:lineRule="auto"/>
              <w:jc w:val="center"/>
              <w:rPr>
                <w:rFonts w:ascii="宋体" w:hAnsi="宋体"/>
                <w:color w:val="auto"/>
                <w:szCs w:val="21"/>
                <w:highlight w:val="none"/>
              </w:rPr>
            </w:pP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一、深基坑工程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开挖深度超过5m（含5m）的基坑（槽）的土方开挖、支护、降水工程。</w:t>
            </w:r>
          </w:p>
        </w:tc>
        <w:tc>
          <w:tcPr>
            <w:tcW w:w="1361" w:type="dxa"/>
            <w:vAlign w:val="center"/>
          </w:tcPr>
          <w:p>
            <w:pPr>
              <w:spacing w:line="276" w:lineRule="auto"/>
              <w:ind w:firstLine="210" w:firstLineChars="100"/>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ind w:firstLine="48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二、模板工程及支撑体系</w:t>
            </w:r>
          </w:p>
        </w:tc>
        <w:tc>
          <w:tcPr>
            <w:tcW w:w="1361" w:type="dxa"/>
            <w:vAlign w:val="center"/>
          </w:tcPr>
          <w:p>
            <w:pPr>
              <w:spacing w:line="276" w:lineRule="auto"/>
              <w:ind w:firstLine="480"/>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ind w:firstLine="48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361" w:type="dxa"/>
            <w:vAlign w:val="center"/>
          </w:tcPr>
          <w:p>
            <w:pPr>
              <w:spacing w:line="276" w:lineRule="auto"/>
              <w:ind w:firstLine="480"/>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ind w:firstLine="48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（二）混凝土模板支撑工程：搭设高度8m及以上，或搭设跨度18m及以上，或施工总荷载（设计值）15kN/m2及以上，或集中线荷载（设计值）20kN/m及以上。</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（三）承重支撑体系：用于钢结构安装等满堂支撑体系，承受单点集中荷载7kN及以上。</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三、起重吊装及起重机械安装拆卸工程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（一）采用非常规起重设备、方法，且单件起吊重量在100kN及以上的起重吊装工程。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（二）起重量300kN及以上，或搭设总高度200m及以上，或搭设基础标高在200m及以上的起重机械安装和拆卸工程。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四、脚手架工程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（一）搭设高度50m及以上的落地式钢管脚手架工程。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（二）提升高度在150m及以上的附着式升降脚手架工程或附着式升降操作平台工程。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（三）分段架体搭设高度20m及以上的悬挑式脚手架工程。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五、拆除工程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（一）码头、桥梁、高架、烟囱、水塔或拆除中容易引起有毒有害气（液）体或粉尘扩散、易燃易爆事故发生的特殊建、构筑物的拆除工程。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（二）文物保护建筑、优秀历史建筑或历史文化风貌区影响范围内的拆除工程。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六、暗挖工程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七、其它</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（一）施工高度50m及以上的建筑幕墙安装工程。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（二）跨度36m及以上的钢结构安装工程，或跨度60m及以上的网架和索膜结构安装工程。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（三）开挖深度16m及以上的人工挖孔桩工程。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（四）水下作业工程。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（五）重量1000kN及以上的大型结构整体顶升、平移、转体等施工工艺。</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line="276" w:lineRule="auto"/>
              <w:rPr>
                <w:rFonts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361"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   )</w:t>
            </w:r>
          </w:p>
        </w:tc>
        <w:tc>
          <w:tcPr>
            <w:tcW w:w="136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    )</w:t>
            </w:r>
          </w:p>
        </w:tc>
        <w:tc>
          <w:tcPr>
            <w:tcW w:w="1063" w:type="dxa"/>
            <w:vAlign w:val="center"/>
          </w:tcPr>
          <w:p>
            <w:pPr>
              <w:spacing w:line="276" w:lineRule="auto"/>
              <w:jc w:val="center"/>
              <w:rPr>
                <w:rFonts w:ascii="宋体" w:hAnsi="宋体"/>
                <w:color w:val="auto"/>
                <w:szCs w:val="21"/>
                <w:highlight w:val="none"/>
              </w:rPr>
            </w:pPr>
          </w:p>
        </w:tc>
      </w:tr>
    </w:tbl>
    <w:p>
      <w:pPr>
        <w:pStyle w:val="138"/>
        <w:spacing w:line="480" w:lineRule="auto"/>
        <w:ind w:firstLine="691" w:firstLineChars="279"/>
        <w:rPr>
          <w:rFonts w:ascii="宋体" w:hAnsi="宋体"/>
          <w:color w:val="auto"/>
          <w:highlight w:val="none"/>
        </w:rPr>
      </w:pP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投 标 人：    （盖章）</w:t>
      </w: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法定代表人或授权代理人（签字或盖章）：</w:t>
      </w:r>
    </w:p>
    <w:p>
      <w:pPr>
        <w:pStyle w:val="21"/>
        <w:rPr>
          <w:rFonts w:hAnsi="宋体"/>
          <w:color w:val="auto"/>
          <w:sz w:val="24"/>
          <w:szCs w:val="24"/>
          <w:highlight w:val="none"/>
        </w:rPr>
      </w:pPr>
      <w:r>
        <w:rPr>
          <w:rFonts w:hint="eastAsia" w:hAnsi="宋体"/>
          <w:color w:val="auto"/>
          <w:sz w:val="24"/>
          <w:szCs w:val="24"/>
          <w:highlight w:val="none"/>
        </w:rPr>
        <w:t xml:space="preserve">     日    期：    年    月    日</w:t>
      </w:r>
    </w:p>
    <w:p>
      <w:pPr>
        <w:pStyle w:val="21"/>
        <w:rPr>
          <w:color w:val="auto"/>
          <w:highlight w:val="none"/>
        </w:rPr>
      </w:pPr>
    </w:p>
    <w:p>
      <w:pPr>
        <w:pStyle w:val="21"/>
        <w:rPr>
          <w:color w:val="auto"/>
          <w:highlight w:val="none"/>
        </w:rPr>
      </w:pPr>
    </w:p>
    <w:p>
      <w:pPr>
        <w:pStyle w:val="21"/>
        <w:spacing w:line="360" w:lineRule="auto"/>
        <w:rPr>
          <w:rFonts w:ascii="Calibri" w:hAnsi="Calibri"/>
          <w:color w:val="auto"/>
          <w:szCs w:val="22"/>
          <w:highlight w:val="none"/>
        </w:rPr>
      </w:pPr>
      <w:r>
        <w:rPr>
          <w:rFonts w:hint="eastAsia"/>
          <w:b/>
          <w:bCs/>
          <w:color w:val="auto"/>
          <w:highlight w:val="none"/>
          <w:u w:val="single"/>
        </w:rPr>
        <w:t>附：《</w:t>
      </w:r>
      <w:r>
        <w:rPr>
          <w:rFonts w:hint="eastAsia" w:hAnsi="宋体"/>
          <w:b/>
          <w:bCs/>
          <w:color w:val="auto"/>
          <w:sz w:val="22"/>
          <w:szCs w:val="32"/>
          <w:highlight w:val="none"/>
          <w:u w:val="single"/>
        </w:rPr>
        <w:t>安全管理措施及专项施工方案》（投标人应根据本项目危险性较大的分部分项工程清单及超过一定规模的危险性较大的分部分项工程清单内容，编制相应的安全管理措施及专项施工方案，格式自拟）</w:t>
      </w:r>
    </w:p>
    <w:p>
      <w:pPr>
        <w:jc w:val="left"/>
        <w:rPr>
          <w:color w:val="auto"/>
          <w:highlight w:val="none"/>
        </w:rPr>
      </w:pPr>
      <w:r>
        <w:rPr>
          <w:color w:val="auto"/>
          <w:highlight w:val="none"/>
        </w:rPr>
        <w:br w:type="page"/>
      </w:r>
      <w:r>
        <w:rPr>
          <w:rFonts w:hint="eastAsia"/>
          <w:color w:val="auto"/>
          <w:highlight w:val="none"/>
        </w:rPr>
        <w:t>格式八：</w:t>
      </w:r>
    </w:p>
    <w:p>
      <w:pPr>
        <w:jc w:val="center"/>
        <w:rPr>
          <w:rFonts w:ascii="宋体" w:hAnsi="宋体"/>
          <w:b/>
          <w:color w:val="auto"/>
          <w:sz w:val="36"/>
          <w:szCs w:val="36"/>
          <w:highlight w:val="none"/>
        </w:rPr>
      </w:pPr>
    </w:p>
    <w:p>
      <w:pPr>
        <w:jc w:val="center"/>
        <w:rPr>
          <w:rFonts w:ascii="宋体" w:hAnsi="宋体"/>
          <w:b/>
          <w:color w:val="auto"/>
          <w:sz w:val="36"/>
          <w:szCs w:val="36"/>
          <w:highlight w:val="none"/>
        </w:rPr>
      </w:pPr>
      <w:bookmarkStart w:id="40" w:name="_Hlk124861033"/>
      <w:r>
        <w:rPr>
          <w:rFonts w:hint="eastAsia" w:ascii="宋体" w:hAnsi="宋体"/>
          <w:b/>
          <w:color w:val="auto"/>
          <w:sz w:val="36"/>
          <w:szCs w:val="36"/>
          <w:highlight w:val="none"/>
        </w:rPr>
        <w:t>响应招标文件所附施工组织设计要点承诺书</w:t>
      </w:r>
      <w:bookmarkEnd w:id="40"/>
    </w:p>
    <w:p>
      <w:pPr>
        <w:spacing w:line="360" w:lineRule="auto"/>
        <w:rPr>
          <w:rFonts w:ascii="宋体" w:hAnsi="宋体"/>
          <w:color w:val="auto"/>
          <w:highlight w:val="none"/>
        </w:rPr>
      </w:pPr>
    </w:p>
    <w:p>
      <w:pPr>
        <w:spacing w:line="480" w:lineRule="auto"/>
        <w:rPr>
          <w:rFonts w:ascii="宋体" w:hAnsi="宋体"/>
          <w:color w:val="auto"/>
          <w:sz w:val="24"/>
          <w:highlight w:val="none"/>
          <w:u w:val="single"/>
        </w:rPr>
      </w:pPr>
      <w:r>
        <w:rPr>
          <w:rFonts w:hint="eastAsia" w:ascii="宋体" w:hAnsi="宋体"/>
          <w:color w:val="auto"/>
          <w:sz w:val="24"/>
          <w:highlight w:val="none"/>
          <w:u w:val="single"/>
        </w:rPr>
        <w:t>广州市白云区太和镇人民政府</w:t>
      </w:r>
      <w:r>
        <w:rPr>
          <w:rFonts w:hint="eastAsia" w:ascii="宋体" w:hAnsi="宋体"/>
          <w:color w:val="auto"/>
          <w:sz w:val="24"/>
          <w:highlight w:val="none"/>
        </w:rPr>
        <w:t>：</w:t>
      </w:r>
    </w:p>
    <w:p>
      <w:pPr>
        <w:spacing w:line="480" w:lineRule="auto"/>
        <w:ind w:firstLine="435"/>
        <w:rPr>
          <w:rFonts w:ascii="宋体" w:hAnsi="宋体"/>
          <w:color w:val="auto"/>
          <w:sz w:val="24"/>
          <w:highlight w:val="none"/>
        </w:rPr>
      </w:pPr>
      <w:r>
        <w:rPr>
          <w:rFonts w:hint="eastAsia" w:ascii="宋体" w:hAnsi="宋体"/>
          <w:color w:val="auto"/>
          <w:sz w:val="24"/>
          <w:highlight w:val="none"/>
        </w:rPr>
        <w:t>我方承诺，如中标承建</w:t>
      </w:r>
      <w:r>
        <w:rPr>
          <w:rFonts w:hint="eastAsia" w:ascii="宋体" w:hAnsi="宋体"/>
          <w:color w:val="auto"/>
          <w:sz w:val="24"/>
          <w:highlight w:val="none"/>
          <w:u w:val="single"/>
        </w:rPr>
        <w:t>沙亭村道路沥青升级改造工程</w:t>
      </w:r>
      <w:r>
        <w:rPr>
          <w:rFonts w:hint="eastAsia" w:ascii="宋体" w:hAnsi="宋体"/>
          <w:color w:val="auto"/>
          <w:sz w:val="24"/>
          <w:highlight w:val="none"/>
        </w:rPr>
        <w:t>，将按招标文件所附的本工程</w:t>
      </w:r>
      <w:r>
        <w:rPr>
          <w:rFonts w:hint="eastAsia" w:ascii="宋体" w:hAnsi="宋体"/>
          <w:color w:val="auto"/>
          <w:sz w:val="24"/>
          <w:highlight w:val="none"/>
          <w:u w:val="single"/>
        </w:rPr>
        <w:t>施工组织设计要点</w:t>
      </w:r>
      <w:r>
        <w:rPr>
          <w:rFonts w:hint="eastAsia" w:ascii="宋体" w:hAnsi="宋体"/>
          <w:color w:val="auto"/>
          <w:sz w:val="24"/>
          <w:highlight w:val="none"/>
        </w:rPr>
        <w:t>进行响应的基础上自行组织施工。并承诺在中标后按招标文件所附的</w:t>
      </w:r>
      <w:r>
        <w:rPr>
          <w:rFonts w:hint="eastAsia" w:ascii="宋体" w:hAnsi="宋体"/>
          <w:color w:val="auto"/>
          <w:sz w:val="24"/>
          <w:highlight w:val="none"/>
          <w:u w:val="single"/>
        </w:rPr>
        <w:t>施工组织设计要点</w:t>
      </w:r>
      <w:r>
        <w:rPr>
          <w:rFonts w:hint="eastAsia" w:ascii="宋体" w:hAnsi="宋体"/>
          <w:color w:val="auto"/>
          <w:sz w:val="24"/>
          <w:highlight w:val="none"/>
        </w:rPr>
        <w:t>基础上编制详细的施工组织设计，并报经监理单位和建设单位审批后实施。</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投 标 人：    （盖章）</w:t>
      </w:r>
    </w:p>
    <w:p>
      <w:pPr>
        <w:pStyle w:val="138"/>
        <w:spacing w:line="480" w:lineRule="auto"/>
        <w:ind w:firstLine="691" w:firstLineChars="279"/>
        <w:rPr>
          <w:rFonts w:ascii="宋体" w:hAnsi="宋体"/>
          <w:color w:val="auto"/>
          <w:highlight w:val="none"/>
        </w:rPr>
      </w:pPr>
      <w:r>
        <w:rPr>
          <w:rFonts w:hint="eastAsia" w:ascii="宋体" w:hAnsi="宋体"/>
          <w:color w:val="auto"/>
          <w:highlight w:val="none"/>
        </w:rPr>
        <w:t>法定代表人或授权代理人（签字或盖章）：</w:t>
      </w:r>
    </w:p>
    <w:p>
      <w:pPr>
        <w:pStyle w:val="21"/>
        <w:rPr>
          <w:rFonts w:hAnsi="宋体"/>
          <w:color w:val="auto"/>
          <w:sz w:val="24"/>
          <w:szCs w:val="24"/>
          <w:highlight w:val="none"/>
        </w:rPr>
      </w:pPr>
      <w:r>
        <w:rPr>
          <w:rFonts w:hint="eastAsia" w:hAnsi="宋体"/>
          <w:color w:val="auto"/>
          <w:sz w:val="24"/>
          <w:szCs w:val="24"/>
          <w:highlight w:val="none"/>
        </w:rPr>
        <w:t xml:space="preserve">     日    期：    年    月    日</w:t>
      </w:r>
    </w:p>
    <w:p>
      <w:pPr>
        <w:jc w:val="left"/>
        <w:rPr>
          <w:color w:val="auto"/>
          <w:highlight w:val="none"/>
        </w:rPr>
      </w:pPr>
      <w:r>
        <w:rPr>
          <w:color w:val="auto"/>
          <w:highlight w:val="none"/>
        </w:rPr>
        <w:br w:type="page"/>
      </w:r>
      <w:r>
        <w:rPr>
          <w:rFonts w:hint="eastAsia"/>
          <w:color w:val="auto"/>
          <w:highlight w:val="none"/>
        </w:rPr>
        <w:t>格式九：</w:t>
      </w:r>
    </w:p>
    <w:tbl>
      <w:tblPr>
        <w:tblStyle w:val="38"/>
        <w:tblW w:w="5000" w:type="pct"/>
        <w:tblInd w:w="0" w:type="dxa"/>
        <w:tblLayout w:type="autofit"/>
        <w:tblCellMar>
          <w:top w:w="0" w:type="dxa"/>
          <w:left w:w="108" w:type="dxa"/>
          <w:bottom w:w="0" w:type="dxa"/>
          <w:right w:w="108" w:type="dxa"/>
        </w:tblCellMar>
      </w:tblPr>
      <w:tblGrid>
        <w:gridCol w:w="799"/>
        <w:gridCol w:w="1454"/>
        <w:gridCol w:w="1795"/>
        <w:gridCol w:w="1795"/>
        <w:gridCol w:w="2679"/>
      </w:tblGrid>
      <w:tr>
        <w:tblPrEx>
          <w:tblCellMar>
            <w:top w:w="0" w:type="dxa"/>
            <w:left w:w="108" w:type="dxa"/>
            <w:bottom w:w="0" w:type="dxa"/>
            <w:right w:w="108" w:type="dxa"/>
          </w:tblCellMar>
        </w:tblPrEx>
        <w:trPr>
          <w:trHeight w:val="1159" w:hRule="atLeast"/>
        </w:trPr>
        <w:tc>
          <w:tcPr>
            <w:tcW w:w="5000" w:type="pct"/>
            <w:gridSpan w:val="5"/>
            <w:tcBorders>
              <w:top w:val="nil"/>
              <w:left w:val="nil"/>
              <w:bottom w:val="single" w:color="auto" w:sz="4" w:space="0"/>
              <w:right w:val="nil"/>
            </w:tcBorders>
            <w:noWrap/>
            <w:vAlign w:val="center"/>
          </w:tcPr>
          <w:p>
            <w:pPr>
              <w:widowControl/>
              <w:jc w:val="center"/>
              <w:rPr>
                <w:rFonts w:ascii="方正大标宋简体" w:hAnsi="等线" w:cs="宋体"/>
                <w:b/>
                <w:bCs/>
                <w:color w:val="auto"/>
                <w:kern w:val="0"/>
                <w:sz w:val="32"/>
                <w:szCs w:val="32"/>
                <w:highlight w:val="none"/>
              </w:rPr>
            </w:pPr>
            <w:r>
              <w:rPr>
                <w:rFonts w:ascii="方正大标宋简体" w:hAnsi="等线" w:cs="宋体"/>
                <w:b/>
                <w:bCs/>
                <w:color w:val="auto"/>
                <w:kern w:val="0"/>
                <w:sz w:val="32"/>
                <w:szCs w:val="32"/>
                <w:highlight w:val="none"/>
              </w:rPr>
              <w:t>施工项目管理团队人员信息表</w:t>
            </w:r>
          </w:p>
        </w:tc>
      </w:tr>
      <w:tr>
        <w:tblPrEx>
          <w:tblCellMar>
            <w:top w:w="0" w:type="dxa"/>
            <w:left w:w="108" w:type="dxa"/>
            <w:bottom w:w="0" w:type="dxa"/>
            <w:right w:w="108" w:type="dxa"/>
          </w:tblCellMar>
        </w:tblPrEx>
        <w:trPr>
          <w:trHeight w:val="948" w:hRule="atLeast"/>
        </w:trPr>
        <w:tc>
          <w:tcPr>
            <w:tcW w:w="469" w:type="pc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序号</w:t>
            </w:r>
          </w:p>
        </w:tc>
        <w:tc>
          <w:tcPr>
            <w:tcW w:w="853" w:type="pct"/>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姓名</w:t>
            </w:r>
          </w:p>
        </w:tc>
        <w:tc>
          <w:tcPr>
            <w:tcW w:w="1053" w:type="pct"/>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岗位</w:t>
            </w:r>
          </w:p>
        </w:tc>
        <w:tc>
          <w:tcPr>
            <w:tcW w:w="1053" w:type="pct"/>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职称</w:t>
            </w:r>
          </w:p>
        </w:tc>
        <w:tc>
          <w:tcPr>
            <w:tcW w:w="1572" w:type="pct"/>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职称证书或资格证书编号</w:t>
            </w:r>
          </w:p>
        </w:tc>
      </w:tr>
      <w:tr>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p>
        </w:tc>
        <w:tc>
          <w:tcPr>
            <w:tcW w:w="8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技术负责人</w:t>
            </w: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57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p>
        </w:tc>
        <w:tc>
          <w:tcPr>
            <w:tcW w:w="8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安全负责人</w:t>
            </w: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57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3</w:t>
            </w:r>
          </w:p>
        </w:tc>
        <w:tc>
          <w:tcPr>
            <w:tcW w:w="8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质量负责人</w:t>
            </w: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57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4</w:t>
            </w:r>
          </w:p>
        </w:tc>
        <w:tc>
          <w:tcPr>
            <w:tcW w:w="8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造价负责人</w:t>
            </w: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57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8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57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r>
      <w:tr>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8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57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r>
      <w:tr>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8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57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r>
      <w:tr>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8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57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r>
      <w:tr>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w:t>
            </w:r>
          </w:p>
        </w:tc>
        <w:tc>
          <w:tcPr>
            <w:tcW w:w="8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w:t>
            </w:r>
          </w:p>
        </w:tc>
        <w:tc>
          <w:tcPr>
            <w:tcW w:w="105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c>
          <w:tcPr>
            <w:tcW w:w="157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8"/>
                <w:szCs w:val="28"/>
                <w:highlight w:val="none"/>
              </w:rPr>
            </w:pPr>
          </w:p>
        </w:tc>
      </w:tr>
      <w:tr>
        <w:tblPrEx>
          <w:tblCellMar>
            <w:top w:w="0" w:type="dxa"/>
            <w:left w:w="108" w:type="dxa"/>
            <w:bottom w:w="0" w:type="dxa"/>
            <w:right w:w="108" w:type="dxa"/>
          </w:tblCellMar>
        </w:tblPrEx>
        <w:trPr>
          <w:trHeight w:val="4398"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备注：</w:t>
            </w:r>
            <w:r>
              <w:rPr>
                <w:rFonts w:hint="eastAsia" w:ascii="仿宋" w:hAnsi="仿宋" w:eastAsia="仿宋" w:cs="宋体"/>
                <w:color w:val="auto"/>
                <w:kern w:val="0"/>
                <w:sz w:val="24"/>
                <w:szCs w:val="24"/>
                <w:highlight w:val="none"/>
              </w:rPr>
              <w:br w:type="textWrapping"/>
            </w:r>
            <w:r>
              <w:rPr>
                <w:rFonts w:hint="eastAsia" w:ascii="仿宋" w:hAnsi="仿宋" w:eastAsia="仿宋" w:cs="宋体"/>
                <w:color w:val="auto"/>
                <w:kern w:val="0"/>
                <w:sz w:val="24"/>
                <w:szCs w:val="24"/>
                <w:highlight w:val="none"/>
              </w:rPr>
              <w:t>1、“岗位”要求（除项目负责人和专职安全员外）</w:t>
            </w:r>
            <w:r>
              <w:rPr>
                <w:rFonts w:hint="eastAsia" w:ascii="仿宋" w:hAnsi="仿宋" w:eastAsia="仿宋" w:cs="宋体"/>
                <w:b/>
                <w:bCs/>
                <w:color w:val="auto"/>
                <w:kern w:val="0"/>
                <w:sz w:val="24"/>
                <w:szCs w:val="24"/>
                <w:highlight w:val="none"/>
              </w:rPr>
              <w:t>：</w:t>
            </w:r>
            <w:r>
              <w:rPr>
                <w:rFonts w:hint="eastAsia" w:ascii="仿宋" w:hAnsi="仿宋" w:eastAsia="仿宋" w:cs="宋体"/>
                <w:color w:val="auto"/>
                <w:kern w:val="0"/>
                <w:sz w:val="24"/>
                <w:szCs w:val="24"/>
                <w:highlight w:val="none"/>
              </w:rPr>
              <w:t>拟派技术负责人、安全负责人、质量负责人、造价负责人等。以上项目管理团队人员信息将供各相关单位在履约时比对、查核。</w:t>
            </w:r>
            <w:r>
              <w:rPr>
                <w:rFonts w:hint="eastAsia" w:ascii="仿宋" w:hAnsi="仿宋" w:eastAsia="仿宋" w:cs="宋体"/>
                <w:color w:val="auto"/>
                <w:kern w:val="0"/>
                <w:sz w:val="24"/>
                <w:szCs w:val="24"/>
                <w:highlight w:val="none"/>
              </w:rPr>
              <w:br w:type="textWrapping"/>
            </w:r>
            <w:r>
              <w:rPr>
                <w:rFonts w:hint="eastAsia" w:ascii="仿宋" w:hAnsi="仿宋" w:eastAsia="仿宋" w:cs="宋体"/>
                <w:color w:val="auto"/>
                <w:kern w:val="0"/>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r>
              <w:rPr>
                <w:rFonts w:hint="eastAsia" w:ascii="仿宋" w:hAnsi="仿宋" w:eastAsia="仿宋" w:cs="宋体"/>
                <w:color w:val="auto"/>
                <w:kern w:val="0"/>
                <w:sz w:val="24"/>
                <w:szCs w:val="24"/>
                <w:highlight w:val="none"/>
              </w:rPr>
              <w:br w:type="textWrapping"/>
            </w:r>
            <w:r>
              <w:rPr>
                <w:rFonts w:hint="eastAsia" w:ascii="仿宋" w:hAnsi="仿宋" w:eastAsia="仿宋" w:cs="宋体"/>
                <w:color w:val="auto"/>
                <w:kern w:val="0"/>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21"/>
        <w:rPr>
          <w:color w:val="auto"/>
          <w:highlight w:val="none"/>
        </w:rPr>
      </w:pPr>
    </w:p>
    <w:p>
      <w:pPr>
        <w:pStyle w:val="21"/>
        <w:rPr>
          <w:color w:val="auto"/>
          <w:highlight w:val="none"/>
        </w:rPr>
      </w:pPr>
    </w:p>
    <w:p>
      <w:pPr>
        <w:pStyle w:val="21"/>
        <w:rPr>
          <w:color w:val="auto"/>
          <w:highlight w:val="none"/>
        </w:rPr>
      </w:pPr>
      <w:r>
        <w:rPr>
          <w:color w:val="auto"/>
          <w:highlight w:val="none"/>
        </w:rPr>
        <w:br w:type="page"/>
      </w:r>
      <w:r>
        <w:rPr>
          <w:rFonts w:hint="eastAsia"/>
          <w:color w:val="auto"/>
          <w:highlight w:val="none"/>
        </w:rPr>
        <w:t>格式十：</w:t>
      </w:r>
    </w:p>
    <w:p>
      <w:pPr>
        <w:tabs>
          <w:tab w:val="left" w:pos="720"/>
        </w:tabs>
        <w:snapToGrid w:val="0"/>
        <w:spacing w:line="360" w:lineRule="auto"/>
        <w:jc w:val="center"/>
        <w:rPr>
          <w:b/>
          <w:bCs/>
          <w:color w:val="auto"/>
          <w:sz w:val="28"/>
          <w:szCs w:val="28"/>
          <w:highlight w:val="none"/>
        </w:rPr>
      </w:pPr>
      <w:r>
        <w:rPr>
          <w:rFonts w:hint="eastAsia"/>
          <w:b/>
          <w:bCs/>
          <w:color w:val="auto"/>
          <w:sz w:val="28"/>
          <w:szCs w:val="28"/>
          <w:highlight w:val="none"/>
        </w:rPr>
        <w:t>参与编制技术标投标文件（含资格审查文件）人员名单</w:t>
      </w:r>
    </w:p>
    <w:tbl>
      <w:tblPr>
        <w:tblStyle w:val="3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113"/>
        <w:gridCol w:w="144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1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pStyle w:val="6"/>
        <w:spacing w:line="360" w:lineRule="auto"/>
        <w:ind w:left="-2" w:leftChars="-1" w:firstLine="0"/>
        <w:jc w:val="left"/>
        <w:rPr>
          <w:color w:val="auto"/>
          <w:szCs w:val="21"/>
          <w:highlight w:val="none"/>
        </w:rPr>
      </w:pPr>
      <w:r>
        <w:rPr>
          <w:rFonts w:hint="eastAsia"/>
          <w:color w:val="auto"/>
          <w:szCs w:val="21"/>
          <w:highlight w:val="none"/>
        </w:rPr>
        <w:t>注：参与编制投标文件所有人员名单应包括如编制技术标投标文件（含资格审查文件）、负责清样校对、负责打印及复印等所有人员在内的人员名单。</w:t>
      </w:r>
    </w:p>
    <w:p>
      <w:pPr>
        <w:pStyle w:val="21"/>
        <w:rPr>
          <w:color w:val="auto"/>
          <w:highlight w:val="none"/>
        </w:rPr>
      </w:pPr>
    </w:p>
    <w:p>
      <w:pPr>
        <w:pStyle w:val="21"/>
        <w:rPr>
          <w:b/>
          <w:bCs/>
          <w:color w:val="auto"/>
          <w:highlight w:val="none"/>
        </w:rPr>
      </w:pPr>
      <w:r>
        <w:rPr>
          <w:color w:val="auto"/>
          <w:highlight w:val="none"/>
        </w:rPr>
        <w:br w:type="page"/>
      </w:r>
      <w:r>
        <w:rPr>
          <w:rFonts w:hint="eastAsia"/>
          <w:b/>
          <w:bCs/>
          <w:color w:val="auto"/>
          <w:highlight w:val="none"/>
        </w:rPr>
        <w:t>二、经济标投标文件</w:t>
      </w:r>
    </w:p>
    <w:p>
      <w:pPr>
        <w:pStyle w:val="138"/>
        <w:ind w:firstLine="496"/>
        <w:rPr>
          <w:rFonts w:ascii="宋体" w:hAnsi="宋体"/>
          <w:color w:val="auto"/>
          <w:highlight w:val="none"/>
        </w:rPr>
      </w:pPr>
    </w:p>
    <w:p>
      <w:pPr>
        <w:pStyle w:val="138"/>
        <w:ind w:firstLine="496"/>
        <w:rPr>
          <w:rFonts w:ascii="宋体" w:hAnsi="宋体"/>
          <w:color w:val="auto"/>
          <w:highlight w:val="none"/>
        </w:rPr>
      </w:pPr>
    </w:p>
    <w:p>
      <w:pPr>
        <w:pStyle w:val="141"/>
        <w:rPr>
          <w:rFonts w:ascii="宋体" w:hAnsi="宋体" w:eastAsia="宋体"/>
          <w:b w:val="0"/>
          <w:color w:val="auto"/>
          <w:highlight w:val="none"/>
          <w:u w:val="single"/>
        </w:rPr>
      </w:pPr>
      <w:r>
        <w:rPr>
          <w:rFonts w:hint="eastAsia" w:ascii="宋体" w:hAnsi="宋体" w:eastAsia="宋体"/>
          <w:b w:val="0"/>
          <w:color w:val="auto"/>
          <w:highlight w:val="none"/>
          <w:u w:val="single"/>
        </w:rPr>
        <w:t xml:space="preserve">[工程名称] </w:t>
      </w:r>
    </w:p>
    <w:p>
      <w:pPr>
        <w:pStyle w:val="138"/>
        <w:ind w:firstLine="496"/>
        <w:rPr>
          <w:rFonts w:ascii="宋体" w:hAnsi="宋体"/>
          <w:color w:val="auto"/>
          <w:highlight w:val="none"/>
        </w:rPr>
      </w:pPr>
    </w:p>
    <w:p>
      <w:pPr>
        <w:pStyle w:val="138"/>
        <w:ind w:firstLine="496"/>
        <w:rPr>
          <w:rFonts w:ascii="宋体" w:hAnsi="宋体"/>
          <w:color w:val="auto"/>
          <w:highlight w:val="none"/>
        </w:rPr>
      </w:pPr>
    </w:p>
    <w:p>
      <w:pPr>
        <w:pStyle w:val="138"/>
        <w:ind w:firstLine="496"/>
        <w:rPr>
          <w:rFonts w:ascii="宋体" w:hAnsi="宋体"/>
          <w:color w:val="auto"/>
          <w:highlight w:val="none"/>
        </w:rPr>
      </w:pPr>
    </w:p>
    <w:p>
      <w:pPr>
        <w:pStyle w:val="138"/>
        <w:ind w:firstLine="496"/>
        <w:rPr>
          <w:rFonts w:ascii="宋体" w:hAnsi="宋体"/>
          <w:color w:val="auto"/>
          <w:highlight w:val="none"/>
        </w:rPr>
      </w:pPr>
    </w:p>
    <w:p>
      <w:pPr>
        <w:pStyle w:val="139"/>
        <w:rPr>
          <w:rFonts w:ascii="宋体" w:hAnsi="宋体" w:eastAsia="宋体"/>
          <w:b w:val="0"/>
          <w:color w:val="auto"/>
          <w:highlight w:val="none"/>
        </w:rPr>
      </w:pPr>
      <w:r>
        <w:rPr>
          <w:rFonts w:hint="eastAsia" w:ascii="宋体" w:hAnsi="宋体" w:eastAsia="宋体"/>
          <w:b w:val="0"/>
          <w:color w:val="auto"/>
          <w:highlight w:val="none"/>
        </w:rPr>
        <w:t>投标文件</w:t>
      </w:r>
    </w:p>
    <w:p>
      <w:pPr>
        <w:pStyle w:val="141"/>
        <w:rPr>
          <w:rFonts w:ascii="宋体" w:hAnsi="宋体" w:eastAsia="宋体"/>
          <w:b w:val="0"/>
          <w:color w:val="auto"/>
          <w:highlight w:val="none"/>
        </w:rPr>
      </w:pPr>
      <w:r>
        <w:rPr>
          <w:rFonts w:hint="eastAsia" w:ascii="宋体" w:hAnsi="宋体" w:eastAsia="宋体"/>
          <w:b w:val="0"/>
          <w:color w:val="auto"/>
          <w:highlight w:val="none"/>
        </w:rPr>
        <w:t>经济标投标文件</w:t>
      </w:r>
    </w:p>
    <w:p>
      <w:pPr>
        <w:pStyle w:val="138"/>
        <w:ind w:firstLine="496"/>
        <w:rPr>
          <w:rFonts w:ascii="宋体" w:hAnsi="宋体"/>
          <w:color w:val="auto"/>
          <w:highlight w:val="none"/>
        </w:rPr>
      </w:pPr>
    </w:p>
    <w:p>
      <w:pPr>
        <w:pStyle w:val="138"/>
        <w:ind w:firstLine="496"/>
        <w:rPr>
          <w:rFonts w:ascii="宋体" w:hAnsi="宋体"/>
          <w:color w:val="auto"/>
          <w:highlight w:val="none"/>
        </w:rPr>
      </w:pPr>
    </w:p>
    <w:p>
      <w:pPr>
        <w:pStyle w:val="138"/>
        <w:ind w:firstLine="496"/>
        <w:rPr>
          <w:rFonts w:ascii="宋体" w:hAnsi="宋体"/>
          <w:color w:val="auto"/>
          <w:highlight w:val="none"/>
        </w:rPr>
      </w:pPr>
    </w:p>
    <w:p>
      <w:pPr>
        <w:pStyle w:val="138"/>
        <w:ind w:firstLine="496"/>
        <w:rPr>
          <w:rFonts w:ascii="宋体" w:hAnsi="宋体"/>
          <w:color w:val="auto"/>
          <w:highlight w:val="none"/>
        </w:rPr>
      </w:pPr>
    </w:p>
    <w:p>
      <w:pPr>
        <w:pStyle w:val="138"/>
        <w:ind w:firstLine="496"/>
        <w:rPr>
          <w:rFonts w:ascii="宋体" w:hAnsi="宋体"/>
          <w:color w:val="auto"/>
          <w:highlight w:val="none"/>
        </w:rPr>
      </w:pPr>
    </w:p>
    <w:p>
      <w:pPr>
        <w:pStyle w:val="140"/>
        <w:ind w:firstLine="616"/>
        <w:rPr>
          <w:rFonts w:ascii="宋体" w:hAnsi="宋体"/>
          <w:color w:val="auto"/>
          <w:highlight w:val="none"/>
        </w:rPr>
      </w:pPr>
    </w:p>
    <w:p>
      <w:pPr>
        <w:pStyle w:val="140"/>
        <w:ind w:firstLine="616"/>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（填写投标人单位名称）    （盖章）</w:t>
      </w:r>
    </w:p>
    <w:p>
      <w:pPr>
        <w:pStyle w:val="140"/>
        <w:ind w:firstLine="616"/>
        <w:rPr>
          <w:rFonts w:ascii="宋体" w:hAnsi="宋体"/>
          <w:color w:val="auto"/>
          <w:highlight w:val="none"/>
        </w:rPr>
      </w:pPr>
      <w:r>
        <w:rPr>
          <w:rFonts w:hint="eastAsia" w:ascii="宋体" w:hAnsi="宋体"/>
          <w:color w:val="auto"/>
          <w:highlight w:val="none"/>
        </w:rPr>
        <w:t>法定代表人或</w:t>
      </w:r>
    </w:p>
    <w:p>
      <w:pPr>
        <w:pStyle w:val="140"/>
        <w:ind w:firstLine="616"/>
        <w:rPr>
          <w:rFonts w:ascii="宋体" w:hAnsi="宋体"/>
          <w:color w:val="auto"/>
          <w:highlight w:val="none"/>
        </w:rPr>
      </w:pPr>
      <w:r>
        <w:rPr>
          <w:rFonts w:hint="eastAsia" w:ascii="宋体" w:hAnsi="宋体"/>
          <w:color w:val="auto"/>
          <w:highlight w:val="none"/>
        </w:rPr>
        <w:t>其委托代理人：</w:t>
      </w:r>
      <w:r>
        <w:rPr>
          <w:rFonts w:hint="eastAsia" w:ascii="宋体" w:hAnsi="宋体"/>
          <w:color w:val="auto"/>
          <w:highlight w:val="none"/>
          <w:u w:val="single"/>
        </w:rPr>
        <w:t xml:space="preserve">                （签字或盖章）</w:t>
      </w:r>
    </w:p>
    <w:p>
      <w:pPr>
        <w:autoSpaceDE w:val="0"/>
        <w:autoSpaceDN w:val="0"/>
        <w:adjustRightInd w:val="0"/>
        <w:ind w:firstLine="616" w:firstLineChars="200"/>
        <w:rPr>
          <w:rFonts w:ascii="宋体" w:hAnsi="宋体"/>
          <w:color w:val="auto"/>
          <w:highlight w:val="none"/>
          <w:u w:val="single"/>
        </w:rPr>
      </w:pPr>
      <w:r>
        <w:rPr>
          <w:rFonts w:hint="eastAsia" w:ascii="宋体" w:hAnsi="宋体"/>
          <w:color w:val="auto"/>
          <w:spacing w:val="4"/>
          <w:kern w:val="0"/>
          <w:sz w:val="30"/>
          <w:szCs w:val="30"/>
          <w:highlight w:val="none"/>
        </w:rPr>
        <w:t xml:space="preserve">日  期： </w:t>
      </w:r>
      <w:r>
        <w:rPr>
          <w:rFonts w:hint="eastAsia" w:ascii="宋体" w:hAnsi="宋体"/>
          <w:color w:val="auto"/>
          <w:highlight w:val="none"/>
          <w:u w:val="single"/>
        </w:rPr>
        <w:t xml:space="preserve">                                       </w:t>
      </w:r>
    </w:p>
    <w:p>
      <w:pPr>
        <w:pStyle w:val="21"/>
        <w:rPr>
          <w:color w:val="auto"/>
          <w:highlight w:val="none"/>
        </w:rPr>
      </w:pPr>
      <w:r>
        <w:rPr>
          <w:rFonts w:hAnsi="宋体"/>
          <w:color w:val="auto"/>
          <w:highlight w:val="none"/>
          <w:u w:val="single"/>
        </w:rPr>
        <w:br w:type="page"/>
      </w:r>
      <w:r>
        <w:rPr>
          <w:rFonts w:hint="eastAsia"/>
          <w:color w:val="auto"/>
          <w:highlight w:val="none"/>
        </w:rPr>
        <w:t>格式一：</w:t>
      </w:r>
    </w:p>
    <w:p>
      <w:pPr>
        <w:tabs>
          <w:tab w:val="left" w:pos="720"/>
        </w:tabs>
        <w:snapToGrid w:val="0"/>
        <w:spacing w:line="360" w:lineRule="auto"/>
        <w:jc w:val="center"/>
        <w:rPr>
          <w:b/>
          <w:bCs/>
          <w:color w:val="auto"/>
          <w:sz w:val="28"/>
          <w:szCs w:val="28"/>
          <w:highlight w:val="none"/>
        </w:rPr>
      </w:pPr>
      <w:r>
        <w:rPr>
          <w:rFonts w:hint="eastAsia"/>
          <w:b/>
          <w:bCs/>
          <w:color w:val="auto"/>
          <w:sz w:val="28"/>
          <w:szCs w:val="28"/>
          <w:highlight w:val="none"/>
        </w:rPr>
        <w:t>参与编制经济标投标文件人员名单</w:t>
      </w:r>
    </w:p>
    <w:tbl>
      <w:tblPr>
        <w:tblStyle w:val="38"/>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1830"/>
        <w:gridCol w:w="144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37" w:type="dxa"/>
            <w:gridSpan w:val="6"/>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183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rPr>
          <w:color w:val="auto"/>
          <w:highlight w:val="none"/>
        </w:rPr>
      </w:pPr>
      <w:r>
        <w:rPr>
          <w:rFonts w:hint="eastAsia"/>
          <w:color w:val="auto"/>
          <w:szCs w:val="21"/>
          <w:highlight w:val="none"/>
        </w:rPr>
        <w:t>注：参与编制投标文件所有人员名单应包括如编制各种专业工程量清单投标报价、负责清样校对、负责打印及复印等所有人员在内的人员名单。</w:t>
      </w:r>
    </w:p>
    <w:p>
      <w:pPr>
        <w:rPr>
          <w:color w:val="auto"/>
          <w:highlight w:val="none"/>
        </w:rPr>
      </w:pPr>
    </w:p>
    <w:p>
      <w:pPr>
        <w:pStyle w:val="21"/>
        <w:rPr>
          <w:color w:val="auto"/>
          <w:highlight w:val="none"/>
        </w:rPr>
      </w:pPr>
      <w:r>
        <w:rPr>
          <w:color w:val="auto"/>
          <w:highlight w:val="none"/>
        </w:rPr>
        <w:br w:type="page"/>
      </w:r>
      <w:r>
        <w:rPr>
          <w:rFonts w:hint="eastAsia"/>
          <w:color w:val="auto"/>
          <w:highlight w:val="none"/>
        </w:rPr>
        <w:t>格式二：</w:t>
      </w:r>
    </w:p>
    <w:p>
      <w:pPr>
        <w:pStyle w:val="6"/>
        <w:spacing w:line="360" w:lineRule="auto"/>
        <w:ind w:firstLine="0"/>
        <w:jc w:val="center"/>
        <w:rPr>
          <w:rFonts w:ascii="宋体" w:hAnsi="宋体" w:eastAsia="宋体" w:cs="宋体"/>
          <w:color w:val="auto"/>
          <w:sz w:val="32"/>
          <w:szCs w:val="32"/>
          <w:highlight w:val="none"/>
        </w:rPr>
      </w:pPr>
      <w:bookmarkStart w:id="41" w:name="_Hlk124863145"/>
      <w:r>
        <w:rPr>
          <w:rFonts w:hint="eastAsia" w:ascii="宋体" w:hAnsi="宋体" w:eastAsia="宋体" w:cs="宋体"/>
          <w:b/>
          <w:color w:val="auto"/>
          <w:sz w:val="32"/>
          <w:szCs w:val="32"/>
          <w:highlight w:val="none"/>
        </w:rPr>
        <w:t>对投标文件编制的承诺</w:t>
      </w:r>
    </w:p>
    <w:p>
      <w:pPr>
        <w:pStyle w:val="6"/>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本公司授权</w:t>
      </w:r>
      <w:r>
        <w:rPr>
          <w:rFonts w:hint="eastAsia" w:ascii="宋体" w:hAnsi="宋体" w:eastAsia="宋体" w:cs="宋体"/>
          <w:color w:val="auto"/>
          <w:sz w:val="24"/>
          <w:szCs w:val="24"/>
          <w:highlight w:val="none"/>
          <w:u w:val="single"/>
        </w:rPr>
        <w:t xml:space="preserve">         （身份证号：               ）</w:t>
      </w:r>
      <w:r>
        <w:rPr>
          <w:rFonts w:hint="eastAsia" w:ascii="宋体" w:hAnsi="宋体" w:eastAsia="宋体" w:cs="宋体"/>
          <w:color w:val="auto"/>
          <w:sz w:val="24"/>
          <w:szCs w:val="24"/>
          <w:highlight w:val="none"/>
        </w:rPr>
        <w:t>负责对投标文件的编制及内容进行解释、说明，并承诺以下事项：</w:t>
      </w:r>
    </w:p>
    <w:p>
      <w:pPr>
        <w:pStyle w:val="6"/>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1.被授权人清楚投标文件编制的具体情况，包括技术方案文件、工程量清单、以及投标文件的加密打包的理解；</w:t>
      </w:r>
    </w:p>
    <w:p>
      <w:pPr>
        <w:pStyle w:val="6"/>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2.在本项目开标至评标结束前，努力确保被授权人在项目评标所在地附近；</w:t>
      </w:r>
    </w:p>
    <w:p>
      <w:pPr>
        <w:pStyle w:val="6"/>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3.从评标委员会要求澄清起二小时内，被授权人应如实地书面澄清。</w:t>
      </w:r>
    </w:p>
    <w:p>
      <w:pPr>
        <w:pStyle w:val="6"/>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如由于未遵守上述承诺内容之一导致无法进行澄清的，我公司认可和接受评标委员会作出的评审结论。                                 </w:t>
      </w:r>
    </w:p>
    <w:p>
      <w:pPr>
        <w:pStyle w:val="6"/>
        <w:spacing w:after="0" w:line="360" w:lineRule="auto"/>
        <w:ind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6"/>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附件：《投标文件编制情况》</w:t>
      </w:r>
    </w:p>
    <w:p>
      <w:pPr>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投标人名称（盖法人公章）：</w:t>
      </w:r>
      <w:r>
        <w:rPr>
          <w:rFonts w:hint="eastAsia" w:ascii="宋体" w:hAnsi="宋体" w:cs="宋体"/>
          <w:color w:val="auto"/>
          <w:sz w:val="24"/>
          <w:szCs w:val="24"/>
          <w:highlight w:val="none"/>
          <w:u w:val="single"/>
        </w:rPr>
        <w:t xml:space="preserve">                  </w:t>
      </w:r>
    </w:p>
    <w:p>
      <w:pPr>
        <w:spacing w:line="360" w:lineRule="auto"/>
        <w:ind w:firstLine="2160" w:firstLineChars="9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法定代表人或被授权人（签字或盖章）：</w:t>
      </w:r>
      <w:r>
        <w:rPr>
          <w:rFonts w:hint="eastAsia" w:ascii="宋体" w:hAnsi="宋体" w:cs="宋体"/>
          <w:color w:val="auto"/>
          <w:sz w:val="24"/>
          <w:szCs w:val="24"/>
          <w:highlight w:val="none"/>
          <w:u w:val="single"/>
        </w:rPr>
        <w:t xml:space="preserve">                  </w:t>
      </w:r>
    </w:p>
    <w:p>
      <w:pPr>
        <w:spacing w:line="360" w:lineRule="auto"/>
        <w:ind w:firstLine="4440" w:firstLineChars="185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 </w:t>
      </w:r>
      <w:r>
        <w:rPr>
          <w:rFonts w:hint="eastAsia" w:ascii="宋体" w:hAnsi="宋体" w:cs="宋体"/>
          <w:color w:val="auto"/>
          <w:sz w:val="18"/>
          <w:szCs w:val="18"/>
          <w:highlight w:val="none"/>
        </w:rPr>
        <w:t xml:space="preserve"> </w:t>
      </w:r>
      <w:r>
        <w:rPr>
          <w:rFonts w:hint="eastAsia" w:ascii="宋体" w:hAnsi="宋体" w:cs="宋体"/>
          <w:color w:val="auto"/>
          <w:sz w:val="24"/>
          <w:szCs w:val="24"/>
          <w:highlight w:val="none"/>
        </w:rPr>
        <w:t xml:space="preserve">    </w:t>
      </w:r>
    </w:p>
    <w:p>
      <w:pPr>
        <w:pStyle w:val="6"/>
        <w:spacing w:line="360" w:lineRule="auto"/>
        <w:ind w:firstLine="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投标文件编制情况</w:t>
      </w:r>
    </w:p>
    <w:p>
      <w:pPr>
        <w:pStyle w:val="6"/>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1.投标文件报价编制方式: □自行编制的，编制的负责人：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（盖造价工程师执业专用章或全国建设工程造价员章，执业单位应与投标人一致） </w:t>
      </w:r>
      <w:r>
        <w:rPr>
          <w:rFonts w:hint="eastAsia" w:ascii="宋体" w:hAnsi="宋体" w:eastAsia="宋体" w:cs="宋体"/>
          <w:color w:val="auto"/>
          <w:sz w:val="24"/>
          <w:szCs w:val="24"/>
          <w:highlight w:val="none"/>
        </w:rPr>
        <w:t>。□委托编制的，受委托单位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eastAsia="宋体" w:cs="宋体"/>
          <w:color w:val="auto"/>
          <w:sz w:val="24"/>
          <w:szCs w:val="24"/>
          <w:highlight w:val="none"/>
        </w:rPr>
        <w:t>。</w:t>
      </w:r>
    </w:p>
    <w:p>
      <w:pPr>
        <w:pStyle w:val="6"/>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2.投标文件加密打包的电脑情况</w:t>
      </w:r>
    </w:p>
    <w:tbl>
      <w:tblPr>
        <w:tblStyle w:val="38"/>
        <w:tblW w:w="8919" w:type="dxa"/>
        <w:tblInd w:w="0" w:type="dxa"/>
        <w:tblLayout w:type="fixed"/>
        <w:tblCellMar>
          <w:top w:w="0" w:type="dxa"/>
          <w:left w:w="108" w:type="dxa"/>
          <w:bottom w:w="0" w:type="dxa"/>
          <w:right w:w="108" w:type="dxa"/>
        </w:tblCellMar>
      </w:tblPr>
      <w:tblGrid>
        <w:gridCol w:w="8919"/>
      </w:tblGrid>
      <w:tr>
        <w:tblPrEx>
          <w:tblCellMar>
            <w:top w:w="0" w:type="dxa"/>
            <w:left w:w="108" w:type="dxa"/>
            <w:bottom w:w="0" w:type="dxa"/>
            <w:right w:w="108" w:type="dxa"/>
          </w:tblCellMar>
        </w:tblPrEx>
        <w:trPr>
          <w:trHeight w:val="2381" w:hRule="atLeast"/>
        </w:trPr>
        <w:tc>
          <w:tcPr>
            <w:tcW w:w="8919" w:type="dxa"/>
          </w:tcPr>
          <w:p>
            <w:pPr>
              <w:pStyle w:val="6"/>
              <w:spacing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pPr>
              <w:pStyle w:val="6"/>
              <w:spacing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pPr>
              <w:pStyle w:val="6"/>
              <w:spacing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pPr>
              <w:pStyle w:val="6"/>
              <w:spacing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bookmarkEnd w:id="41"/>
    </w:tbl>
    <w:p>
      <w:pPr>
        <w:rPr>
          <w:color w:val="auto"/>
          <w:highlight w:val="none"/>
        </w:rPr>
      </w:pPr>
    </w:p>
    <w:p>
      <w:pPr>
        <w:pStyle w:val="138"/>
        <w:ind w:right="496" w:firstLine="0" w:firstLineChars="0"/>
        <w:jc w:val="left"/>
        <w:rPr>
          <w:color w:val="auto"/>
          <w:highlight w:val="none"/>
        </w:rPr>
      </w:pPr>
      <w:r>
        <w:rPr>
          <w:color w:val="auto"/>
          <w:highlight w:val="none"/>
        </w:rPr>
        <w:br w:type="page"/>
      </w:r>
      <w:r>
        <w:rPr>
          <w:rFonts w:hint="eastAsia"/>
          <w:color w:val="auto"/>
          <w:sz w:val="21"/>
          <w:szCs w:val="21"/>
          <w:highlight w:val="none"/>
        </w:rPr>
        <w:t>格式三：</w:t>
      </w:r>
      <w:bookmarkStart w:id="42" w:name="_Toc530681252"/>
      <w:bookmarkStart w:id="43" w:name="_Toc493089051"/>
      <w:bookmarkStart w:id="44" w:name="_Toc15310093"/>
      <w:bookmarkStart w:id="45" w:name="_Toc15309465"/>
      <w:bookmarkStart w:id="46" w:name="_Toc15311569"/>
      <w:bookmarkStart w:id="47" w:name="_Toc68796619"/>
      <w:bookmarkStart w:id="48" w:name="_Toc26464491"/>
      <w:bookmarkStart w:id="49" w:name="_Toc15309238"/>
      <w:r>
        <w:rPr>
          <w:rFonts w:hint="eastAsia"/>
          <w:color w:val="auto"/>
          <w:highlight w:val="none"/>
        </w:rPr>
        <w:t>经济标投标函</w:t>
      </w:r>
      <w:bookmarkEnd w:id="42"/>
      <w:bookmarkEnd w:id="43"/>
      <w:bookmarkEnd w:id="44"/>
      <w:bookmarkEnd w:id="45"/>
      <w:bookmarkEnd w:id="46"/>
      <w:bookmarkEnd w:id="47"/>
      <w:bookmarkEnd w:id="48"/>
      <w:bookmarkEnd w:id="49"/>
    </w:p>
    <w:p>
      <w:pPr>
        <w:jc w:val="center"/>
        <w:rPr>
          <w:b/>
          <w:color w:val="auto"/>
          <w:sz w:val="30"/>
          <w:szCs w:val="30"/>
          <w:highlight w:val="none"/>
        </w:rPr>
      </w:pPr>
      <w:r>
        <w:rPr>
          <w:rFonts w:hint="eastAsia"/>
          <w:b/>
          <w:color w:val="auto"/>
          <w:sz w:val="30"/>
          <w:szCs w:val="30"/>
          <w:highlight w:val="none"/>
        </w:rPr>
        <w:t>经济标投标函</w:t>
      </w:r>
    </w:p>
    <w:p>
      <w:pPr>
        <w:spacing w:line="360" w:lineRule="auto"/>
        <w:rPr>
          <w:color w:val="auto"/>
          <w:highlight w:val="none"/>
        </w:rPr>
      </w:pPr>
      <w:r>
        <w:rPr>
          <w:rFonts w:hint="eastAsia"/>
          <w:color w:val="auto"/>
          <w:highlight w:val="none"/>
        </w:rPr>
        <w:t>项目名称</w:t>
      </w:r>
      <w:r>
        <w:rPr>
          <w:color w:val="auto"/>
          <w:highlight w:val="none"/>
        </w:rPr>
        <w:t>:__________</w:t>
      </w:r>
    </w:p>
    <w:p>
      <w:pPr>
        <w:spacing w:line="360" w:lineRule="auto"/>
        <w:rPr>
          <w:color w:val="auto"/>
          <w:highlight w:val="none"/>
        </w:rPr>
      </w:pPr>
      <w:r>
        <w:rPr>
          <w:rFonts w:hint="eastAsia"/>
          <w:color w:val="auto"/>
          <w:highlight w:val="none"/>
        </w:rPr>
        <w:t>项目编号</w:t>
      </w:r>
      <w:r>
        <w:rPr>
          <w:color w:val="auto"/>
          <w:highlight w:val="none"/>
        </w:rPr>
        <w:t>:__________</w:t>
      </w:r>
    </w:p>
    <w:p>
      <w:pPr>
        <w:spacing w:line="360" w:lineRule="auto"/>
        <w:rPr>
          <w:color w:val="auto"/>
          <w:highlight w:val="none"/>
        </w:rPr>
      </w:pPr>
      <w:r>
        <w:rPr>
          <w:rFonts w:hint="eastAsia"/>
          <w:color w:val="auto"/>
          <w:highlight w:val="none"/>
        </w:rPr>
        <w:t>广州市白云区太和镇人民政府：</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(1)经考察现场和研究上述工程合同的招标文件、图纸、合同条款、发包人要求、规范、价格清单和其他有关文件后，我方愿以人民币（大写）</w:t>
      </w:r>
      <w:r>
        <w:rPr>
          <w:rFonts w:hint="eastAsia" w:ascii="宋体" w:hAnsi="宋体" w:cs="宋体"/>
          <w:color w:val="auto"/>
          <w:sz w:val="24"/>
          <w:szCs w:val="24"/>
          <w:highlight w:val="none"/>
          <w:u w:val="single"/>
        </w:rPr>
        <w:t xml:space="preserve">     </w:t>
      </w:r>
      <w:r>
        <w:rPr>
          <w:rFonts w:hint="eastAsia" w:ascii="宋体" w:hAnsi="宋体" w:cs="宋体"/>
          <w:color w:val="auto"/>
          <w:highlight w:val="none"/>
        </w:rPr>
        <w:t>的总价或按上述合同条款确定的一个总价和上述图纸、合同条款、发包人要求、规范和价格清单的条件承包上述工程合同的全部内容。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(2)一旦我方中标，我方保证在监理工程师签发的开工通知中明确规定的时间算起______天内完工并移交整个工程。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(3)如果我方中标，我方将按照招标文件的规定提交履约保证金并承担责任。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(4)我方同意本投标书的有效期按投标须知前附表13条的规定为投标截止时间起</w:t>
      </w:r>
      <w:r>
        <w:rPr>
          <w:rFonts w:hint="eastAsia" w:ascii="宋体" w:hAnsi="宋体" w:cs="宋体"/>
          <w:color w:val="auto"/>
          <w:highlight w:val="none"/>
          <w:u w:val="single"/>
        </w:rPr>
        <w:t>120</w:t>
      </w:r>
      <w:r>
        <w:rPr>
          <w:rFonts w:hint="eastAsia" w:ascii="宋体" w:hAnsi="宋体" w:cs="宋体"/>
          <w:color w:val="auto"/>
          <w:highlight w:val="none"/>
        </w:rPr>
        <w:t>天。在此期间内我方的投标有可能中标，我方将受此约束。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(5)除非另外达成协议并生效，贵单位的中标通知和本投标书将构成约束我们双方的合同。</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(6)我方理解：贵单位不一定授标给最低报价的投标或收到的某一投标。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(7)如果在中标公示期间因自身原因失去中标资格后，我方保证不对本次评标过程进行任何投诉。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(8)我方的投标担保与本投标书同时递交。</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(9)如果我方中标，我方将按照贵单位提供的格式签订《廉洁协议书》。</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投标人名称：</w:t>
      </w:r>
      <w:r>
        <w:rPr>
          <w:rFonts w:hint="eastAsia" w:ascii="宋体" w:hAnsi="宋体" w:cs="宋体"/>
          <w:color w:val="auto"/>
          <w:highlight w:val="none"/>
          <w:u w:val="single"/>
        </w:rPr>
        <w:t xml:space="preserve">                      （盖企业公章）</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法定代表人或授权代表：</w:t>
      </w:r>
      <w:r>
        <w:rPr>
          <w:rFonts w:hint="eastAsia" w:ascii="宋体" w:hAnsi="宋体" w:cs="宋体"/>
          <w:color w:val="auto"/>
          <w:highlight w:val="none"/>
          <w:u w:val="single"/>
        </w:rPr>
        <w:t xml:space="preserve">                    (签字或盖章)</w:t>
      </w:r>
    </w:p>
    <w:p>
      <w:pPr>
        <w:spacing w:line="360" w:lineRule="auto"/>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地址：(包括电话、传真号)</w:t>
      </w:r>
      <w:r>
        <w:rPr>
          <w:rFonts w:hint="eastAsia" w:ascii="宋体" w:hAnsi="宋体" w:cs="宋体"/>
          <w:color w:val="auto"/>
          <w:sz w:val="24"/>
          <w:szCs w:val="24"/>
          <w:highlight w:val="none"/>
          <w:u w:val="single"/>
        </w:rPr>
        <w:t xml:space="preserve">                     </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银行帐号：(包括开户行名称、电话等)</w:t>
      </w:r>
      <w:r>
        <w:rPr>
          <w:rFonts w:hint="eastAsia" w:ascii="宋体" w:hAnsi="宋体" w:cs="宋体"/>
          <w:color w:val="auto"/>
          <w:sz w:val="24"/>
          <w:szCs w:val="24"/>
          <w:highlight w:val="none"/>
          <w:u w:val="single"/>
        </w:rPr>
        <w:t xml:space="preserve">                     </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highlight w:val="none"/>
        </w:rPr>
        <w:t>日</w:t>
      </w:r>
    </w:p>
    <w:p>
      <w:pPr>
        <w:tabs>
          <w:tab w:val="left" w:pos="720"/>
        </w:tabs>
        <w:snapToGrid w:val="0"/>
        <w:spacing w:line="360" w:lineRule="auto"/>
        <w:jc w:val="center"/>
        <w:outlineLvl w:val="0"/>
        <w:rPr>
          <w:rStyle w:val="49"/>
          <w:color w:val="auto"/>
          <w:highlight w:val="none"/>
        </w:rPr>
      </w:pPr>
      <w:r>
        <w:rPr>
          <w:b/>
          <w:color w:val="auto"/>
          <w:highlight w:val="none"/>
        </w:rPr>
        <w:br w:type="page"/>
      </w:r>
      <w:bookmarkStart w:id="50" w:name="_Toc2272568"/>
      <w:bookmarkStart w:id="51" w:name="_Toc21525513"/>
      <w:bookmarkStart w:id="52" w:name="_Toc6319"/>
      <w:r>
        <w:rPr>
          <w:rStyle w:val="49"/>
          <w:rFonts w:hint="eastAsia"/>
          <w:color w:val="auto"/>
          <w:highlight w:val="none"/>
          <w:lang w:val="en-US" w:eastAsia="zh-CN"/>
        </w:rPr>
        <w:t>第五章  技术条件（工程建设标准）</w:t>
      </w:r>
      <w:bookmarkEnd w:id="50"/>
      <w:bookmarkEnd w:id="51"/>
      <w:bookmarkEnd w:id="52"/>
    </w:p>
    <w:p>
      <w:pPr>
        <w:pStyle w:val="158"/>
        <w:spacing w:line="360" w:lineRule="auto"/>
        <w:ind w:firstLine="420" w:firstLineChars="200"/>
        <w:rPr>
          <w:rFonts w:hint="default"/>
          <w:color w:val="auto"/>
          <w:highlight w:val="none"/>
        </w:rPr>
      </w:pPr>
      <w:r>
        <w:rPr>
          <w:rFonts w:ascii="宋体" w:hAnsi="宋体"/>
          <w:color w:val="auto"/>
          <w:highlight w:val="none"/>
        </w:rPr>
        <w:t>一、本工程按照国家有关规定、规范进行施工、验收，具体以施工</w:t>
      </w:r>
      <w:r>
        <w:rPr>
          <w:color w:val="auto"/>
          <w:highlight w:val="none"/>
        </w:rPr>
        <w:t>图纸及相关技术和验收标准、遵照招标人相关规定要求为准。</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1、本工程采用的工程建设标准、规范必须遵守现行中华人民共和国以及广东省、广州市或行业最新的工程建设标准及规范，且必须满足设计文件的相关要求。执行的规范及标准，在本项目实施过程中，如有新的规范及标准颁布，应按新的规范及标准执行。</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2、本工程实施中采用的材料、设备与工艺，都必须符合上述标准、规范及设计文件的相应要求。</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3、在招标文件发出之日起至全部合同执行期间，如果所引用的标准和规范有局部的修订或新颁，监理工程师应报发包方批核决定是否采用。如果批准，应由监理工程师发出指令，承包人应执行新的标准或规范，但不得以此为理由要求增加合同费用。</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4、本招标工程所说明的工程规范是以中华人民共和国公布的所有现行规范及地方政府有关的现行规定，承包人须按此等规范执行。</w:t>
      </w:r>
    </w:p>
    <w:p>
      <w:pPr>
        <w:pStyle w:val="159"/>
        <w:tabs>
          <w:tab w:val="left" w:pos="0"/>
        </w:tabs>
        <w:snapToGrid w:val="0"/>
        <w:spacing w:line="420" w:lineRule="exact"/>
        <w:ind w:firstLine="424" w:firstLineChars="202"/>
        <w:rPr>
          <w:rFonts w:hint="default" w:ascii="宋体" w:hAnsi="宋体"/>
          <w:color w:val="auto"/>
          <w:highlight w:val="none"/>
        </w:rPr>
      </w:pPr>
      <w:bookmarkStart w:id="53" w:name="_Toc180499575"/>
      <w:bookmarkStart w:id="54" w:name="_Toc180547418"/>
      <w:bookmarkStart w:id="55" w:name="_Toc180500232"/>
      <w:r>
        <w:rPr>
          <w:rFonts w:ascii="宋体" w:hAnsi="宋体"/>
          <w:color w:val="auto"/>
          <w:highlight w:val="none"/>
        </w:rPr>
        <w:t>5、本招标工程所说明的工程规范亦包括设计说明、施工说明及做法说明和要求等。承包人亦须按此等说明及要求执行，若此等说明及要求与国家规范及地方政府有关的现行规定之间有差异，承包单位须按较高之标准执行。</w:t>
      </w:r>
      <w:bookmarkEnd w:id="53"/>
      <w:bookmarkEnd w:id="54"/>
      <w:bookmarkEnd w:id="55"/>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二、施工组织设计要点</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1、认真分析研究建设方的招标书及其资料，详细做好各方面的调查研究工作，包括对本工程多方面实际情况的清楚了解，确保获得真实详尽的第一手资料。</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 xml:space="preserve">2、重视施工部署和施工方法的选择。 </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2.1组织精干的项目管理班子，确定适应工程施工管理需要的现场管理体系。</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2.2科学准确、合理地安排施工顺序，包括施工流水组织，流水段的划分，工程的交叉、同步作业等。</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2.3提出主要劳动力分阶段投入计划（有人数、工种、技术等级）、施工机械的进出场计划，材料及设备进场计划。</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2.4施工方案要围绕进度计划来制订，对工程量大、占用施工工期长、施工技术复杂、在施工中占有重要地位的施工过程，需要制订具有针对性的施工方案，要充分体现新技术、新工艺、新设备、新材料的应用及优势。编写原则是：重点突出、兼顾全面、结合实际、先进合理、语言简练。</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 xml:space="preserve">3、编制好进度计划 </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3.1进度计划是施工组织设计的中心。编制者首先要根据工期定额和本单位自身的人力、物力、机械化程度，计算出在正常情况下能够取得理想效益的最佳工期，和投标书要求的工期进行比较、调整，但进度计划编制时的控制工期要比招标书要求的工期略有提前。必须从实际出发，根据控制工期、建设项目的规模、结构、资金提供情况，制定出一个优化的进度计划，不仅要明确重要节点的完成日期，有时候对复杂的施工过程，还要排出详细的进度计划。同时必须制订好相应的保证工期的措施，使进度计划能够得到确保。</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 xml:space="preserve">3.2施工组织设计的进度计划要求用条形图，其进度表清楚、明了，或者采用网络图，更好地反映工序间的流水、交叉、配合作业，并更适合计算机管理。 </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 xml:space="preserve">4、制订好保证工程质量的技术措施，质量是工程建设的核心，中标者应根据招标书中要求的质量等级或高一级的质量等级和企业的自身素质，施工验收规范、质量等级评定标准来制订保证质量的技术措施，切不能低于招标书及图纸要求的质量等级。 </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 xml:space="preserve">4.1为了达到既定质量等级，必须建立完善的质量保证体系（注意其与企业质保体系的区别），一是该项目质量管理的组织体系；二是该项目质量管理人员的质量职责和权限以及质量保证体系动作的工作程序等。 </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4.2工程质量保证措施，一是制定各分部、分项工程中重点部分、特殊部位的质量保证措施；二是易发生质量通病的施工部位、施工工序的质量预防措施。</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5、制订好安全技术措施。必须制订相应的切实可行的保护措施，以确保安全。</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6、规划好施工平面布置图，搞好文明施工。</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 xml:space="preserve">7、施工组织设计的管理 </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 xml:space="preserve">7.1实行动态管理 </w:t>
      </w:r>
    </w:p>
    <w:p>
      <w:pPr>
        <w:pStyle w:val="159"/>
        <w:tabs>
          <w:tab w:val="left" w:pos="0"/>
        </w:tabs>
        <w:snapToGrid w:val="0"/>
        <w:spacing w:line="420" w:lineRule="exact"/>
        <w:ind w:firstLine="424" w:firstLineChars="202"/>
        <w:rPr>
          <w:rFonts w:hint="default" w:ascii="宋体" w:hAnsi="宋体"/>
          <w:color w:val="auto"/>
          <w:highlight w:val="none"/>
        </w:rPr>
      </w:pPr>
      <w:r>
        <w:rPr>
          <w:rFonts w:ascii="宋体" w:hAnsi="宋体"/>
          <w:color w:val="auto"/>
          <w:highlight w:val="none"/>
        </w:rPr>
        <w:t>工程施工过程中，不可避免地会遇到意想不到的各种问题，如设计变更、自然因素等影响，各阶段施工进程的变化造成的现场方案的调整，因此必须根据变化了的现场实际进行动态管理，对施工组织设计中不适宜部分进行必要的修改、补充、优化，以达到既定的建设目标。</w:t>
      </w:r>
    </w:p>
    <w:p>
      <w:pPr>
        <w:pStyle w:val="4"/>
        <w:jc w:val="center"/>
        <w:rPr>
          <w:color w:val="auto"/>
          <w:highlight w:val="none"/>
        </w:rPr>
      </w:pPr>
      <w:r>
        <w:rPr>
          <w:color w:val="auto"/>
          <w:sz w:val="24"/>
          <w:szCs w:val="24"/>
          <w:highlight w:val="none"/>
        </w:rPr>
        <w:br w:type="page"/>
      </w:r>
      <w:bookmarkStart w:id="56" w:name="_Toc21525514"/>
      <w:bookmarkStart w:id="57" w:name="_Toc2272569"/>
      <w:bookmarkStart w:id="58" w:name="_Toc9984"/>
      <w:r>
        <w:rPr>
          <w:rFonts w:hint="eastAsia"/>
          <w:color w:val="auto"/>
          <w:highlight w:val="none"/>
        </w:rPr>
        <w:t>第六章  图纸及勘察资料</w:t>
      </w:r>
      <w:bookmarkEnd w:id="56"/>
      <w:bookmarkEnd w:id="57"/>
      <w:bookmarkEnd w:id="58"/>
    </w:p>
    <w:p>
      <w:pPr>
        <w:jc w:val="center"/>
        <w:rPr>
          <w:rFonts w:ascii="宋体"/>
          <w:b/>
          <w:bCs/>
          <w:color w:val="auto"/>
          <w:sz w:val="24"/>
          <w:szCs w:val="24"/>
          <w:highlight w:val="none"/>
        </w:rPr>
      </w:pPr>
      <w:r>
        <w:rPr>
          <w:rFonts w:hint="eastAsia" w:ascii="宋体" w:hAnsi="宋体"/>
          <w:b/>
          <w:bCs/>
          <w:color w:val="auto"/>
          <w:sz w:val="24"/>
          <w:szCs w:val="24"/>
          <w:highlight w:val="none"/>
        </w:rPr>
        <w:t>（另册）</w:t>
      </w:r>
    </w:p>
    <w:p>
      <w:pPr>
        <w:pStyle w:val="4"/>
        <w:jc w:val="center"/>
        <w:rPr>
          <w:color w:val="auto"/>
          <w:highlight w:val="none"/>
        </w:rPr>
      </w:pPr>
      <w:r>
        <w:rPr>
          <w:color w:val="auto"/>
          <w:sz w:val="24"/>
          <w:szCs w:val="24"/>
          <w:highlight w:val="none"/>
        </w:rPr>
        <w:br w:type="page"/>
      </w:r>
      <w:bookmarkStart w:id="59" w:name="_Toc2272570"/>
      <w:bookmarkStart w:id="60" w:name="_Toc21525515"/>
      <w:bookmarkStart w:id="61" w:name="_Toc9055"/>
      <w:r>
        <w:rPr>
          <w:rStyle w:val="49"/>
          <w:rFonts w:hint="eastAsia" w:cs="Times New Roman"/>
          <w:b/>
          <w:color w:val="auto"/>
          <w:szCs w:val="22"/>
          <w:highlight w:val="none"/>
          <w:lang w:val="en-US" w:eastAsia="zh-CN" w:bidi="ar-SA"/>
        </w:rPr>
        <w:t>第七章  工程量清单</w:t>
      </w:r>
      <w:bookmarkEnd w:id="59"/>
      <w:bookmarkEnd w:id="60"/>
      <w:bookmarkEnd w:id="61"/>
    </w:p>
    <w:p>
      <w:pPr>
        <w:jc w:val="center"/>
        <w:rPr>
          <w:rFonts w:ascii="宋体" w:hAnsi="宋体"/>
          <w:b/>
          <w:bCs/>
          <w:color w:val="auto"/>
          <w:sz w:val="24"/>
          <w:szCs w:val="24"/>
          <w:highlight w:val="none"/>
        </w:rPr>
      </w:pPr>
      <w:r>
        <w:rPr>
          <w:rFonts w:hint="eastAsia" w:ascii="宋体" w:hAnsi="宋体"/>
          <w:b/>
          <w:bCs/>
          <w:color w:val="auto"/>
          <w:sz w:val="24"/>
          <w:szCs w:val="24"/>
          <w:highlight w:val="none"/>
        </w:rPr>
        <w:t>（另册）</w:t>
      </w:r>
    </w:p>
    <w:p>
      <w:pPr>
        <w:pStyle w:val="21"/>
        <w:rPr>
          <w:color w:val="auto"/>
          <w:highlight w:val="none"/>
        </w:rPr>
      </w:pPr>
    </w:p>
    <w:p>
      <w:pPr>
        <w:pStyle w:val="21"/>
        <w:rPr>
          <w:color w:val="auto"/>
          <w:highlight w:val="none"/>
        </w:rPr>
      </w:pPr>
    </w:p>
    <w:p>
      <w:pPr>
        <w:pStyle w:val="6"/>
        <w:spacing w:after="0" w:line="360" w:lineRule="auto"/>
        <w:ind w:left="-2" w:leftChars="-1" w:firstLine="960" w:firstLineChars="400"/>
        <w:rPr>
          <w:rFonts w:ascii="宋体"/>
          <w:color w:val="auto"/>
          <w:sz w:val="24"/>
          <w:highlight w:val="none"/>
        </w:rPr>
      </w:pPr>
    </w:p>
    <w:p>
      <w:pPr>
        <w:rPr>
          <w:color w:val="auto"/>
          <w:highlight w:val="none"/>
        </w:rPr>
      </w:pPr>
    </w:p>
    <w:p>
      <w:pPr>
        <w:pStyle w:val="4"/>
        <w:jc w:val="center"/>
        <w:rPr>
          <w:rFonts w:ascii="宋体"/>
          <w:color w:val="auto"/>
          <w:highlight w:val="none"/>
        </w:rPr>
      </w:pPr>
      <w:r>
        <w:rPr>
          <w:color w:val="auto"/>
          <w:sz w:val="24"/>
          <w:szCs w:val="24"/>
          <w:highlight w:val="none"/>
        </w:rPr>
        <w:br w:type="page"/>
      </w:r>
      <w:bookmarkStart w:id="62" w:name="_Toc2272571"/>
      <w:bookmarkStart w:id="63" w:name="_Toc21525516"/>
      <w:bookmarkStart w:id="64" w:name="_Toc28799"/>
      <w:r>
        <w:rPr>
          <w:rStyle w:val="49"/>
          <w:rFonts w:hint="eastAsia" w:cs="Times New Roman"/>
          <w:b/>
          <w:color w:val="auto"/>
          <w:szCs w:val="22"/>
          <w:highlight w:val="none"/>
          <w:lang w:val="en-US" w:eastAsia="zh-CN" w:bidi="ar-SA"/>
        </w:rPr>
        <w:t>第八章  最高投标限价</w:t>
      </w:r>
      <w:bookmarkEnd w:id="62"/>
      <w:bookmarkEnd w:id="63"/>
      <w:bookmarkEnd w:id="64"/>
    </w:p>
    <w:p>
      <w:pPr>
        <w:jc w:val="center"/>
        <w:rPr>
          <w:rFonts w:ascii="宋体"/>
          <w:b/>
          <w:bCs/>
          <w:color w:val="auto"/>
          <w:sz w:val="24"/>
          <w:szCs w:val="24"/>
          <w:highlight w:val="none"/>
        </w:rPr>
      </w:pPr>
      <w:r>
        <w:rPr>
          <w:rFonts w:hint="eastAsia" w:ascii="宋体" w:hAnsi="宋体"/>
          <w:b/>
          <w:bCs/>
          <w:color w:val="auto"/>
          <w:sz w:val="24"/>
          <w:szCs w:val="24"/>
          <w:highlight w:val="none"/>
        </w:rPr>
        <w:t>（另册）</w:t>
      </w:r>
    </w:p>
    <w:p>
      <w:pPr>
        <w:spacing w:line="360" w:lineRule="auto"/>
        <w:ind w:firstLine="480"/>
        <w:rPr>
          <w:color w:val="auto"/>
          <w:highlight w:val="none"/>
        </w:rPr>
      </w:pPr>
    </w:p>
    <w:p>
      <w:pPr>
        <w:spacing w:line="360" w:lineRule="auto"/>
        <w:ind w:firstLine="3828"/>
        <w:rPr>
          <w:rFonts w:ascii="宋体"/>
          <w:color w:val="auto"/>
          <w:sz w:val="24"/>
          <w:szCs w:val="24"/>
          <w:highlight w:val="none"/>
          <w:u w:val="single"/>
        </w:rPr>
      </w:pPr>
    </w:p>
    <w:p>
      <w:pPr>
        <w:rPr>
          <w:color w:val="auto"/>
          <w:highlight w:val="none"/>
        </w:rPr>
      </w:pPr>
    </w:p>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仿宋"/>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Calisto MT">
    <w:altName w:val="Segoe Print"/>
    <w:panose1 w:val="00000000000000000000"/>
    <w:charset w:val="00"/>
    <w:family w:val="roman"/>
    <w:pitch w:val="default"/>
    <w:sig w:usb0="00000000"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方正大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50</w:t>
    </w:r>
    <w:r>
      <w:fldChar w:fldCharType="end"/>
    </w:r>
  </w:p>
  <w:p>
    <w:pPr>
      <w:pStyle w:val="26"/>
      <w:ind w:firstLine="392"/>
      <w:jc w:val="right"/>
      <w:rPr>
        <w:rStyle w:val="4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rPr>
        <w:rStyle w:val="43"/>
      </w:rPr>
    </w:pPr>
    <w:r>
      <w:rPr>
        <w:rStyle w:val="43"/>
      </w:rPr>
      <w:fldChar w:fldCharType="begin"/>
    </w:r>
    <w:r>
      <w:rPr>
        <w:rStyle w:val="43"/>
      </w:rPr>
      <w:instrText xml:space="preserve">PAGE  </w:instrText>
    </w:r>
    <w:r>
      <w:rPr>
        <w:rStyle w:val="43"/>
      </w:rPr>
      <w:fldChar w:fldCharType="separate"/>
    </w:r>
    <w:r>
      <w:rPr>
        <w:rStyle w:val="43"/>
        <w:rFonts w:hint="eastAsia"/>
      </w:rPr>
      <w:t>一</w:t>
    </w:r>
    <w:r>
      <w:rPr>
        <w:rStyle w:val="43"/>
      </w:rPr>
      <w:t>–2</w:t>
    </w:r>
    <w:r>
      <w:rPr>
        <w:rStyle w:val="43"/>
      </w:rPr>
      <w:fldChar w:fldCharType="end"/>
    </w:r>
  </w:p>
  <w:p>
    <w:pPr>
      <w:pStyle w:val="26"/>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jc w:val="center"/>
      <w:rPr>
        <w:rStyle w:val="43"/>
      </w:rPr>
    </w:pPr>
    <w:r>
      <w:rPr>
        <w:rStyle w:val="43"/>
      </w:rPr>
      <w:fldChar w:fldCharType="begin"/>
    </w:r>
    <w:r>
      <w:rPr>
        <w:rStyle w:val="43"/>
      </w:rPr>
      <w:instrText xml:space="preserve">PAGE  </w:instrText>
    </w:r>
    <w:r>
      <w:rPr>
        <w:rStyle w:val="43"/>
      </w:rPr>
      <w:fldChar w:fldCharType="separate"/>
    </w:r>
    <w:r>
      <w:rPr>
        <w:rStyle w:val="43"/>
      </w:rPr>
      <w:t>55</w:t>
    </w:r>
    <w:r>
      <w:rPr>
        <w:rStyle w:val="43"/>
      </w:rPr>
      <w:fldChar w:fldCharType="end"/>
    </w:r>
  </w:p>
  <w:p>
    <w:pPr>
      <w:pStyle w:val="26"/>
      <w:framePr w:wrap="around" w:vAnchor="text" w:hAnchor="margin" w:xAlign="outside" w:y="1"/>
      <w:ind w:left="-4410" w:leftChars="-2100" w:right="-4439" w:rightChars="-2114"/>
      <w:rPr>
        <w:rStyle w:val="43"/>
      </w:rPr>
    </w:pPr>
  </w:p>
  <w:p>
    <w:pPr>
      <w:pStyle w:val="2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Style w:val="43"/>
      </w:rPr>
      <w:fldChar w:fldCharType="begin"/>
    </w:r>
    <w:r>
      <w:rPr>
        <w:rStyle w:val="43"/>
      </w:rPr>
      <w:instrText xml:space="preserve"> PAGE </w:instrText>
    </w:r>
    <w:r>
      <w:rPr>
        <w:rStyle w:val="43"/>
      </w:rPr>
      <w:fldChar w:fldCharType="separate"/>
    </w:r>
    <w:r>
      <w:rPr>
        <w:rStyle w:val="43"/>
      </w:rPr>
      <w:t>51</w:t>
    </w:r>
    <w:r>
      <w:rPr>
        <w:rStyle w:val="4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67B48"/>
    <w:multiLevelType w:val="singleLevel"/>
    <w:tmpl w:val="CAF67B48"/>
    <w:lvl w:ilvl="0" w:tentative="0">
      <w:start w:val="1"/>
      <w:numFmt w:val="decimal"/>
      <w:suff w:val="nothing"/>
      <w:lvlText w:val="%1、"/>
      <w:lvlJc w:val="left"/>
    </w:lvl>
  </w:abstractNum>
  <w:abstractNum w:abstractNumId="1">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59905B5"/>
    <w:multiLevelType w:val="multilevel"/>
    <w:tmpl w:val="259905B5"/>
    <w:lvl w:ilvl="0" w:tentative="0">
      <w:start w:val="1"/>
      <w:numFmt w:val="chineseCountingThousand"/>
      <w:pStyle w:val="129"/>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1"/>
      <w:suff w:val="space"/>
      <w:lvlText w:val="%2.%3.%4"/>
      <w:lvlJc w:val="left"/>
      <w:pPr>
        <w:ind w:left="284" w:hanging="284"/>
      </w:pPr>
      <w:rPr>
        <w:rFonts w:hint="eastAsia" w:ascii="宋体" w:eastAsia="宋体" w:cs="Times New Roman"/>
        <w:b/>
        <w:i w:val="0"/>
        <w:sz w:val="28"/>
      </w:rPr>
    </w:lvl>
    <w:lvl w:ilvl="4" w:tentative="0">
      <w:start w:val="1"/>
      <w:numFmt w:val="decimal"/>
      <w:pStyle w:val="12"/>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4"/>
      <w:suff w:val="nothing"/>
      <w:lvlText w:val=""/>
      <w:lvlJc w:val="left"/>
      <w:rPr>
        <w:rFonts w:hint="eastAsia" w:cs="Times New Roman"/>
      </w:rPr>
    </w:lvl>
    <w:lvl w:ilvl="7" w:tentative="0">
      <w:start w:val="1"/>
      <w:numFmt w:val="none"/>
      <w:pStyle w:val="15"/>
      <w:suff w:val="nothing"/>
      <w:lvlText w:val=""/>
      <w:lvlJc w:val="left"/>
      <w:rPr>
        <w:rFonts w:hint="eastAsia" w:cs="Times New Roman"/>
      </w:rPr>
    </w:lvl>
    <w:lvl w:ilvl="8" w:tentative="0">
      <w:start w:val="1"/>
      <w:numFmt w:val="none"/>
      <w:pStyle w:val="16"/>
      <w:suff w:val="nothing"/>
      <w:lvlText w:val=""/>
      <w:lvlJc w:val="left"/>
      <w:rPr>
        <w:rFonts w:hint="eastAsia" w:cs="Times New Roman"/>
      </w:rPr>
    </w:lvl>
  </w:abstractNum>
  <w:abstractNum w:abstractNumId="3">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3"/>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MTdmZTAwNzUwNjFjMjA5YjY0MjBmNmZjYjYxNWYifQ=="/>
  </w:docVars>
  <w:rsids>
    <w:rsidRoot w:val="001D1CDC"/>
    <w:rsid w:val="0000061C"/>
    <w:rsid w:val="0000713E"/>
    <w:rsid w:val="00007CA4"/>
    <w:rsid w:val="000102E1"/>
    <w:rsid w:val="0001284F"/>
    <w:rsid w:val="00017827"/>
    <w:rsid w:val="000208F0"/>
    <w:rsid w:val="000244EF"/>
    <w:rsid w:val="00027088"/>
    <w:rsid w:val="000271FF"/>
    <w:rsid w:val="00030070"/>
    <w:rsid w:val="00031FB6"/>
    <w:rsid w:val="000341F7"/>
    <w:rsid w:val="00034305"/>
    <w:rsid w:val="00036104"/>
    <w:rsid w:val="000452AC"/>
    <w:rsid w:val="00046CB5"/>
    <w:rsid w:val="000478F3"/>
    <w:rsid w:val="00052A46"/>
    <w:rsid w:val="00054581"/>
    <w:rsid w:val="00057043"/>
    <w:rsid w:val="00057722"/>
    <w:rsid w:val="0006474B"/>
    <w:rsid w:val="0006792B"/>
    <w:rsid w:val="00070EEC"/>
    <w:rsid w:val="00073C44"/>
    <w:rsid w:val="0007574C"/>
    <w:rsid w:val="00081194"/>
    <w:rsid w:val="00081ADE"/>
    <w:rsid w:val="00083271"/>
    <w:rsid w:val="000853C1"/>
    <w:rsid w:val="000A15AE"/>
    <w:rsid w:val="000A6C1D"/>
    <w:rsid w:val="000B2043"/>
    <w:rsid w:val="000B29D3"/>
    <w:rsid w:val="000B57DC"/>
    <w:rsid w:val="000B65B5"/>
    <w:rsid w:val="000B7E37"/>
    <w:rsid w:val="000C570F"/>
    <w:rsid w:val="000D3F91"/>
    <w:rsid w:val="000E3530"/>
    <w:rsid w:val="000E3941"/>
    <w:rsid w:val="000E4038"/>
    <w:rsid w:val="000E6828"/>
    <w:rsid w:val="000F0786"/>
    <w:rsid w:val="000F1BF1"/>
    <w:rsid w:val="000F5B85"/>
    <w:rsid w:val="000F6671"/>
    <w:rsid w:val="00101E5E"/>
    <w:rsid w:val="00101F17"/>
    <w:rsid w:val="001042E7"/>
    <w:rsid w:val="0010465D"/>
    <w:rsid w:val="001046B9"/>
    <w:rsid w:val="00106902"/>
    <w:rsid w:val="001079F4"/>
    <w:rsid w:val="00107A32"/>
    <w:rsid w:val="00110892"/>
    <w:rsid w:val="00113890"/>
    <w:rsid w:val="001143F1"/>
    <w:rsid w:val="001145B2"/>
    <w:rsid w:val="001153DD"/>
    <w:rsid w:val="00117A9E"/>
    <w:rsid w:val="00125D0A"/>
    <w:rsid w:val="001275CD"/>
    <w:rsid w:val="00133A19"/>
    <w:rsid w:val="00137DD5"/>
    <w:rsid w:val="001414FB"/>
    <w:rsid w:val="0014209C"/>
    <w:rsid w:val="00142519"/>
    <w:rsid w:val="00142D3A"/>
    <w:rsid w:val="00144F40"/>
    <w:rsid w:val="00150ADF"/>
    <w:rsid w:val="00154034"/>
    <w:rsid w:val="00154EAD"/>
    <w:rsid w:val="00156BA0"/>
    <w:rsid w:val="001628B1"/>
    <w:rsid w:val="00162DB1"/>
    <w:rsid w:val="0016457B"/>
    <w:rsid w:val="00165931"/>
    <w:rsid w:val="00170053"/>
    <w:rsid w:val="001705C7"/>
    <w:rsid w:val="00172096"/>
    <w:rsid w:val="001745C4"/>
    <w:rsid w:val="00174EB5"/>
    <w:rsid w:val="00175B46"/>
    <w:rsid w:val="00177761"/>
    <w:rsid w:val="00183F44"/>
    <w:rsid w:val="0018440D"/>
    <w:rsid w:val="00187077"/>
    <w:rsid w:val="001917B2"/>
    <w:rsid w:val="00194012"/>
    <w:rsid w:val="001970E0"/>
    <w:rsid w:val="0019759F"/>
    <w:rsid w:val="001A140B"/>
    <w:rsid w:val="001A1F35"/>
    <w:rsid w:val="001B0611"/>
    <w:rsid w:val="001B2AF7"/>
    <w:rsid w:val="001B6F8D"/>
    <w:rsid w:val="001B773C"/>
    <w:rsid w:val="001C1EB9"/>
    <w:rsid w:val="001C325D"/>
    <w:rsid w:val="001C48D8"/>
    <w:rsid w:val="001C6D66"/>
    <w:rsid w:val="001C7A43"/>
    <w:rsid w:val="001C7F25"/>
    <w:rsid w:val="001D016B"/>
    <w:rsid w:val="001D1CDC"/>
    <w:rsid w:val="001D29D7"/>
    <w:rsid w:val="001E4DB4"/>
    <w:rsid w:val="001E75EA"/>
    <w:rsid w:val="001F0F45"/>
    <w:rsid w:val="001F30E1"/>
    <w:rsid w:val="001F5361"/>
    <w:rsid w:val="001F5BB4"/>
    <w:rsid w:val="001F798D"/>
    <w:rsid w:val="00203FED"/>
    <w:rsid w:val="00204474"/>
    <w:rsid w:val="00204634"/>
    <w:rsid w:val="00206AA3"/>
    <w:rsid w:val="002113F1"/>
    <w:rsid w:val="002161A4"/>
    <w:rsid w:val="00222079"/>
    <w:rsid w:val="002239DD"/>
    <w:rsid w:val="00223C2A"/>
    <w:rsid w:val="0022534E"/>
    <w:rsid w:val="00226775"/>
    <w:rsid w:val="002338D2"/>
    <w:rsid w:val="00233DE5"/>
    <w:rsid w:val="002364BA"/>
    <w:rsid w:val="002421BE"/>
    <w:rsid w:val="002423D5"/>
    <w:rsid w:val="002426B5"/>
    <w:rsid w:val="00242BD7"/>
    <w:rsid w:val="00243640"/>
    <w:rsid w:val="002440DC"/>
    <w:rsid w:val="00246AE8"/>
    <w:rsid w:val="00255B86"/>
    <w:rsid w:val="00255F33"/>
    <w:rsid w:val="002576CB"/>
    <w:rsid w:val="00257B07"/>
    <w:rsid w:val="00262523"/>
    <w:rsid w:val="00264753"/>
    <w:rsid w:val="002647DE"/>
    <w:rsid w:val="0026636E"/>
    <w:rsid w:val="00270AB6"/>
    <w:rsid w:val="00274718"/>
    <w:rsid w:val="00281B59"/>
    <w:rsid w:val="00282627"/>
    <w:rsid w:val="002900A6"/>
    <w:rsid w:val="0029052B"/>
    <w:rsid w:val="00290FB6"/>
    <w:rsid w:val="002948C0"/>
    <w:rsid w:val="00297501"/>
    <w:rsid w:val="00297BAF"/>
    <w:rsid w:val="002A0F33"/>
    <w:rsid w:val="002A23F4"/>
    <w:rsid w:val="002A441D"/>
    <w:rsid w:val="002A4638"/>
    <w:rsid w:val="002B08BA"/>
    <w:rsid w:val="002B2884"/>
    <w:rsid w:val="002B6B28"/>
    <w:rsid w:val="002C012C"/>
    <w:rsid w:val="002C6603"/>
    <w:rsid w:val="002C7E88"/>
    <w:rsid w:val="002D2406"/>
    <w:rsid w:val="002D314E"/>
    <w:rsid w:val="002D504D"/>
    <w:rsid w:val="002D5080"/>
    <w:rsid w:val="002D5AA7"/>
    <w:rsid w:val="002D68CA"/>
    <w:rsid w:val="002E1815"/>
    <w:rsid w:val="002E2933"/>
    <w:rsid w:val="002E2A93"/>
    <w:rsid w:val="002E2A95"/>
    <w:rsid w:val="002E4A58"/>
    <w:rsid w:val="002E7EFE"/>
    <w:rsid w:val="002F17CA"/>
    <w:rsid w:val="002F6EE7"/>
    <w:rsid w:val="002F6F2D"/>
    <w:rsid w:val="00303183"/>
    <w:rsid w:val="0030537E"/>
    <w:rsid w:val="00305C4A"/>
    <w:rsid w:val="00307A0C"/>
    <w:rsid w:val="003142AA"/>
    <w:rsid w:val="003152FB"/>
    <w:rsid w:val="00323760"/>
    <w:rsid w:val="00323A93"/>
    <w:rsid w:val="00324176"/>
    <w:rsid w:val="00324918"/>
    <w:rsid w:val="00324E2B"/>
    <w:rsid w:val="003264F7"/>
    <w:rsid w:val="00331B65"/>
    <w:rsid w:val="00332C40"/>
    <w:rsid w:val="003361CE"/>
    <w:rsid w:val="00342F37"/>
    <w:rsid w:val="00346C4A"/>
    <w:rsid w:val="0034748E"/>
    <w:rsid w:val="0036203F"/>
    <w:rsid w:val="00362401"/>
    <w:rsid w:val="00362535"/>
    <w:rsid w:val="00364A35"/>
    <w:rsid w:val="00365ED1"/>
    <w:rsid w:val="0036708C"/>
    <w:rsid w:val="00370196"/>
    <w:rsid w:val="00370DE1"/>
    <w:rsid w:val="0037143C"/>
    <w:rsid w:val="00371A3B"/>
    <w:rsid w:val="00371FD7"/>
    <w:rsid w:val="00375758"/>
    <w:rsid w:val="003758D2"/>
    <w:rsid w:val="003825B7"/>
    <w:rsid w:val="003829F7"/>
    <w:rsid w:val="003864CF"/>
    <w:rsid w:val="003905A8"/>
    <w:rsid w:val="003906DF"/>
    <w:rsid w:val="0039293B"/>
    <w:rsid w:val="003932FD"/>
    <w:rsid w:val="003977D7"/>
    <w:rsid w:val="00397F22"/>
    <w:rsid w:val="003A05A5"/>
    <w:rsid w:val="003A124B"/>
    <w:rsid w:val="003B43E2"/>
    <w:rsid w:val="003B452E"/>
    <w:rsid w:val="003C2442"/>
    <w:rsid w:val="003C587D"/>
    <w:rsid w:val="003C60BE"/>
    <w:rsid w:val="003C66C9"/>
    <w:rsid w:val="003D2084"/>
    <w:rsid w:val="003D4A68"/>
    <w:rsid w:val="003D5938"/>
    <w:rsid w:val="003F32E1"/>
    <w:rsid w:val="003F6217"/>
    <w:rsid w:val="003F6BFB"/>
    <w:rsid w:val="003F7355"/>
    <w:rsid w:val="00400EFA"/>
    <w:rsid w:val="00401C9A"/>
    <w:rsid w:val="004042B2"/>
    <w:rsid w:val="00405DB3"/>
    <w:rsid w:val="00406EE1"/>
    <w:rsid w:val="00407D6E"/>
    <w:rsid w:val="00412976"/>
    <w:rsid w:val="00412C51"/>
    <w:rsid w:val="00412DC9"/>
    <w:rsid w:val="00414EE3"/>
    <w:rsid w:val="00416731"/>
    <w:rsid w:val="0042069B"/>
    <w:rsid w:val="00421235"/>
    <w:rsid w:val="004228C9"/>
    <w:rsid w:val="00426DE4"/>
    <w:rsid w:val="00432228"/>
    <w:rsid w:val="00440DCA"/>
    <w:rsid w:val="00450D7C"/>
    <w:rsid w:val="00451FAE"/>
    <w:rsid w:val="0045271B"/>
    <w:rsid w:val="0045289E"/>
    <w:rsid w:val="00455284"/>
    <w:rsid w:val="004608D7"/>
    <w:rsid w:val="00470651"/>
    <w:rsid w:val="00470A49"/>
    <w:rsid w:val="00471480"/>
    <w:rsid w:val="0047236F"/>
    <w:rsid w:val="00473B87"/>
    <w:rsid w:val="00474164"/>
    <w:rsid w:val="00475293"/>
    <w:rsid w:val="00483CFA"/>
    <w:rsid w:val="00490F54"/>
    <w:rsid w:val="00493C9E"/>
    <w:rsid w:val="00494CF5"/>
    <w:rsid w:val="004A1CF6"/>
    <w:rsid w:val="004A7728"/>
    <w:rsid w:val="004B43FB"/>
    <w:rsid w:val="004B5CE6"/>
    <w:rsid w:val="004B774A"/>
    <w:rsid w:val="004C090C"/>
    <w:rsid w:val="004C4630"/>
    <w:rsid w:val="004C47E3"/>
    <w:rsid w:val="004C7167"/>
    <w:rsid w:val="004D2DD2"/>
    <w:rsid w:val="004D3271"/>
    <w:rsid w:val="004D436A"/>
    <w:rsid w:val="004D6F75"/>
    <w:rsid w:val="004E0450"/>
    <w:rsid w:val="004E1BD1"/>
    <w:rsid w:val="004E2584"/>
    <w:rsid w:val="004E29F0"/>
    <w:rsid w:val="004E2BEC"/>
    <w:rsid w:val="004E69A0"/>
    <w:rsid w:val="004F0C1C"/>
    <w:rsid w:val="004F32DF"/>
    <w:rsid w:val="004F42D6"/>
    <w:rsid w:val="004F65DE"/>
    <w:rsid w:val="004F693A"/>
    <w:rsid w:val="004F7757"/>
    <w:rsid w:val="005007DF"/>
    <w:rsid w:val="00503378"/>
    <w:rsid w:val="005079FD"/>
    <w:rsid w:val="005120A4"/>
    <w:rsid w:val="005140E2"/>
    <w:rsid w:val="00514178"/>
    <w:rsid w:val="00514702"/>
    <w:rsid w:val="00520856"/>
    <w:rsid w:val="0052137B"/>
    <w:rsid w:val="005222CC"/>
    <w:rsid w:val="00526171"/>
    <w:rsid w:val="0053013B"/>
    <w:rsid w:val="00531160"/>
    <w:rsid w:val="00532067"/>
    <w:rsid w:val="00532EB6"/>
    <w:rsid w:val="0053477B"/>
    <w:rsid w:val="00537142"/>
    <w:rsid w:val="005374E1"/>
    <w:rsid w:val="00543336"/>
    <w:rsid w:val="00543B3F"/>
    <w:rsid w:val="005503C7"/>
    <w:rsid w:val="00553E3B"/>
    <w:rsid w:val="00553F61"/>
    <w:rsid w:val="005552ED"/>
    <w:rsid w:val="00556BC9"/>
    <w:rsid w:val="00560822"/>
    <w:rsid w:val="00561FB0"/>
    <w:rsid w:val="005749D7"/>
    <w:rsid w:val="005759F9"/>
    <w:rsid w:val="00575CC1"/>
    <w:rsid w:val="00576794"/>
    <w:rsid w:val="00577482"/>
    <w:rsid w:val="005810BC"/>
    <w:rsid w:val="005864C5"/>
    <w:rsid w:val="00591A8E"/>
    <w:rsid w:val="00591F3A"/>
    <w:rsid w:val="00592E15"/>
    <w:rsid w:val="005A168A"/>
    <w:rsid w:val="005A173C"/>
    <w:rsid w:val="005A2FFF"/>
    <w:rsid w:val="005A51C1"/>
    <w:rsid w:val="005A5679"/>
    <w:rsid w:val="005A6811"/>
    <w:rsid w:val="005A78B2"/>
    <w:rsid w:val="005B1704"/>
    <w:rsid w:val="005B4A7E"/>
    <w:rsid w:val="005B5827"/>
    <w:rsid w:val="005B5C4E"/>
    <w:rsid w:val="005B7C92"/>
    <w:rsid w:val="005C10E2"/>
    <w:rsid w:val="005C4318"/>
    <w:rsid w:val="005C48E9"/>
    <w:rsid w:val="005C5ADC"/>
    <w:rsid w:val="005C6F58"/>
    <w:rsid w:val="005D0F2E"/>
    <w:rsid w:val="005D75BF"/>
    <w:rsid w:val="005E38EA"/>
    <w:rsid w:val="005E40BF"/>
    <w:rsid w:val="005E463F"/>
    <w:rsid w:val="005E7650"/>
    <w:rsid w:val="005E7AC3"/>
    <w:rsid w:val="005F22B5"/>
    <w:rsid w:val="005F2B65"/>
    <w:rsid w:val="005F49B7"/>
    <w:rsid w:val="005F53D2"/>
    <w:rsid w:val="005F5A61"/>
    <w:rsid w:val="005F6CA8"/>
    <w:rsid w:val="005F7EC0"/>
    <w:rsid w:val="0060011E"/>
    <w:rsid w:val="00600AC0"/>
    <w:rsid w:val="006012CA"/>
    <w:rsid w:val="00601558"/>
    <w:rsid w:val="00605F3C"/>
    <w:rsid w:val="006076E8"/>
    <w:rsid w:val="0061249F"/>
    <w:rsid w:val="0061421A"/>
    <w:rsid w:val="00617A00"/>
    <w:rsid w:val="00622931"/>
    <w:rsid w:val="006241E5"/>
    <w:rsid w:val="006251C8"/>
    <w:rsid w:val="00627969"/>
    <w:rsid w:val="00633785"/>
    <w:rsid w:val="00633E64"/>
    <w:rsid w:val="00642E06"/>
    <w:rsid w:val="00644042"/>
    <w:rsid w:val="006467CB"/>
    <w:rsid w:val="006520A5"/>
    <w:rsid w:val="006523A9"/>
    <w:rsid w:val="00652D35"/>
    <w:rsid w:val="0065354F"/>
    <w:rsid w:val="00654992"/>
    <w:rsid w:val="00654E13"/>
    <w:rsid w:val="006606CE"/>
    <w:rsid w:val="00660F2E"/>
    <w:rsid w:val="00661687"/>
    <w:rsid w:val="00664A1C"/>
    <w:rsid w:val="00670B54"/>
    <w:rsid w:val="00672D8C"/>
    <w:rsid w:val="00673D29"/>
    <w:rsid w:val="006816B1"/>
    <w:rsid w:val="00686B9A"/>
    <w:rsid w:val="006911F1"/>
    <w:rsid w:val="0069191F"/>
    <w:rsid w:val="00696E51"/>
    <w:rsid w:val="00697671"/>
    <w:rsid w:val="006A3BB6"/>
    <w:rsid w:val="006A6F32"/>
    <w:rsid w:val="006B4213"/>
    <w:rsid w:val="006B54E2"/>
    <w:rsid w:val="006C1D13"/>
    <w:rsid w:val="006C1F56"/>
    <w:rsid w:val="006C31AF"/>
    <w:rsid w:val="006C3E56"/>
    <w:rsid w:val="006D6F4F"/>
    <w:rsid w:val="006D7620"/>
    <w:rsid w:val="006E06E8"/>
    <w:rsid w:val="006E195B"/>
    <w:rsid w:val="006E2758"/>
    <w:rsid w:val="006E5D80"/>
    <w:rsid w:val="006F1664"/>
    <w:rsid w:val="006F39FB"/>
    <w:rsid w:val="006F7D1E"/>
    <w:rsid w:val="007027CC"/>
    <w:rsid w:val="00704709"/>
    <w:rsid w:val="0070668B"/>
    <w:rsid w:val="00714108"/>
    <w:rsid w:val="00715317"/>
    <w:rsid w:val="00716544"/>
    <w:rsid w:val="00731AD4"/>
    <w:rsid w:val="007321CD"/>
    <w:rsid w:val="00732B7B"/>
    <w:rsid w:val="00732F36"/>
    <w:rsid w:val="00734815"/>
    <w:rsid w:val="007350F3"/>
    <w:rsid w:val="0073613F"/>
    <w:rsid w:val="007442F9"/>
    <w:rsid w:val="00751561"/>
    <w:rsid w:val="00751E1C"/>
    <w:rsid w:val="007541BA"/>
    <w:rsid w:val="00757AD6"/>
    <w:rsid w:val="007611D0"/>
    <w:rsid w:val="00761647"/>
    <w:rsid w:val="007626FB"/>
    <w:rsid w:val="0076514F"/>
    <w:rsid w:val="0077053F"/>
    <w:rsid w:val="00773178"/>
    <w:rsid w:val="0078497F"/>
    <w:rsid w:val="007849DC"/>
    <w:rsid w:val="00787DB4"/>
    <w:rsid w:val="007944EC"/>
    <w:rsid w:val="00794B0B"/>
    <w:rsid w:val="00795AF3"/>
    <w:rsid w:val="007A134B"/>
    <w:rsid w:val="007A1AAF"/>
    <w:rsid w:val="007A6ED7"/>
    <w:rsid w:val="007A733F"/>
    <w:rsid w:val="007B28C7"/>
    <w:rsid w:val="007B28E5"/>
    <w:rsid w:val="007B3048"/>
    <w:rsid w:val="007B730A"/>
    <w:rsid w:val="007C6741"/>
    <w:rsid w:val="007D1F73"/>
    <w:rsid w:val="007D4547"/>
    <w:rsid w:val="007D51C1"/>
    <w:rsid w:val="007D547B"/>
    <w:rsid w:val="007E2D47"/>
    <w:rsid w:val="007E3582"/>
    <w:rsid w:val="007F09C9"/>
    <w:rsid w:val="007F29D7"/>
    <w:rsid w:val="007F380B"/>
    <w:rsid w:val="007F38FA"/>
    <w:rsid w:val="007F5E4A"/>
    <w:rsid w:val="007F6F8E"/>
    <w:rsid w:val="007F7773"/>
    <w:rsid w:val="007F7AF2"/>
    <w:rsid w:val="00804E2E"/>
    <w:rsid w:val="00813FB9"/>
    <w:rsid w:val="00816169"/>
    <w:rsid w:val="0082180E"/>
    <w:rsid w:val="00821E07"/>
    <w:rsid w:val="00822710"/>
    <w:rsid w:val="00823F9F"/>
    <w:rsid w:val="008240BC"/>
    <w:rsid w:val="008241E6"/>
    <w:rsid w:val="00824779"/>
    <w:rsid w:val="008276CD"/>
    <w:rsid w:val="00831406"/>
    <w:rsid w:val="0083198C"/>
    <w:rsid w:val="00833FFC"/>
    <w:rsid w:val="0083434E"/>
    <w:rsid w:val="00842071"/>
    <w:rsid w:val="008435B5"/>
    <w:rsid w:val="00843A21"/>
    <w:rsid w:val="0084434C"/>
    <w:rsid w:val="00844880"/>
    <w:rsid w:val="00845C68"/>
    <w:rsid w:val="0084771D"/>
    <w:rsid w:val="008478A8"/>
    <w:rsid w:val="008528AC"/>
    <w:rsid w:val="00852D95"/>
    <w:rsid w:val="008545B1"/>
    <w:rsid w:val="008551E6"/>
    <w:rsid w:val="008567FE"/>
    <w:rsid w:val="0085768F"/>
    <w:rsid w:val="008602CE"/>
    <w:rsid w:val="00862643"/>
    <w:rsid w:val="00862D9D"/>
    <w:rsid w:val="0086516F"/>
    <w:rsid w:val="0086519F"/>
    <w:rsid w:val="00866F8F"/>
    <w:rsid w:val="00867855"/>
    <w:rsid w:val="0087118A"/>
    <w:rsid w:val="00873599"/>
    <w:rsid w:val="008756CA"/>
    <w:rsid w:val="00876E8D"/>
    <w:rsid w:val="0089025F"/>
    <w:rsid w:val="008906E7"/>
    <w:rsid w:val="0089275F"/>
    <w:rsid w:val="008A23E1"/>
    <w:rsid w:val="008A269A"/>
    <w:rsid w:val="008A4386"/>
    <w:rsid w:val="008A4758"/>
    <w:rsid w:val="008A6D3B"/>
    <w:rsid w:val="008B2390"/>
    <w:rsid w:val="008B338B"/>
    <w:rsid w:val="008B4C95"/>
    <w:rsid w:val="008C0640"/>
    <w:rsid w:val="008C2065"/>
    <w:rsid w:val="008C2661"/>
    <w:rsid w:val="008C4160"/>
    <w:rsid w:val="008C472C"/>
    <w:rsid w:val="008C475E"/>
    <w:rsid w:val="008D201F"/>
    <w:rsid w:val="008D73A6"/>
    <w:rsid w:val="008D74E1"/>
    <w:rsid w:val="008D7922"/>
    <w:rsid w:val="008E10AA"/>
    <w:rsid w:val="008E39CD"/>
    <w:rsid w:val="008E734C"/>
    <w:rsid w:val="008F02C8"/>
    <w:rsid w:val="008F1402"/>
    <w:rsid w:val="008F5DA9"/>
    <w:rsid w:val="008F6E68"/>
    <w:rsid w:val="009001CD"/>
    <w:rsid w:val="009041A2"/>
    <w:rsid w:val="009107A0"/>
    <w:rsid w:val="00913401"/>
    <w:rsid w:val="009135DA"/>
    <w:rsid w:val="009170F9"/>
    <w:rsid w:val="00917288"/>
    <w:rsid w:val="009233AC"/>
    <w:rsid w:val="009234B7"/>
    <w:rsid w:val="009333BF"/>
    <w:rsid w:val="009363A2"/>
    <w:rsid w:val="00936EA0"/>
    <w:rsid w:val="00937F59"/>
    <w:rsid w:val="009405E8"/>
    <w:rsid w:val="00940905"/>
    <w:rsid w:val="00942586"/>
    <w:rsid w:val="0094350C"/>
    <w:rsid w:val="00944787"/>
    <w:rsid w:val="009447D0"/>
    <w:rsid w:val="009474DD"/>
    <w:rsid w:val="0095414A"/>
    <w:rsid w:val="0095417E"/>
    <w:rsid w:val="0096026B"/>
    <w:rsid w:val="00962CF5"/>
    <w:rsid w:val="0097136D"/>
    <w:rsid w:val="00972BFF"/>
    <w:rsid w:val="00976D46"/>
    <w:rsid w:val="00981A83"/>
    <w:rsid w:val="00986F0A"/>
    <w:rsid w:val="009902A2"/>
    <w:rsid w:val="00991022"/>
    <w:rsid w:val="009945BE"/>
    <w:rsid w:val="009946EA"/>
    <w:rsid w:val="009954E1"/>
    <w:rsid w:val="00996DF3"/>
    <w:rsid w:val="009A3953"/>
    <w:rsid w:val="009A4E85"/>
    <w:rsid w:val="009A72E0"/>
    <w:rsid w:val="009A736B"/>
    <w:rsid w:val="009B27C4"/>
    <w:rsid w:val="009B3AE4"/>
    <w:rsid w:val="009C07B0"/>
    <w:rsid w:val="009C33B5"/>
    <w:rsid w:val="009C3606"/>
    <w:rsid w:val="009C590D"/>
    <w:rsid w:val="009D2409"/>
    <w:rsid w:val="009D36BC"/>
    <w:rsid w:val="009E1020"/>
    <w:rsid w:val="009F1ABC"/>
    <w:rsid w:val="009F4F5E"/>
    <w:rsid w:val="009F65DA"/>
    <w:rsid w:val="009F66C9"/>
    <w:rsid w:val="00A00374"/>
    <w:rsid w:val="00A01A52"/>
    <w:rsid w:val="00A043DF"/>
    <w:rsid w:val="00A046E2"/>
    <w:rsid w:val="00A06CB9"/>
    <w:rsid w:val="00A06DED"/>
    <w:rsid w:val="00A14511"/>
    <w:rsid w:val="00A165B4"/>
    <w:rsid w:val="00A17AD5"/>
    <w:rsid w:val="00A2097B"/>
    <w:rsid w:val="00A21A4A"/>
    <w:rsid w:val="00A23C16"/>
    <w:rsid w:val="00A25D28"/>
    <w:rsid w:val="00A26392"/>
    <w:rsid w:val="00A264AA"/>
    <w:rsid w:val="00A26606"/>
    <w:rsid w:val="00A404FA"/>
    <w:rsid w:val="00A44615"/>
    <w:rsid w:val="00A5143C"/>
    <w:rsid w:val="00A51EFD"/>
    <w:rsid w:val="00A60969"/>
    <w:rsid w:val="00A64F8B"/>
    <w:rsid w:val="00A70D58"/>
    <w:rsid w:val="00A7279F"/>
    <w:rsid w:val="00A72FB1"/>
    <w:rsid w:val="00A732D1"/>
    <w:rsid w:val="00A74184"/>
    <w:rsid w:val="00A74972"/>
    <w:rsid w:val="00A76A1B"/>
    <w:rsid w:val="00A77945"/>
    <w:rsid w:val="00A8472A"/>
    <w:rsid w:val="00A90260"/>
    <w:rsid w:val="00A97916"/>
    <w:rsid w:val="00AA0B3F"/>
    <w:rsid w:val="00AA3187"/>
    <w:rsid w:val="00AA3C6F"/>
    <w:rsid w:val="00AA45AC"/>
    <w:rsid w:val="00AA47C7"/>
    <w:rsid w:val="00AA4F01"/>
    <w:rsid w:val="00AA5377"/>
    <w:rsid w:val="00AB007E"/>
    <w:rsid w:val="00AB10A4"/>
    <w:rsid w:val="00AB25E6"/>
    <w:rsid w:val="00AC041F"/>
    <w:rsid w:val="00AC1226"/>
    <w:rsid w:val="00AC13CB"/>
    <w:rsid w:val="00AC176A"/>
    <w:rsid w:val="00AD1FAF"/>
    <w:rsid w:val="00AD5A7B"/>
    <w:rsid w:val="00AE0349"/>
    <w:rsid w:val="00AE053C"/>
    <w:rsid w:val="00AE0A5B"/>
    <w:rsid w:val="00AE224E"/>
    <w:rsid w:val="00AE411B"/>
    <w:rsid w:val="00AE62DF"/>
    <w:rsid w:val="00AE7533"/>
    <w:rsid w:val="00AF14E8"/>
    <w:rsid w:val="00B108EB"/>
    <w:rsid w:val="00B11C04"/>
    <w:rsid w:val="00B13494"/>
    <w:rsid w:val="00B13DBE"/>
    <w:rsid w:val="00B21BCC"/>
    <w:rsid w:val="00B25D38"/>
    <w:rsid w:val="00B261F9"/>
    <w:rsid w:val="00B268B6"/>
    <w:rsid w:val="00B2728B"/>
    <w:rsid w:val="00B306EA"/>
    <w:rsid w:val="00B3371C"/>
    <w:rsid w:val="00B35DED"/>
    <w:rsid w:val="00B35DFF"/>
    <w:rsid w:val="00B362B7"/>
    <w:rsid w:val="00B40678"/>
    <w:rsid w:val="00B422F3"/>
    <w:rsid w:val="00B42778"/>
    <w:rsid w:val="00B42AEE"/>
    <w:rsid w:val="00B42E99"/>
    <w:rsid w:val="00B43316"/>
    <w:rsid w:val="00B4523C"/>
    <w:rsid w:val="00B46E1C"/>
    <w:rsid w:val="00B47F01"/>
    <w:rsid w:val="00B52457"/>
    <w:rsid w:val="00B555CB"/>
    <w:rsid w:val="00B57876"/>
    <w:rsid w:val="00B6032E"/>
    <w:rsid w:val="00B618EC"/>
    <w:rsid w:val="00B621F4"/>
    <w:rsid w:val="00B66B5B"/>
    <w:rsid w:val="00B66DDB"/>
    <w:rsid w:val="00B7235F"/>
    <w:rsid w:val="00B8141B"/>
    <w:rsid w:val="00B83068"/>
    <w:rsid w:val="00B87CB0"/>
    <w:rsid w:val="00B911DC"/>
    <w:rsid w:val="00B95D4E"/>
    <w:rsid w:val="00B96467"/>
    <w:rsid w:val="00B969F2"/>
    <w:rsid w:val="00B96CE7"/>
    <w:rsid w:val="00BA0501"/>
    <w:rsid w:val="00BA56DE"/>
    <w:rsid w:val="00BA788B"/>
    <w:rsid w:val="00BB0CAC"/>
    <w:rsid w:val="00BB3784"/>
    <w:rsid w:val="00BB4EEB"/>
    <w:rsid w:val="00BC212B"/>
    <w:rsid w:val="00BC4382"/>
    <w:rsid w:val="00BC7999"/>
    <w:rsid w:val="00BD18CC"/>
    <w:rsid w:val="00BD4599"/>
    <w:rsid w:val="00BD4EBC"/>
    <w:rsid w:val="00BD7C90"/>
    <w:rsid w:val="00BE18A3"/>
    <w:rsid w:val="00BE2051"/>
    <w:rsid w:val="00BE26EA"/>
    <w:rsid w:val="00BE26FB"/>
    <w:rsid w:val="00BE4D4B"/>
    <w:rsid w:val="00BF0ED5"/>
    <w:rsid w:val="00BF2661"/>
    <w:rsid w:val="00BF3EFF"/>
    <w:rsid w:val="00BF56CB"/>
    <w:rsid w:val="00C0020E"/>
    <w:rsid w:val="00C03BAB"/>
    <w:rsid w:val="00C062BB"/>
    <w:rsid w:val="00C065BC"/>
    <w:rsid w:val="00C06D3C"/>
    <w:rsid w:val="00C10009"/>
    <w:rsid w:val="00C1176F"/>
    <w:rsid w:val="00C228E3"/>
    <w:rsid w:val="00C22FA9"/>
    <w:rsid w:val="00C231EA"/>
    <w:rsid w:val="00C24F16"/>
    <w:rsid w:val="00C26E21"/>
    <w:rsid w:val="00C30A6E"/>
    <w:rsid w:val="00C3139F"/>
    <w:rsid w:val="00C360DE"/>
    <w:rsid w:val="00C37E4E"/>
    <w:rsid w:val="00C4000C"/>
    <w:rsid w:val="00C428A0"/>
    <w:rsid w:val="00C458B7"/>
    <w:rsid w:val="00C53ADD"/>
    <w:rsid w:val="00C54702"/>
    <w:rsid w:val="00C60CB5"/>
    <w:rsid w:val="00C62425"/>
    <w:rsid w:val="00C639C6"/>
    <w:rsid w:val="00C65987"/>
    <w:rsid w:val="00C66DC0"/>
    <w:rsid w:val="00C70A08"/>
    <w:rsid w:val="00C738A4"/>
    <w:rsid w:val="00C76469"/>
    <w:rsid w:val="00C80FA2"/>
    <w:rsid w:val="00C8519D"/>
    <w:rsid w:val="00C97927"/>
    <w:rsid w:val="00CA0062"/>
    <w:rsid w:val="00CA1198"/>
    <w:rsid w:val="00CA2DDB"/>
    <w:rsid w:val="00CA5CC1"/>
    <w:rsid w:val="00CB20EE"/>
    <w:rsid w:val="00CB6758"/>
    <w:rsid w:val="00CB7167"/>
    <w:rsid w:val="00CC0621"/>
    <w:rsid w:val="00CC1549"/>
    <w:rsid w:val="00CC2B53"/>
    <w:rsid w:val="00CC63A6"/>
    <w:rsid w:val="00CC7744"/>
    <w:rsid w:val="00CC7991"/>
    <w:rsid w:val="00CD1F96"/>
    <w:rsid w:val="00CD2007"/>
    <w:rsid w:val="00CD28AB"/>
    <w:rsid w:val="00CD42B2"/>
    <w:rsid w:val="00CD768D"/>
    <w:rsid w:val="00CE035E"/>
    <w:rsid w:val="00CE2BFC"/>
    <w:rsid w:val="00CE54CB"/>
    <w:rsid w:val="00CE59BD"/>
    <w:rsid w:val="00CE6DAD"/>
    <w:rsid w:val="00CE7711"/>
    <w:rsid w:val="00CE7D1D"/>
    <w:rsid w:val="00CF07CF"/>
    <w:rsid w:val="00CF0A55"/>
    <w:rsid w:val="00CF1E74"/>
    <w:rsid w:val="00D009DD"/>
    <w:rsid w:val="00D018EE"/>
    <w:rsid w:val="00D03F38"/>
    <w:rsid w:val="00D07A04"/>
    <w:rsid w:val="00D07AA2"/>
    <w:rsid w:val="00D07E01"/>
    <w:rsid w:val="00D115E1"/>
    <w:rsid w:val="00D11BF2"/>
    <w:rsid w:val="00D12736"/>
    <w:rsid w:val="00D128EC"/>
    <w:rsid w:val="00D158CB"/>
    <w:rsid w:val="00D1714D"/>
    <w:rsid w:val="00D22629"/>
    <w:rsid w:val="00D248AB"/>
    <w:rsid w:val="00D253EA"/>
    <w:rsid w:val="00D25F55"/>
    <w:rsid w:val="00D26D5C"/>
    <w:rsid w:val="00D2753F"/>
    <w:rsid w:val="00D3079E"/>
    <w:rsid w:val="00D32156"/>
    <w:rsid w:val="00D355CF"/>
    <w:rsid w:val="00D42C26"/>
    <w:rsid w:val="00D45299"/>
    <w:rsid w:val="00D45F42"/>
    <w:rsid w:val="00D5061A"/>
    <w:rsid w:val="00D51B54"/>
    <w:rsid w:val="00D51BE3"/>
    <w:rsid w:val="00D520F0"/>
    <w:rsid w:val="00D56323"/>
    <w:rsid w:val="00D622F8"/>
    <w:rsid w:val="00D64B21"/>
    <w:rsid w:val="00D66FEA"/>
    <w:rsid w:val="00D67E24"/>
    <w:rsid w:val="00D74840"/>
    <w:rsid w:val="00D80CBE"/>
    <w:rsid w:val="00D80F35"/>
    <w:rsid w:val="00D81A80"/>
    <w:rsid w:val="00D82D98"/>
    <w:rsid w:val="00D8406C"/>
    <w:rsid w:val="00D86C24"/>
    <w:rsid w:val="00D90337"/>
    <w:rsid w:val="00D93D53"/>
    <w:rsid w:val="00DA3AEC"/>
    <w:rsid w:val="00DA3D60"/>
    <w:rsid w:val="00DB31BA"/>
    <w:rsid w:val="00DC530C"/>
    <w:rsid w:val="00DC5FCF"/>
    <w:rsid w:val="00DC75BB"/>
    <w:rsid w:val="00DD6EF4"/>
    <w:rsid w:val="00DE0B53"/>
    <w:rsid w:val="00DE2F99"/>
    <w:rsid w:val="00DE3893"/>
    <w:rsid w:val="00DE4335"/>
    <w:rsid w:val="00DE5FBD"/>
    <w:rsid w:val="00DF015B"/>
    <w:rsid w:val="00DF186A"/>
    <w:rsid w:val="00DF309E"/>
    <w:rsid w:val="00DF6C67"/>
    <w:rsid w:val="00E02C3F"/>
    <w:rsid w:val="00E07388"/>
    <w:rsid w:val="00E10E20"/>
    <w:rsid w:val="00E15AD7"/>
    <w:rsid w:val="00E22172"/>
    <w:rsid w:val="00E23054"/>
    <w:rsid w:val="00E244D6"/>
    <w:rsid w:val="00E2699F"/>
    <w:rsid w:val="00E30641"/>
    <w:rsid w:val="00E31CB9"/>
    <w:rsid w:val="00E339A5"/>
    <w:rsid w:val="00E37F60"/>
    <w:rsid w:val="00E42DB3"/>
    <w:rsid w:val="00E43CD3"/>
    <w:rsid w:val="00E45B93"/>
    <w:rsid w:val="00E45C81"/>
    <w:rsid w:val="00E5046B"/>
    <w:rsid w:val="00E50D14"/>
    <w:rsid w:val="00E5656B"/>
    <w:rsid w:val="00E57FA2"/>
    <w:rsid w:val="00E61FA5"/>
    <w:rsid w:val="00E643C0"/>
    <w:rsid w:val="00E671BB"/>
    <w:rsid w:val="00E678C1"/>
    <w:rsid w:val="00E67B60"/>
    <w:rsid w:val="00E67D58"/>
    <w:rsid w:val="00E72BCC"/>
    <w:rsid w:val="00E748C7"/>
    <w:rsid w:val="00E7575F"/>
    <w:rsid w:val="00E80CCC"/>
    <w:rsid w:val="00E820A8"/>
    <w:rsid w:val="00E82B13"/>
    <w:rsid w:val="00E85195"/>
    <w:rsid w:val="00E85B27"/>
    <w:rsid w:val="00E8691F"/>
    <w:rsid w:val="00E87530"/>
    <w:rsid w:val="00E877D8"/>
    <w:rsid w:val="00E87AF0"/>
    <w:rsid w:val="00E9199B"/>
    <w:rsid w:val="00E91BE6"/>
    <w:rsid w:val="00E97FED"/>
    <w:rsid w:val="00EA448A"/>
    <w:rsid w:val="00EA475D"/>
    <w:rsid w:val="00EA5861"/>
    <w:rsid w:val="00EB24FA"/>
    <w:rsid w:val="00EB4225"/>
    <w:rsid w:val="00EB4231"/>
    <w:rsid w:val="00EB48E8"/>
    <w:rsid w:val="00EC287F"/>
    <w:rsid w:val="00EC3269"/>
    <w:rsid w:val="00EC605F"/>
    <w:rsid w:val="00EC6138"/>
    <w:rsid w:val="00ED2168"/>
    <w:rsid w:val="00ED41BF"/>
    <w:rsid w:val="00ED5A42"/>
    <w:rsid w:val="00ED6176"/>
    <w:rsid w:val="00EE108A"/>
    <w:rsid w:val="00EF112E"/>
    <w:rsid w:val="00EF2394"/>
    <w:rsid w:val="00EF313D"/>
    <w:rsid w:val="00EF399A"/>
    <w:rsid w:val="00EF4F4F"/>
    <w:rsid w:val="00EF6DAF"/>
    <w:rsid w:val="00EF7CC8"/>
    <w:rsid w:val="00F0012C"/>
    <w:rsid w:val="00F00E65"/>
    <w:rsid w:val="00F04423"/>
    <w:rsid w:val="00F10339"/>
    <w:rsid w:val="00F11476"/>
    <w:rsid w:val="00F123BB"/>
    <w:rsid w:val="00F14268"/>
    <w:rsid w:val="00F16D2E"/>
    <w:rsid w:val="00F26397"/>
    <w:rsid w:val="00F30B1F"/>
    <w:rsid w:val="00F33082"/>
    <w:rsid w:val="00F334D5"/>
    <w:rsid w:val="00F34F47"/>
    <w:rsid w:val="00F443A3"/>
    <w:rsid w:val="00F45028"/>
    <w:rsid w:val="00F45A71"/>
    <w:rsid w:val="00F57087"/>
    <w:rsid w:val="00F576D5"/>
    <w:rsid w:val="00F63E13"/>
    <w:rsid w:val="00F6786F"/>
    <w:rsid w:val="00F700E6"/>
    <w:rsid w:val="00F73C3B"/>
    <w:rsid w:val="00F75829"/>
    <w:rsid w:val="00F871A0"/>
    <w:rsid w:val="00F90018"/>
    <w:rsid w:val="00F90120"/>
    <w:rsid w:val="00F920EE"/>
    <w:rsid w:val="00F94D16"/>
    <w:rsid w:val="00F97408"/>
    <w:rsid w:val="00FA050E"/>
    <w:rsid w:val="00FA62DC"/>
    <w:rsid w:val="00FA6724"/>
    <w:rsid w:val="00FB267F"/>
    <w:rsid w:val="00FB3D69"/>
    <w:rsid w:val="00FB50BF"/>
    <w:rsid w:val="00FC2787"/>
    <w:rsid w:val="00FC2F23"/>
    <w:rsid w:val="00FC5097"/>
    <w:rsid w:val="00FC6D73"/>
    <w:rsid w:val="00FC70A3"/>
    <w:rsid w:val="00FD0CFE"/>
    <w:rsid w:val="00FD121E"/>
    <w:rsid w:val="00FD20F6"/>
    <w:rsid w:val="00FD21AB"/>
    <w:rsid w:val="00FD234D"/>
    <w:rsid w:val="00FD5DA7"/>
    <w:rsid w:val="00FD64A2"/>
    <w:rsid w:val="00FE1B6B"/>
    <w:rsid w:val="00FE306C"/>
    <w:rsid w:val="00FE3577"/>
    <w:rsid w:val="00FE3775"/>
    <w:rsid w:val="00FF04A8"/>
    <w:rsid w:val="00FF0571"/>
    <w:rsid w:val="00FF1302"/>
    <w:rsid w:val="00FF1513"/>
    <w:rsid w:val="00FF7992"/>
    <w:rsid w:val="01DB471E"/>
    <w:rsid w:val="02235157"/>
    <w:rsid w:val="02667A33"/>
    <w:rsid w:val="026A3BAE"/>
    <w:rsid w:val="02C24CE7"/>
    <w:rsid w:val="03476B1E"/>
    <w:rsid w:val="03F33F04"/>
    <w:rsid w:val="04706E82"/>
    <w:rsid w:val="04AC47D9"/>
    <w:rsid w:val="05005912"/>
    <w:rsid w:val="0512768F"/>
    <w:rsid w:val="05AC21FD"/>
    <w:rsid w:val="05C918F3"/>
    <w:rsid w:val="05EC1EC0"/>
    <w:rsid w:val="060A1307"/>
    <w:rsid w:val="08300BCF"/>
    <w:rsid w:val="08A52D3B"/>
    <w:rsid w:val="091634B9"/>
    <w:rsid w:val="096C428E"/>
    <w:rsid w:val="0AF27D4D"/>
    <w:rsid w:val="0B625714"/>
    <w:rsid w:val="0CE002E9"/>
    <w:rsid w:val="0D1D4BC7"/>
    <w:rsid w:val="0D501482"/>
    <w:rsid w:val="0E027828"/>
    <w:rsid w:val="0E6326E5"/>
    <w:rsid w:val="0F1811CC"/>
    <w:rsid w:val="0F423B94"/>
    <w:rsid w:val="0F8B2F62"/>
    <w:rsid w:val="0FBE4E04"/>
    <w:rsid w:val="10F727DE"/>
    <w:rsid w:val="110D4E0F"/>
    <w:rsid w:val="111A7111"/>
    <w:rsid w:val="111B4A8E"/>
    <w:rsid w:val="11570C9A"/>
    <w:rsid w:val="11F67EA9"/>
    <w:rsid w:val="129A7F37"/>
    <w:rsid w:val="14CC64A0"/>
    <w:rsid w:val="15407EFE"/>
    <w:rsid w:val="159165F5"/>
    <w:rsid w:val="1668434B"/>
    <w:rsid w:val="16A74C63"/>
    <w:rsid w:val="17044B0A"/>
    <w:rsid w:val="170C6306"/>
    <w:rsid w:val="17A070F8"/>
    <w:rsid w:val="183074C9"/>
    <w:rsid w:val="187A34D9"/>
    <w:rsid w:val="18DB37B8"/>
    <w:rsid w:val="19FB0EE5"/>
    <w:rsid w:val="1A05324C"/>
    <w:rsid w:val="1A515DB2"/>
    <w:rsid w:val="1A533C4E"/>
    <w:rsid w:val="1AC31A76"/>
    <w:rsid w:val="1BCB7DF6"/>
    <w:rsid w:val="1CE16F7F"/>
    <w:rsid w:val="1D7C2114"/>
    <w:rsid w:val="1E585428"/>
    <w:rsid w:val="1F010DBE"/>
    <w:rsid w:val="1F19693A"/>
    <w:rsid w:val="1F817EB6"/>
    <w:rsid w:val="1FCE481E"/>
    <w:rsid w:val="20B07DEF"/>
    <w:rsid w:val="20D72B2B"/>
    <w:rsid w:val="222F42A7"/>
    <w:rsid w:val="228C6B08"/>
    <w:rsid w:val="236B1ED8"/>
    <w:rsid w:val="25D564E4"/>
    <w:rsid w:val="265831C9"/>
    <w:rsid w:val="26830DEA"/>
    <w:rsid w:val="278F7733"/>
    <w:rsid w:val="28A15125"/>
    <w:rsid w:val="28BB28A0"/>
    <w:rsid w:val="293941AF"/>
    <w:rsid w:val="295C698C"/>
    <w:rsid w:val="29AE7AF9"/>
    <w:rsid w:val="29CB6F24"/>
    <w:rsid w:val="29D71CCA"/>
    <w:rsid w:val="2A412DC5"/>
    <w:rsid w:val="2A6B213A"/>
    <w:rsid w:val="2A8C323F"/>
    <w:rsid w:val="2ACE1FB5"/>
    <w:rsid w:val="2C532E12"/>
    <w:rsid w:val="2C5A44D2"/>
    <w:rsid w:val="2E020414"/>
    <w:rsid w:val="2EC04104"/>
    <w:rsid w:val="2FDE1630"/>
    <w:rsid w:val="314D58E5"/>
    <w:rsid w:val="331F101D"/>
    <w:rsid w:val="3382723E"/>
    <w:rsid w:val="339913F6"/>
    <w:rsid w:val="341B1791"/>
    <w:rsid w:val="34E6246D"/>
    <w:rsid w:val="354457B6"/>
    <w:rsid w:val="358E431C"/>
    <w:rsid w:val="36620EB6"/>
    <w:rsid w:val="37294A07"/>
    <w:rsid w:val="37ED774A"/>
    <w:rsid w:val="382116FF"/>
    <w:rsid w:val="38C00A14"/>
    <w:rsid w:val="395A6902"/>
    <w:rsid w:val="395B0142"/>
    <w:rsid w:val="39D231BA"/>
    <w:rsid w:val="3A561FDB"/>
    <w:rsid w:val="3A5B4BBC"/>
    <w:rsid w:val="3AD638EA"/>
    <w:rsid w:val="3AFF0256"/>
    <w:rsid w:val="3B612EC2"/>
    <w:rsid w:val="3B8334A3"/>
    <w:rsid w:val="3BF32CBC"/>
    <w:rsid w:val="3C0F0812"/>
    <w:rsid w:val="3C3B1EF8"/>
    <w:rsid w:val="3D481A32"/>
    <w:rsid w:val="3ECB5011"/>
    <w:rsid w:val="3EED2A1A"/>
    <w:rsid w:val="3F3C150F"/>
    <w:rsid w:val="3F8D52A1"/>
    <w:rsid w:val="3FEA1542"/>
    <w:rsid w:val="3FF12617"/>
    <w:rsid w:val="40261761"/>
    <w:rsid w:val="403620FC"/>
    <w:rsid w:val="40BE0FE7"/>
    <w:rsid w:val="41475C22"/>
    <w:rsid w:val="41491C49"/>
    <w:rsid w:val="41FA3E70"/>
    <w:rsid w:val="42672228"/>
    <w:rsid w:val="427753D6"/>
    <w:rsid w:val="42FB34D6"/>
    <w:rsid w:val="43325801"/>
    <w:rsid w:val="43872685"/>
    <w:rsid w:val="438879E5"/>
    <w:rsid w:val="43A0005B"/>
    <w:rsid w:val="4400140A"/>
    <w:rsid w:val="448F146D"/>
    <w:rsid w:val="454E1E34"/>
    <w:rsid w:val="454E6802"/>
    <w:rsid w:val="456E47ED"/>
    <w:rsid w:val="45E00BE3"/>
    <w:rsid w:val="4664264D"/>
    <w:rsid w:val="46D3149A"/>
    <w:rsid w:val="477B7837"/>
    <w:rsid w:val="47BE1496"/>
    <w:rsid w:val="48A11582"/>
    <w:rsid w:val="48CB0684"/>
    <w:rsid w:val="48D66168"/>
    <w:rsid w:val="493406A8"/>
    <w:rsid w:val="49CB1CA8"/>
    <w:rsid w:val="49E91C48"/>
    <w:rsid w:val="49F440EC"/>
    <w:rsid w:val="4A444BE9"/>
    <w:rsid w:val="4A960CB8"/>
    <w:rsid w:val="4B6B63D0"/>
    <w:rsid w:val="4B7550CF"/>
    <w:rsid w:val="4B906339"/>
    <w:rsid w:val="4BC42F97"/>
    <w:rsid w:val="4C03193A"/>
    <w:rsid w:val="4C726179"/>
    <w:rsid w:val="4CFD5F79"/>
    <w:rsid w:val="4DFA0315"/>
    <w:rsid w:val="4E3A10AC"/>
    <w:rsid w:val="4F342C01"/>
    <w:rsid w:val="4F353316"/>
    <w:rsid w:val="4F3D374B"/>
    <w:rsid w:val="4F9A485E"/>
    <w:rsid w:val="501112F3"/>
    <w:rsid w:val="50F934A0"/>
    <w:rsid w:val="50FE13F3"/>
    <w:rsid w:val="51397BDF"/>
    <w:rsid w:val="514B51F3"/>
    <w:rsid w:val="5265433E"/>
    <w:rsid w:val="52FE0C10"/>
    <w:rsid w:val="5350369F"/>
    <w:rsid w:val="53FC5957"/>
    <w:rsid w:val="54AC700A"/>
    <w:rsid w:val="55376674"/>
    <w:rsid w:val="55817BBF"/>
    <w:rsid w:val="56094A0A"/>
    <w:rsid w:val="56163A1A"/>
    <w:rsid w:val="57FE72A9"/>
    <w:rsid w:val="5800716C"/>
    <w:rsid w:val="58342249"/>
    <w:rsid w:val="594159E5"/>
    <w:rsid w:val="59F64A21"/>
    <w:rsid w:val="5A210DD4"/>
    <w:rsid w:val="5BC60D1C"/>
    <w:rsid w:val="5CC34ED0"/>
    <w:rsid w:val="5DC42740"/>
    <w:rsid w:val="5EBB7D4C"/>
    <w:rsid w:val="60B92BB2"/>
    <w:rsid w:val="60BE3E3B"/>
    <w:rsid w:val="61D26FFD"/>
    <w:rsid w:val="61FA439D"/>
    <w:rsid w:val="62B86D17"/>
    <w:rsid w:val="638E62C7"/>
    <w:rsid w:val="63993199"/>
    <w:rsid w:val="6450066A"/>
    <w:rsid w:val="65981547"/>
    <w:rsid w:val="65B73B2E"/>
    <w:rsid w:val="66862C89"/>
    <w:rsid w:val="669E52ED"/>
    <w:rsid w:val="68712ED0"/>
    <w:rsid w:val="6878506A"/>
    <w:rsid w:val="68C56D43"/>
    <w:rsid w:val="696E2B67"/>
    <w:rsid w:val="697F1278"/>
    <w:rsid w:val="69CA4DAF"/>
    <w:rsid w:val="69F33A2B"/>
    <w:rsid w:val="6AD6398D"/>
    <w:rsid w:val="6BB3472B"/>
    <w:rsid w:val="6C9315FF"/>
    <w:rsid w:val="6D477D3E"/>
    <w:rsid w:val="6DC60A8A"/>
    <w:rsid w:val="6EEE1FCA"/>
    <w:rsid w:val="702770F9"/>
    <w:rsid w:val="7092074B"/>
    <w:rsid w:val="70976F15"/>
    <w:rsid w:val="70C66AA3"/>
    <w:rsid w:val="71285DEA"/>
    <w:rsid w:val="716F4FC7"/>
    <w:rsid w:val="71F429BD"/>
    <w:rsid w:val="723626C9"/>
    <w:rsid w:val="72A30059"/>
    <w:rsid w:val="748E5C40"/>
    <w:rsid w:val="75246DFE"/>
    <w:rsid w:val="755A50A0"/>
    <w:rsid w:val="762F51F4"/>
    <w:rsid w:val="77B913A6"/>
    <w:rsid w:val="780C6B3B"/>
    <w:rsid w:val="783421EB"/>
    <w:rsid w:val="79364D05"/>
    <w:rsid w:val="79390261"/>
    <w:rsid w:val="79CF2B63"/>
    <w:rsid w:val="79DD76F6"/>
    <w:rsid w:val="7AE6329D"/>
    <w:rsid w:val="7BDE3153"/>
    <w:rsid w:val="7C32218F"/>
    <w:rsid w:val="7C4C3713"/>
    <w:rsid w:val="7C503100"/>
    <w:rsid w:val="7CAE4106"/>
    <w:rsid w:val="7CB445F0"/>
    <w:rsid w:val="7D10792A"/>
    <w:rsid w:val="7D4F5051"/>
    <w:rsid w:val="7D78084C"/>
    <w:rsid w:val="7D7E1DA4"/>
    <w:rsid w:val="7E9070D4"/>
    <w:rsid w:val="7F3648B6"/>
    <w:rsid w:val="7F612F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6"/>
    <w:link w:val="49"/>
    <w:qFormat/>
    <w:uiPriority w:val="9"/>
    <w:pPr>
      <w:keepNext/>
      <w:keepLines/>
      <w:spacing w:after="120" w:line="360" w:lineRule="auto"/>
      <w:jc w:val="left"/>
      <w:outlineLvl w:val="0"/>
    </w:pPr>
    <w:rPr>
      <w:kern w:val="44"/>
      <w:sz w:val="28"/>
      <w:szCs w:val="28"/>
    </w:rPr>
  </w:style>
  <w:style w:type="paragraph" w:styleId="8">
    <w:name w:val="heading 2"/>
    <w:basedOn w:val="1"/>
    <w:next w:val="9"/>
    <w:link w:val="50"/>
    <w:qFormat/>
    <w:uiPriority w:val="9"/>
    <w:pPr>
      <w:keepNext/>
      <w:keepLines/>
      <w:spacing w:before="120" w:after="120" w:line="415" w:lineRule="auto"/>
      <w:ind w:left="454"/>
      <w:jc w:val="center"/>
      <w:outlineLvl w:val="1"/>
    </w:pPr>
    <w:rPr>
      <w:rFonts w:ascii="Arial" w:hAnsi="Arial"/>
      <w:b/>
      <w:color w:val="000000"/>
      <w:sz w:val="24"/>
      <w:szCs w:val="24"/>
    </w:rPr>
  </w:style>
  <w:style w:type="paragraph" w:styleId="10">
    <w:name w:val="heading 3"/>
    <w:basedOn w:val="1"/>
    <w:next w:val="1"/>
    <w:link w:val="51"/>
    <w:qFormat/>
    <w:uiPriority w:val="9"/>
    <w:pPr>
      <w:widowControl/>
      <w:spacing w:before="100" w:beforeAutospacing="1" w:after="100" w:afterAutospacing="1"/>
      <w:jc w:val="left"/>
      <w:outlineLvl w:val="2"/>
    </w:pPr>
    <w:rPr>
      <w:rFonts w:ascii="宋体" w:hAnsi="宋体" w:cs="宋体"/>
      <w:kern w:val="0"/>
      <w:sz w:val="27"/>
      <w:szCs w:val="27"/>
    </w:rPr>
  </w:style>
  <w:style w:type="paragraph" w:styleId="11">
    <w:name w:val="heading 4"/>
    <w:basedOn w:val="10"/>
    <w:next w:val="9"/>
    <w:link w:val="52"/>
    <w:qFormat/>
    <w:uiPriority w:val="9"/>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2">
    <w:name w:val="heading 5"/>
    <w:basedOn w:val="11"/>
    <w:next w:val="9"/>
    <w:link w:val="53"/>
    <w:qFormat/>
    <w:uiPriority w:val="9"/>
    <w:pPr>
      <w:numPr>
        <w:ilvl w:val="4"/>
      </w:numPr>
      <w:spacing w:line="240" w:lineRule="exact"/>
      <w:outlineLvl w:val="4"/>
    </w:pPr>
  </w:style>
  <w:style w:type="paragraph" w:styleId="13">
    <w:name w:val="heading 6"/>
    <w:basedOn w:val="1"/>
    <w:next w:val="1"/>
    <w:link w:val="54"/>
    <w:qFormat/>
    <w:uiPriority w:val="9"/>
    <w:pPr>
      <w:keepNext/>
      <w:keepLines/>
      <w:numPr>
        <w:ilvl w:val="5"/>
        <w:numId w:val="2"/>
      </w:numPr>
      <w:spacing w:before="240" w:after="64" w:line="320" w:lineRule="auto"/>
      <w:outlineLvl w:val="5"/>
    </w:pPr>
    <w:rPr>
      <w:rFonts w:ascii="Arial" w:hAnsi="Arial" w:eastAsia="黑体"/>
      <w:b/>
      <w:bCs/>
      <w:sz w:val="24"/>
      <w:szCs w:val="24"/>
    </w:rPr>
  </w:style>
  <w:style w:type="paragraph" w:styleId="14">
    <w:name w:val="heading 7"/>
    <w:basedOn w:val="1"/>
    <w:next w:val="9"/>
    <w:link w:val="55"/>
    <w:qFormat/>
    <w:uiPriority w:val="9"/>
    <w:pPr>
      <w:keepNext/>
      <w:keepLines/>
      <w:numPr>
        <w:ilvl w:val="6"/>
        <w:numId w:val="1"/>
      </w:numPr>
      <w:spacing w:before="240" w:after="64" w:line="320" w:lineRule="auto"/>
      <w:outlineLvl w:val="6"/>
    </w:pPr>
    <w:rPr>
      <w:rFonts w:ascii="Times New Roman" w:hAnsi="Times New Roman"/>
      <w:b/>
      <w:sz w:val="24"/>
      <w:szCs w:val="20"/>
    </w:rPr>
  </w:style>
  <w:style w:type="paragraph" w:styleId="15">
    <w:name w:val="heading 8"/>
    <w:basedOn w:val="1"/>
    <w:next w:val="9"/>
    <w:link w:val="56"/>
    <w:qFormat/>
    <w:uiPriority w:val="9"/>
    <w:pPr>
      <w:keepNext/>
      <w:keepLines/>
      <w:numPr>
        <w:ilvl w:val="7"/>
        <w:numId w:val="1"/>
      </w:numPr>
      <w:spacing w:before="240" w:after="64" w:line="320" w:lineRule="auto"/>
      <w:outlineLvl w:val="7"/>
    </w:pPr>
    <w:rPr>
      <w:rFonts w:ascii="Arial" w:hAnsi="Arial" w:eastAsia="黑体"/>
      <w:sz w:val="24"/>
      <w:szCs w:val="20"/>
    </w:rPr>
  </w:style>
  <w:style w:type="paragraph" w:styleId="16">
    <w:name w:val="heading 9"/>
    <w:basedOn w:val="1"/>
    <w:next w:val="9"/>
    <w:link w:val="57"/>
    <w:qFormat/>
    <w:uiPriority w:val="9"/>
    <w:pPr>
      <w:keepNext/>
      <w:keepLines/>
      <w:numPr>
        <w:ilvl w:val="8"/>
        <w:numId w:val="1"/>
      </w:numPr>
      <w:spacing w:before="240" w:after="64" w:line="320" w:lineRule="auto"/>
      <w:outlineLvl w:val="8"/>
    </w:pPr>
    <w:rPr>
      <w:rFonts w:ascii="Arial" w:hAnsi="Arial" w:eastAsia="黑体"/>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普通正文"/>
    <w:basedOn w:val="3"/>
    <w:qFormat/>
    <w:uiPriority w:val="0"/>
    <w:pPr>
      <w:ind w:firstLine="200" w:firstLineChars="200"/>
    </w:pPr>
    <w:rPr>
      <w:kern w:val="2"/>
    </w:rPr>
  </w:style>
  <w:style w:type="paragraph" w:customStyle="1" w:styleId="3">
    <w:name w:val="正文1"/>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5">
    <w:name w:val="Title"/>
    <w:basedOn w:val="1"/>
    <w:link w:val="58"/>
    <w:qFormat/>
    <w:uiPriority w:val="10"/>
    <w:pPr>
      <w:spacing w:before="120" w:after="60"/>
      <w:jc w:val="center"/>
    </w:pPr>
    <w:rPr>
      <w:rFonts w:ascii="Arial" w:hAnsi="Arial"/>
      <w:b/>
      <w:sz w:val="44"/>
      <w:szCs w:val="20"/>
    </w:rPr>
  </w:style>
  <w:style w:type="paragraph" w:styleId="6">
    <w:name w:val="Body Text First Indent"/>
    <w:basedOn w:val="7"/>
    <w:link w:val="60"/>
    <w:qFormat/>
    <w:uiPriority w:val="99"/>
    <w:pPr>
      <w:ind w:firstLine="420"/>
    </w:pPr>
    <w:rPr>
      <w:rFonts w:ascii="等线" w:hAnsi="等线" w:eastAsia="等线"/>
      <w:szCs w:val="22"/>
    </w:rPr>
  </w:style>
  <w:style w:type="paragraph" w:styleId="7">
    <w:name w:val="Body Text"/>
    <w:basedOn w:val="1"/>
    <w:next w:val="1"/>
    <w:link w:val="59"/>
    <w:qFormat/>
    <w:uiPriority w:val="99"/>
    <w:pPr>
      <w:spacing w:after="120"/>
    </w:pPr>
    <w:rPr>
      <w:rFonts w:ascii="Times New Roman" w:hAnsi="Times New Roman"/>
      <w:szCs w:val="20"/>
    </w:rPr>
  </w:style>
  <w:style w:type="paragraph" w:styleId="9">
    <w:name w:val="Normal Indent"/>
    <w:basedOn w:val="1"/>
    <w:next w:val="1"/>
    <w:qFormat/>
    <w:uiPriority w:val="99"/>
    <w:pPr>
      <w:ind w:firstLine="420"/>
    </w:pPr>
    <w:rPr>
      <w:rFonts w:ascii="Times New Roman" w:hAnsi="Times New Roman"/>
      <w:szCs w:val="20"/>
    </w:rPr>
  </w:style>
  <w:style w:type="paragraph" w:styleId="17">
    <w:name w:val="Document Map"/>
    <w:basedOn w:val="1"/>
    <w:link w:val="61"/>
    <w:qFormat/>
    <w:uiPriority w:val="99"/>
    <w:pPr>
      <w:shd w:val="clear" w:color="auto" w:fill="000080"/>
    </w:pPr>
    <w:rPr>
      <w:rFonts w:ascii="Times New Roman" w:hAnsi="Times New Roman"/>
      <w:szCs w:val="20"/>
    </w:rPr>
  </w:style>
  <w:style w:type="paragraph" w:styleId="18">
    <w:name w:val="annotation text"/>
    <w:basedOn w:val="1"/>
    <w:link w:val="62"/>
    <w:unhideWhenUsed/>
    <w:qFormat/>
    <w:uiPriority w:val="99"/>
    <w:pPr>
      <w:jc w:val="left"/>
    </w:pPr>
  </w:style>
  <w:style w:type="paragraph" w:styleId="19">
    <w:name w:val="Body Text Indent"/>
    <w:basedOn w:val="1"/>
    <w:link w:val="63"/>
    <w:qFormat/>
    <w:uiPriority w:val="99"/>
    <w:pPr>
      <w:ind w:firstLine="570"/>
    </w:pPr>
    <w:rPr>
      <w:rFonts w:ascii="Times New Roman" w:hAnsi="Times New Roman"/>
      <w:sz w:val="28"/>
      <w:szCs w:val="20"/>
    </w:r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Plain Text"/>
    <w:basedOn w:val="1"/>
    <w:next w:val="1"/>
    <w:link w:val="64"/>
    <w:qFormat/>
    <w:uiPriority w:val="99"/>
    <w:rPr>
      <w:rFonts w:ascii="宋体" w:hAnsi="Courier New"/>
      <w:szCs w:val="20"/>
    </w:rPr>
  </w:style>
  <w:style w:type="paragraph" w:styleId="22">
    <w:name w:val="Date"/>
    <w:basedOn w:val="1"/>
    <w:next w:val="1"/>
    <w:link w:val="65"/>
    <w:qFormat/>
    <w:uiPriority w:val="99"/>
    <w:rPr>
      <w:rFonts w:ascii="Times New Roman" w:hAnsi="Times New Roman"/>
      <w:szCs w:val="20"/>
    </w:rPr>
  </w:style>
  <w:style w:type="paragraph" w:styleId="23">
    <w:name w:val="Body Text Indent 2"/>
    <w:basedOn w:val="1"/>
    <w:link w:val="66"/>
    <w:qFormat/>
    <w:uiPriority w:val="99"/>
    <w:pPr>
      <w:spacing w:line="400" w:lineRule="exact"/>
      <w:ind w:left="425"/>
    </w:pPr>
    <w:rPr>
      <w:rFonts w:ascii="Times New Roman" w:hAnsi="Times New Roman"/>
      <w:color w:val="000000"/>
      <w:sz w:val="24"/>
      <w:szCs w:val="20"/>
    </w:rPr>
  </w:style>
  <w:style w:type="paragraph" w:styleId="24">
    <w:name w:val="endnote text"/>
    <w:basedOn w:val="1"/>
    <w:link w:val="67"/>
    <w:qFormat/>
    <w:uiPriority w:val="99"/>
    <w:pPr>
      <w:snapToGrid w:val="0"/>
      <w:jc w:val="left"/>
    </w:pPr>
    <w:rPr>
      <w:rFonts w:ascii="Times New Roman" w:hAnsi="Times New Roman"/>
      <w:szCs w:val="20"/>
    </w:rPr>
  </w:style>
  <w:style w:type="paragraph" w:styleId="25">
    <w:name w:val="Balloon Text"/>
    <w:basedOn w:val="1"/>
    <w:link w:val="68"/>
    <w:qFormat/>
    <w:uiPriority w:val="99"/>
    <w:rPr>
      <w:rFonts w:ascii="Times New Roman" w:hAnsi="Times New Roman"/>
      <w:sz w:val="18"/>
      <w:szCs w:val="18"/>
    </w:rPr>
  </w:style>
  <w:style w:type="paragraph" w:styleId="26">
    <w:name w:val="footer"/>
    <w:basedOn w:val="1"/>
    <w:link w:val="69"/>
    <w:unhideWhenUsed/>
    <w:qFormat/>
    <w:uiPriority w:val="99"/>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szCs w:val="24"/>
    </w:rPr>
  </w:style>
  <w:style w:type="paragraph" w:styleId="28">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0">
    <w:name w:val="footnote text"/>
    <w:basedOn w:val="1"/>
    <w:link w:val="71"/>
    <w:qFormat/>
    <w:uiPriority w:val="99"/>
    <w:pPr>
      <w:snapToGrid w:val="0"/>
      <w:spacing w:line="360" w:lineRule="auto"/>
      <w:ind w:firstLine="523" w:firstLineChars="218"/>
      <w:jc w:val="left"/>
    </w:pPr>
    <w:rPr>
      <w:rFonts w:ascii="宋体" w:hAnsi="宋体"/>
      <w:sz w:val="18"/>
      <w:szCs w:val="18"/>
    </w:rPr>
  </w:style>
  <w:style w:type="paragraph" w:styleId="31">
    <w:name w:val="Body Text Indent 3"/>
    <w:basedOn w:val="1"/>
    <w:link w:val="72"/>
    <w:qFormat/>
    <w:uiPriority w:val="99"/>
    <w:pPr>
      <w:tabs>
        <w:tab w:val="left" w:pos="0"/>
      </w:tabs>
      <w:spacing w:line="400" w:lineRule="exact"/>
      <w:ind w:left="563" w:leftChars="228" w:hanging="84" w:hangingChars="35"/>
    </w:pPr>
    <w:rPr>
      <w:rFonts w:ascii="Times New Roman" w:hAnsi="Times New Roman"/>
      <w:color w:val="000000"/>
      <w:sz w:val="24"/>
      <w:szCs w:val="20"/>
    </w:rPr>
  </w:style>
  <w:style w:type="paragraph" w:styleId="32">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3">
    <w:name w:val="Body Text 2"/>
    <w:basedOn w:val="1"/>
    <w:link w:val="73"/>
    <w:qFormat/>
    <w:uiPriority w:val="99"/>
    <w:rPr>
      <w:rFonts w:ascii="宋体" w:hAnsi="宋体"/>
      <w:szCs w:val="24"/>
      <w:u w:val="single"/>
    </w:rPr>
  </w:style>
  <w:style w:type="paragraph" w:styleId="34">
    <w:name w:val="Normal (Web)"/>
    <w:basedOn w:val="1"/>
    <w:unhideWhenUsed/>
    <w:qFormat/>
    <w:uiPriority w:val="99"/>
    <w:rPr>
      <w:rFonts w:ascii="等线" w:hAnsi="等线" w:eastAsia="等线"/>
      <w:sz w:val="24"/>
      <w:szCs w:val="24"/>
    </w:rPr>
  </w:style>
  <w:style w:type="paragraph" w:styleId="35">
    <w:name w:val="index 1"/>
    <w:basedOn w:val="1"/>
    <w:next w:val="1"/>
    <w:qFormat/>
    <w:uiPriority w:val="99"/>
    <w:rPr>
      <w:rFonts w:ascii="Times New Roman" w:hAnsi="Times New Roman" w:eastAsia="仿宋_GB2312"/>
      <w:sz w:val="28"/>
      <w:szCs w:val="20"/>
    </w:rPr>
  </w:style>
  <w:style w:type="paragraph" w:styleId="36">
    <w:name w:val="annotation subject"/>
    <w:basedOn w:val="18"/>
    <w:next w:val="18"/>
    <w:link w:val="74"/>
    <w:qFormat/>
    <w:uiPriority w:val="99"/>
    <w:pPr>
      <w:spacing w:line="360" w:lineRule="auto"/>
      <w:ind w:firstLine="523" w:firstLineChars="218"/>
    </w:pPr>
    <w:rPr>
      <w:rFonts w:ascii="宋体" w:hAnsi="宋体"/>
      <w:b/>
      <w:bCs/>
      <w:sz w:val="24"/>
      <w:szCs w:val="24"/>
    </w:rPr>
  </w:style>
  <w:style w:type="paragraph" w:styleId="37">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rPr>
  </w:style>
  <w:style w:type="character" w:styleId="42">
    <w:name w:val="endnote reference"/>
    <w:qFormat/>
    <w:uiPriority w:val="99"/>
    <w:rPr>
      <w:vertAlign w:val="superscript"/>
    </w:rPr>
  </w:style>
  <w:style w:type="character" w:styleId="43">
    <w:name w:val="page number"/>
    <w:basedOn w:val="40"/>
    <w:qFormat/>
    <w:uiPriority w:val="99"/>
  </w:style>
  <w:style w:type="character" w:styleId="44">
    <w:name w:val="FollowedHyperlink"/>
    <w:unhideWhenUsed/>
    <w:qFormat/>
    <w:uiPriority w:val="99"/>
    <w:rPr>
      <w:color w:val="954F72"/>
      <w:u w:val="single"/>
    </w:rPr>
  </w:style>
  <w:style w:type="character" w:styleId="45">
    <w:name w:val="Hyperlink"/>
    <w:qFormat/>
    <w:uiPriority w:val="99"/>
    <w:rPr>
      <w:color w:val="0000FF"/>
      <w:u w:val="single"/>
    </w:rPr>
  </w:style>
  <w:style w:type="character" w:styleId="46">
    <w:name w:val="annotation reference"/>
    <w:qFormat/>
    <w:uiPriority w:val="99"/>
    <w:rPr>
      <w:sz w:val="21"/>
    </w:rPr>
  </w:style>
  <w:style w:type="character" w:styleId="47">
    <w:name w:val="footnote reference"/>
    <w:qFormat/>
    <w:uiPriority w:val="99"/>
    <w:rPr>
      <w:vertAlign w:val="superscript"/>
    </w:rPr>
  </w:style>
  <w:style w:type="paragraph" w:customStyle="1" w:styleId="48">
    <w:name w:val="Default"/>
    <w:qFormat/>
    <w:uiPriority w:val="0"/>
    <w:pPr>
      <w:widowControl w:val="0"/>
      <w:autoSpaceDE w:val="0"/>
      <w:autoSpaceDN w:val="0"/>
      <w:adjustRightInd w:val="0"/>
    </w:pPr>
    <w:rPr>
      <w:rFonts w:ascii="ˎ̥" w:hAnsi="Times New Roman" w:eastAsia="ˎ̥" w:cs="Times New Roman"/>
      <w:color w:val="000000"/>
      <w:sz w:val="24"/>
      <w:szCs w:val="24"/>
      <w:lang w:val="en-US" w:eastAsia="zh-CN" w:bidi="ar-SA"/>
    </w:rPr>
  </w:style>
  <w:style w:type="character" w:customStyle="1" w:styleId="49">
    <w:name w:val="标题 1 Char"/>
    <w:link w:val="4"/>
    <w:qFormat/>
    <w:locked/>
    <w:uiPriority w:val="9"/>
    <w:rPr>
      <w:rFonts w:ascii="Arial" w:hAnsi="Arial" w:eastAsia="宋体"/>
      <w:b/>
      <w:kern w:val="44"/>
      <w:sz w:val="28"/>
    </w:rPr>
  </w:style>
  <w:style w:type="character" w:customStyle="1" w:styleId="50">
    <w:name w:val="标题 2 Char"/>
    <w:link w:val="8"/>
    <w:qFormat/>
    <w:locked/>
    <w:uiPriority w:val="9"/>
    <w:rPr>
      <w:rFonts w:ascii="Arial" w:hAnsi="Arial" w:eastAsia="宋体"/>
      <w:b/>
      <w:color w:val="000000"/>
      <w:sz w:val="24"/>
    </w:rPr>
  </w:style>
  <w:style w:type="character" w:customStyle="1" w:styleId="51">
    <w:name w:val="标题 3 Char"/>
    <w:link w:val="10"/>
    <w:qFormat/>
    <w:locked/>
    <w:uiPriority w:val="9"/>
    <w:rPr>
      <w:rFonts w:ascii="宋体" w:hAnsi="宋体" w:eastAsia="宋体"/>
      <w:kern w:val="0"/>
      <w:sz w:val="27"/>
    </w:rPr>
  </w:style>
  <w:style w:type="character" w:customStyle="1" w:styleId="52">
    <w:name w:val="标题 4 Char"/>
    <w:link w:val="11"/>
    <w:qFormat/>
    <w:locked/>
    <w:uiPriority w:val="9"/>
    <w:rPr>
      <w:rFonts w:ascii="Arial" w:hAnsi="Arial" w:eastAsia="宋体"/>
      <w:color w:val="000000"/>
      <w:sz w:val="21"/>
    </w:rPr>
  </w:style>
  <w:style w:type="character" w:customStyle="1" w:styleId="53">
    <w:name w:val="标题 5 Char"/>
    <w:link w:val="12"/>
    <w:qFormat/>
    <w:locked/>
    <w:uiPriority w:val="9"/>
    <w:rPr>
      <w:rFonts w:ascii="Arial" w:hAnsi="Arial" w:eastAsia="宋体"/>
      <w:color w:val="000000"/>
      <w:sz w:val="21"/>
    </w:rPr>
  </w:style>
  <w:style w:type="character" w:customStyle="1" w:styleId="54">
    <w:name w:val="标题 6 Char"/>
    <w:link w:val="13"/>
    <w:qFormat/>
    <w:locked/>
    <w:uiPriority w:val="9"/>
    <w:rPr>
      <w:rFonts w:ascii="Arial" w:hAnsi="Arial" w:eastAsia="黑体"/>
      <w:b/>
      <w:sz w:val="24"/>
    </w:rPr>
  </w:style>
  <w:style w:type="character" w:customStyle="1" w:styleId="55">
    <w:name w:val="标题 7 Char"/>
    <w:link w:val="14"/>
    <w:qFormat/>
    <w:locked/>
    <w:uiPriority w:val="9"/>
    <w:rPr>
      <w:rFonts w:ascii="Times New Roman" w:hAnsi="Times New Roman" w:eastAsia="宋体"/>
      <w:b/>
      <w:sz w:val="20"/>
    </w:rPr>
  </w:style>
  <w:style w:type="character" w:customStyle="1" w:styleId="56">
    <w:name w:val="标题 8 Char"/>
    <w:link w:val="15"/>
    <w:qFormat/>
    <w:locked/>
    <w:uiPriority w:val="9"/>
    <w:rPr>
      <w:rFonts w:ascii="Arial" w:hAnsi="Arial" w:eastAsia="黑体"/>
      <w:sz w:val="20"/>
    </w:rPr>
  </w:style>
  <w:style w:type="character" w:customStyle="1" w:styleId="57">
    <w:name w:val="标题 9 Char"/>
    <w:link w:val="16"/>
    <w:qFormat/>
    <w:locked/>
    <w:uiPriority w:val="9"/>
    <w:rPr>
      <w:rFonts w:ascii="Arial" w:hAnsi="Arial" w:eastAsia="黑体"/>
      <w:sz w:val="20"/>
    </w:rPr>
  </w:style>
  <w:style w:type="character" w:customStyle="1" w:styleId="58">
    <w:name w:val="标题 Char"/>
    <w:link w:val="5"/>
    <w:qFormat/>
    <w:locked/>
    <w:uiPriority w:val="10"/>
    <w:rPr>
      <w:rFonts w:ascii="Arial" w:hAnsi="Arial" w:eastAsia="宋体"/>
      <w:b/>
      <w:sz w:val="20"/>
    </w:rPr>
  </w:style>
  <w:style w:type="character" w:customStyle="1" w:styleId="59">
    <w:name w:val="正文文本 Char"/>
    <w:link w:val="7"/>
    <w:qFormat/>
    <w:locked/>
    <w:uiPriority w:val="99"/>
    <w:rPr>
      <w:rFonts w:ascii="Times New Roman" w:hAnsi="Times New Roman" w:eastAsia="宋体"/>
      <w:sz w:val="20"/>
    </w:rPr>
  </w:style>
  <w:style w:type="character" w:customStyle="1" w:styleId="60">
    <w:name w:val="正文首行缩进 Char"/>
    <w:link w:val="6"/>
    <w:qFormat/>
    <w:locked/>
    <w:uiPriority w:val="99"/>
    <w:rPr>
      <w:rFonts w:ascii="Times New Roman" w:hAnsi="Times New Roman" w:eastAsia="宋体"/>
      <w:sz w:val="20"/>
    </w:rPr>
  </w:style>
  <w:style w:type="character" w:customStyle="1" w:styleId="61">
    <w:name w:val="文档结构图 Char"/>
    <w:link w:val="17"/>
    <w:qFormat/>
    <w:locked/>
    <w:uiPriority w:val="99"/>
    <w:rPr>
      <w:rFonts w:ascii="Times New Roman" w:hAnsi="Times New Roman" w:eastAsia="宋体"/>
      <w:sz w:val="20"/>
      <w:shd w:val="clear" w:color="auto" w:fill="000080"/>
    </w:rPr>
  </w:style>
  <w:style w:type="character" w:customStyle="1" w:styleId="62">
    <w:name w:val="批注文字 Char"/>
    <w:link w:val="18"/>
    <w:qFormat/>
    <w:locked/>
    <w:uiPriority w:val="99"/>
    <w:rPr>
      <w:rFonts w:ascii="Calibri" w:hAnsi="Calibri" w:eastAsia="宋体"/>
    </w:rPr>
  </w:style>
  <w:style w:type="character" w:customStyle="1" w:styleId="63">
    <w:name w:val="正文文本缩进 Char"/>
    <w:link w:val="19"/>
    <w:qFormat/>
    <w:locked/>
    <w:uiPriority w:val="99"/>
    <w:rPr>
      <w:rFonts w:ascii="Times New Roman" w:hAnsi="Times New Roman" w:eastAsia="宋体"/>
      <w:sz w:val="20"/>
    </w:rPr>
  </w:style>
  <w:style w:type="character" w:customStyle="1" w:styleId="64">
    <w:name w:val="纯文本 Char"/>
    <w:link w:val="21"/>
    <w:qFormat/>
    <w:locked/>
    <w:uiPriority w:val="0"/>
    <w:rPr>
      <w:rFonts w:ascii="宋体" w:hAnsi="Courier New" w:eastAsia="宋体"/>
      <w:sz w:val="20"/>
    </w:rPr>
  </w:style>
  <w:style w:type="character" w:customStyle="1" w:styleId="65">
    <w:name w:val="日期 Char"/>
    <w:link w:val="22"/>
    <w:qFormat/>
    <w:locked/>
    <w:uiPriority w:val="99"/>
    <w:rPr>
      <w:rFonts w:ascii="Times New Roman" w:hAnsi="Times New Roman" w:eastAsia="宋体"/>
      <w:sz w:val="20"/>
    </w:rPr>
  </w:style>
  <w:style w:type="character" w:customStyle="1" w:styleId="66">
    <w:name w:val="正文文本缩进 2 Char"/>
    <w:link w:val="23"/>
    <w:qFormat/>
    <w:locked/>
    <w:uiPriority w:val="99"/>
    <w:rPr>
      <w:rFonts w:ascii="Times New Roman" w:hAnsi="Times New Roman" w:eastAsia="宋体"/>
      <w:color w:val="000000"/>
      <w:sz w:val="20"/>
    </w:rPr>
  </w:style>
  <w:style w:type="character" w:customStyle="1" w:styleId="67">
    <w:name w:val="尾注文本 Char"/>
    <w:link w:val="24"/>
    <w:qFormat/>
    <w:locked/>
    <w:uiPriority w:val="99"/>
    <w:rPr>
      <w:rFonts w:ascii="Times New Roman" w:hAnsi="Times New Roman" w:eastAsia="宋体"/>
      <w:sz w:val="20"/>
    </w:rPr>
  </w:style>
  <w:style w:type="character" w:customStyle="1" w:styleId="68">
    <w:name w:val="批注框文本 Char"/>
    <w:link w:val="25"/>
    <w:qFormat/>
    <w:locked/>
    <w:uiPriority w:val="99"/>
    <w:rPr>
      <w:rFonts w:ascii="Times New Roman" w:hAnsi="Times New Roman" w:eastAsia="宋体"/>
      <w:sz w:val="18"/>
    </w:rPr>
  </w:style>
  <w:style w:type="character" w:customStyle="1" w:styleId="69">
    <w:name w:val="页脚 Char"/>
    <w:link w:val="26"/>
    <w:qFormat/>
    <w:locked/>
    <w:uiPriority w:val="99"/>
    <w:rPr>
      <w:rFonts w:ascii="Calibri" w:hAnsi="Calibri" w:eastAsia="宋体"/>
      <w:sz w:val="18"/>
    </w:rPr>
  </w:style>
  <w:style w:type="character" w:customStyle="1" w:styleId="70">
    <w:name w:val="页眉 Char"/>
    <w:link w:val="28"/>
    <w:qFormat/>
    <w:locked/>
    <w:uiPriority w:val="99"/>
    <w:rPr>
      <w:rFonts w:ascii="Calibri" w:hAnsi="Calibri" w:eastAsia="宋体"/>
      <w:sz w:val="18"/>
    </w:rPr>
  </w:style>
  <w:style w:type="character" w:customStyle="1" w:styleId="71">
    <w:name w:val="脚注文本 Char"/>
    <w:link w:val="30"/>
    <w:qFormat/>
    <w:locked/>
    <w:uiPriority w:val="99"/>
    <w:rPr>
      <w:rFonts w:ascii="宋体" w:hAnsi="宋体" w:eastAsia="宋体"/>
      <w:sz w:val="18"/>
    </w:rPr>
  </w:style>
  <w:style w:type="character" w:customStyle="1" w:styleId="72">
    <w:name w:val="正文文本缩进 3 Char"/>
    <w:link w:val="31"/>
    <w:qFormat/>
    <w:locked/>
    <w:uiPriority w:val="99"/>
    <w:rPr>
      <w:rFonts w:ascii="Times New Roman" w:hAnsi="Times New Roman" w:eastAsia="宋体"/>
      <w:color w:val="000000"/>
      <w:sz w:val="20"/>
    </w:rPr>
  </w:style>
  <w:style w:type="character" w:customStyle="1" w:styleId="73">
    <w:name w:val="正文文本 2 Char"/>
    <w:link w:val="33"/>
    <w:qFormat/>
    <w:locked/>
    <w:uiPriority w:val="99"/>
    <w:rPr>
      <w:rFonts w:ascii="宋体" w:hAnsi="宋体" w:eastAsia="宋体"/>
      <w:sz w:val="24"/>
      <w:u w:val="single"/>
    </w:rPr>
  </w:style>
  <w:style w:type="character" w:customStyle="1" w:styleId="74">
    <w:name w:val="批注主题 Char"/>
    <w:link w:val="36"/>
    <w:qFormat/>
    <w:locked/>
    <w:uiPriority w:val="99"/>
    <w:rPr>
      <w:rFonts w:ascii="宋体" w:hAnsi="宋体" w:eastAsia="宋体"/>
      <w:b/>
      <w:sz w:val="24"/>
    </w:rPr>
  </w:style>
  <w:style w:type="character" w:customStyle="1" w:styleId="75">
    <w:name w:val="标题 1 字符"/>
    <w:qFormat/>
    <w:uiPriority w:val="9"/>
    <w:rPr>
      <w:rFonts w:ascii="Calibri" w:hAnsi="Calibri" w:eastAsia="宋体"/>
      <w:b/>
      <w:kern w:val="44"/>
      <w:sz w:val="44"/>
    </w:rPr>
  </w:style>
  <w:style w:type="character" w:customStyle="1" w:styleId="76">
    <w:name w:val="标题 2 字符"/>
    <w:semiHidden/>
    <w:qFormat/>
    <w:uiPriority w:val="9"/>
    <w:rPr>
      <w:rFonts w:ascii="等线 Light" w:hAnsi="等线 Light" w:eastAsia="等线 Light"/>
      <w:b/>
      <w:sz w:val="32"/>
    </w:rPr>
  </w:style>
  <w:style w:type="character" w:customStyle="1" w:styleId="77">
    <w:name w:val="标题 3 字符"/>
    <w:semiHidden/>
    <w:qFormat/>
    <w:uiPriority w:val="9"/>
    <w:rPr>
      <w:rFonts w:ascii="Calibri" w:hAnsi="Calibri" w:eastAsia="宋体"/>
      <w:b/>
      <w:sz w:val="32"/>
    </w:rPr>
  </w:style>
  <w:style w:type="character" w:customStyle="1" w:styleId="78">
    <w:name w:val="标题 4 字符"/>
    <w:semiHidden/>
    <w:qFormat/>
    <w:uiPriority w:val="9"/>
    <w:rPr>
      <w:rFonts w:ascii="等线 Light" w:hAnsi="等线 Light" w:eastAsia="等线 Light"/>
      <w:b/>
      <w:sz w:val="28"/>
    </w:rPr>
  </w:style>
  <w:style w:type="character" w:customStyle="1" w:styleId="79">
    <w:name w:val="标题 5 字符"/>
    <w:semiHidden/>
    <w:qFormat/>
    <w:uiPriority w:val="9"/>
    <w:rPr>
      <w:rFonts w:ascii="Calibri" w:hAnsi="Calibri" w:eastAsia="宋体"/>
      <w:b/>
      <w:sz w:val="28"/>
    </w:rPr>
  </w:style>
  <w:style w:type="character" w:customStyle="1" w:styleId="80">
    <w:name w:val="标题 6 字符"/>
    <w:semiHidden/>
    <w:qFormat/>
    <w:uiPriority w:val="9"/>
    <w:rPr>
      <w:rFonts w:ascii="等线 Light" w:hAnsi="等线 Light" w:eastAsia="等线 Light"/>
      <w:b/>
      <w:sz w:val="24"/>
    </w:rPr>
  </w:style>
  <w:style w:type="character" w:customStyle="1" w:styleId="81">
    <w:name w:val="标题 7 字符"/>
    <w:semiHidden/>
    <w:qFormat/>
    <w:uiPriority w:val="9"/>
    <w:rPr>
      <w:rFonts w:ascii="Calibri" w:hAnsi="Calibri" w:eastAsia="宋体"/>
      <w:b/>
      <w:sz w:val="24"/>
    </w:rPr>
  </w:style>
  <w:style w:type="character" w:customStyle="1" w:styleId="82">
    <w:name w:val="标题 8 字符"/>
    <w:semiHidden/>
    <w:qFormat/>
    <w:uiPriority w:val="9"/>
    <w:rPr>
      <w:rFonts w:ascii="等线 Light" w:hAnsi="等线 Light" w:eastAsia="等线 Light"/>
      <w:sz w:val="24"/>
    </w:rPr>
  </w:style>
  <w:style w:type="character" w:customStyle="1" w:styleId="83">
    <w:name w:val="标题 9 字符"/>
    <w:semiHidden/>
    <w:qFormat/>
    <w:uiPriority w:val="9"/>
    <w:rPr>
      <w:rFonts w:ascii="等线 Light" w:hAnsi="等线 Light" w:eastAsia="等线 Light"/>
      <w:sz w:val="21"/>
    </w:rPr>
  </w:style>
  <w:style w:type="character" w:customStyle="1" w:styleId="84">
    <w:name w:val="批注框文本 字符"/>
    <w:semiHidden/>
    <w:qFormat/>
    <w:uiPriority w:val="99"/>
    <w:rPr>
      <w:rFonts w:ascii="Calibri" w:hAnsi="Calibri" w:eastAsia="宋体"/>
      <w:sz w:val="18"/>
    </w:rPr>
  </w:style>
  <w:style w:type="character" w:customStyle="1" w:styleId="85">
    <w:name w:val="正文文本缩进 2 字符"/>
    <w:semiHidden/>
    <w:qFormat/>
    <w:uiPriority w:val="99"/>
    <w:rPr>
      <w:rFonts w:ascii="Calibri" w:hAnsi="Calibri" w:eastAsia="宋体"/>
    </w:rPr>
  </w:style>
  <w:style w:type="character" w:customStyle="1" w:styleId="86">
    <w:name w:val="正文文本缩进 3 字符"/>
    <w:semiHidden/>
    <w:qFormat/>
    <w:uiPriority w:val="99"/>
    <w:rPr>
      <w:rFonts w:ascii="Calibri" w:hAnsi="Calibri" w:eastAsia="宋体"/>
      <w:sz w:val="16"/>
    </w:rPr>
  </w:style>
  <w:style w:type="character" w:customStyle="1" w:styleId="87">
    <w:name w:val="文档结构图 字符"/>
    <w:semiHidden/>
    <w:qFormat/>
    <w:uiPriority w:val="99"/>
    <w:rPr>
      <w:rFonts w:ascii="Microsoft YaHei UI" w:hAnsi="Calibri" w:eastAsia="Microsoft YaHei UI"/>
      <w:sz w:val="18"/>
    </w:rPr>
  </w:style>
  <w:style w:type="character" w:customStyle="1" w:styleId="88">
    <w:name w:val="批注文字 字符"/>
    <w:semiHidden/>
    <w:qFormat/>
    <w:uiPriority w:val="99"/>
    <w:rPr>
      <w:rFonts w:ascii="Calibri" w:hAnsi="Calibri" w:eastAsia="宋体"/>
    </w:rPr>
  </w:style>
  <w:style w:type="character" w:customStyle="1" w:styleId="89">
    <w:name w:val="页眉 字符"/>
    <w:semiHidden/>
    <w:qFormat/>
    <w:uiPriority w:val="99"/>
    <w:rPr>
      <w:rFonts w:ascii="Calibri" w:hAnsi="Calibri" w:eastAsia="宋体"/>
      <w:sz w:val="18"/>
    </w:rPr>
  </w:style>
  <w:style w:type="character" w:customStyle="1" w:styleId="90">
    <w:name w:val="批注文字 字符1"/>
    <w:qFormat/>
    <w:uiPriority w:val="0"/>
    <w:rPr>
      <w:rFonts w:ascii="宋体" w:hAnsi="宋体" w:eastAsia="宋体"/>
      <w:sz w:val="24"/>
    </w:rPr>
  </w:style>
  <w:style w:type="character" w:customStyle="1" w:styleId="91">
    <w:name w:val="页脚 字符"/>
    <w:qFormat/>
    <w:uiPriority w:val="99"/>
    <w:rPr>
      <w:rFonts w:ascii="Calibri" w:hAnsi="Calibri" w:eastAsia="宋体"/>
      <w:sz w:val="18"/>
    </w:rPr>
  </w:style>
  <w:style w:type="character" w:customStyle="1" w:styleId="92">
    <w:name w:val="尾注文本 字符"/>
    <w:semiHidden/>
    <w:qFormat/>
    <w:uiPriority w:val="99"/>
    <w:rPr>
      <w:rFonts w:ascii="Calibri" w:hAnsi="Calibri" w:eastAsia="宋体"/>
    </w:rPr>
  </w:style>
  <w:style w:type="character" w:customStyle="1" w:styleId="93">
    <w:name w:val="正文首行缩进 字符"/>
    <w:semiHidden/>
    <w:qFormat/>
    <w:uiPriority w:val="99"/>
    <w:rPr>
      <w:rFonts w:ascii="Calibri" w:hAnsi="Calibri" w:eastAsia="宋体"/>
    </w:rPr>
  </w:style>
  <w:style w:type="character" w:customStyle="1" w:styleId="94">
    <w:name w:val="正文文本 字符"/>
    <w:semiHidden/>
    <w:qFormat/>
    <w:uiPriority w:val="99"/>
    <w:rPr>
      <w:rFonts w:ascii="Calibri" w:hAnsi="Calibri" w:eastAsia="宋体"/>
    </w:rPr>
  </w:style>
  <w:style w:type="character" w:customStyle="1" w:styleId="95">
    <w:name w:val="脚注文本 字符"/>
    <w:semiHidden/>
    <w:qFormat/>
    <w:uiPriority w:val="99"/>
    <w:rPr>
      <w:rFonts w:ascii="Calibri" w:hAnsi="Calibri" w:eastAsia="宋体"/>
      <w:sz w:val="18"/>
    </w:rPr>
  </w:style>
  <w:style w:type="character" w:customStyle="1" w:styleId="96">
    <w:name w:val="标题 字符"/>
    <w:qFormat/>
    <w:uiPriority w:val="10"/>
    <w:rPr>
      <w:rFonts w:ascii="等线 Light" w:hAnsi="等线 Light" w:eastAsia="等线 Light"/>
      <w:b/>
      <w:sz w:val="32"/>
    </w:rPr>
  </w:style>
  <w:style w:type="character" w:customStyle="1" w:styleId="97">
    <w:name w:val="日期 字符"/>
    <w:semiHidden/>
    <w:qFormat/>
    <w:uiPriority w:val="99"/>
    <w:rPr>
      <w:rFonts w:ascii="Calibri" w:hAnsi="Calibri" w:eastAsia="宋体"/>
    </w:rPr>
  </w:style>
  <w:style w:type="character" w:customStyle="1" w:styleId="98">
    <w:name w:val="正文文本缩进 字符"/>
    <w:semiHidden/>
    <w:qFormat/>
    <w:uiPriority w:val="99"/>
    <w:rPr>
      <w:rFonts w:ascii="Calibri" w:hAnsi="Calibri" w:eastAsia="宋体"/>
    </w:rPr>
  </w:style>
  <w:style w:type="character" w:customStyle="1" w:styleId="99">
    <w:name w:val="纯文本 字符"/>
    <w:semiHidden/>
    <w:qFormat/>
    <w:uiPriority w:val="99"/>
    <w:rPr>
      <w:rFonts w:ascii="等线" w:hAnsi="Courier New"/>
    </w:rPr>
  </w:style>
  <w:style w:type="character" w:customStyle="1" w:styleId="100">
    <w:name w:val="正文文本 2 字符"/>
    <w:semiHidden/>
    <w:qFormat/>
    <w:uiPriority w:val="99"/>
    <w:rPr>
      <w:rFonts w:ascii="Calibri" w:hAnsi="Calibri" w:eastAsia="宋体"/>
    </w:rPr>
  </w:style>
  <w:style w:type="character" w:customStyle="1" w:styleId="101">
    <w:name w:val="批注主题 字符"/>
    <w:semiHidden/>
    <w:qFormat/>
    <w:uiPriority w:val="99"/>
    <w:rPr>
      <w:rFonts w:ascii="Calibri" w:hAnsi="Calibri" w:eastAsia="宋体"/>
      <w:b/>
    </w:rPr>
  </w:style>
  <w:style w:type="character" w:customStyle="1" w:styleId="102">
    <w:name w:val="页脚 字符2"/>
    <w:semiHidden/>
    <w:qFormat/>
    <w:uiPriority w:val="99"/>
    <w:rPr>
      <w:rFonts w:ascii="Calibri" w:hAnsi="Calibri" w:eastAsia="宋体"/>
      <w:sz w:val="18"/>
    </w:rPr>
  </w:style>
  <w:style w:type="character" w:customStyle="1" w:styleId="103">
    <w:name w:val="正文文本缩进 2 字符2"/>
    <w:semiHidden/>
    <w:qFormat/>
    <w:uiPriority w:val="99"/>
    <w:rPr>
      <w:rFonts w:ascii="Calibri" w:hAnsi="Calibri" w:eastAsia="宋体"/>
    </w:rPr>
  </w:style>
  <w:style w:type="character" w:customStyle="1" w:styleId="104">
    <w:name w:val="正文文本缩进 字符2"/>
    <w:semiHidden/>
    <w:qFormat/>
    <w:uiPriority w:val="99"/>
    <w:rPr>
      <w:rFonts w:ascii="Calibri" w:hAnsi="Calibri" w:eastAsia="宋体"/>
    </w:rPr>
  </w:style>
  <w:style w:type="character" w:customStyle="1" w:styleId="105">
    <w:name w:val="脚注文本 字符2"/>
    <w:semiHidden/>
    <w:qFormat/>
    <w:uiPriority w:val="99"/>
    <w:rPr>
      <w:rFonts w:ascii="Calibri" w:hAnsi="Calibri" w:eastAsia="宋体"/>
      <w:sz w:val="18"/>
    </w:rPr>
  </w:style>
  <w:style w:type="character" w:customStyle="1" w:styleId="106">
    <w:name w:val="批注框文本 字符2"/>
    <w:semiHidden/>
    <w:qFormat/>
    <w:uiPriority w:val="99"/>
    <w:rPr>
      <w:rFonts w:ascii="Calibri" w:hAnsi="Calibri" w:eastAsia="宋体"/>
      <w:sz w:val="18"/>
    </w:rPr>
  </w:style>
  <w:style w:type="character" w:customStyle="1" w:styleId="107">
    <w:name w:val="批注主题 字符2"/>
    <w:semiHidden/>
    <w:qFormat/>
    <w:uiPriority w:val="99"/>
    <w:rPr>
      <w:rFonts w:ascii="Calibri" w:hAnsi="Calibri" w:eastAsia="宋体"/>
      <w:b/>
    </w:rPr>
  </w:style>
  <w:style w:type="character" w:customStyle="1" w:styleId="108">
    <w:name w:val="正文文本缩进 3 字符2"/>
    <w:semiHidden/>
    <w:qFormat/>
    <w:uiPriority w:val="99"/>
    <w:rPr>
      <w:rFonts w:ascii="Calibri" w:hAnsi="Calibri" w:eastAsia="宋体"/>
      <w:sz w:val="16"/>
    </w:rPr>
  </w:style>
  <w:style w:type="character" w:customStyle="1" w:styleId="109">
    <w:name w:val="文档结构图 字符2"/>
    <w:semiHidden/>
    <w:qFormat/>
    <w:uiPriority w:val="99"/>
    <w:rPr>
      <w:rFonts w:ascii="Microsoft YaHei UI" w:hAnsi="Calibri" w:eastAsia="Microsoft YaHei UI"/>
      <w:sz w:val="18"/>
    </w:rPr>
  </w:style>
  <w:style w:type="character" w:customStyle="1" w:styleId="110">
    <w:name w:val="页眉 字符2"/>
    <w:semiHidden/>
    <w:qFormat/>
    <w:uiPriority w:val="99"/>
    <w:rPr>
      <w:rFonts w:ascii="Calibri" w:hAnsi="Calibri" w:eastAsia="宋体"/>
      <w:sz w:val="18"/>
    </w:rPr>
  </w:style>
  <w:style w:type="character" w:customStyle="1" w:styleId="111">
    <w:name w:val="日期 字符2"/>
    <w:semiHidden/>
    <w:qFormat/>
    <w:uiPriority w:val="99"/>
    <w:rPr>
      <w:rFonts w:ascii="Calibri" w:hAnsi="Calibri" w:eastAsia="宋体"/>
    </w:rPr>
  </w:style>
  <w:style w:type="character" w:customStyle="1" w:styleId="112">
    <w:name w:val="正文文本 字符2"/>
    <w:semiHidden/>
    <w:qFormat/>
    <w:uiPriority w:val="99"/>
    <w:rPr>
      <w:rFonts w:ascii="Calibri" w:hAnsi="Calibri" w:eastAsia="宋体"/>
    </w:rPr>
  </w:style>
  <w:style w:type="character" w:customStyle="1" w:styleId="113">
    <w:name w:val="纯文本 字符2"/>
    <w:semiHidden/>
    <w:qFormat/>
    <w:uiPriority w:val="99"/>
    <w:rPr>
      <w:rFonts w:ascii="等线" w:hAnsi="Courier New"/>
    </w:rPr>
  </w:style>
  <w:style w:type="character" w:customStyle="1" w:styleId="114">
    <w:name w:val="标题 字符2"/>
    <w:qFormat/>
    <w:uiPriority w:val="10"/>
    <w:rPr>
      <w:rFonts w:ascii="等线 Light" w:hAnsi="等线 Light" w:eastAsia="等线 Light"/>
      <w:b/>
      <w:sz w:val="32"/>
    </w:rPr>
  </w:style>
  <w:style w:type="character" w:customStyle="1" w:styleId="115">
    <w:name w:val="正文文本首行缩进 字符1"/>
    <w:semiHidden/>
    <w:qFormat/>
    <w:uiPriority w:val="99"/>
    <w:rPr>
      <w:rFonts w:ascii="Calibri" w:hAnsi="Calibri" w:eastAsia="宋体"/>
    </w:rPr>
  </w:style>
  <w:style w:type="character" w:customStyle="1" w:styleId="116">
    <w:name w:val="正文文本 2 字符2"/>
    <w:semiHidden/>
    <w:qFormat/>
    <w:uiPriority w:val="99"/>
    <w:rPr>
      <w:rFonts w:ascii="Calibri" w:hAnsi="Calibri" w:eastAsia="宋体"/>
    </w:rPr>
  </w:style>
  <w:style w:type="character" w:customStyle="1" w:styleId="117">
    <w:name w:val="尾注文本 字符2"/>
    <w:semiHidden/>
    <w:qFormat/>
    <w:uiPriority w:val="99"/>
    <w:rPr>
      <w:rFonts w:ascii="Calibri" w:hAnsi="Calibri" w:eastAsia="宋体"/>
    </w:rPr>
  </w:style>
  <w:style w:type="paragraph" w:customStyle="1" w:styleId="11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9">
    <w:name w:val="表头"/>
    <w:basedOn w:val="1"/>
    <w:qFormat/>
    <w:uiPriority w:val="0"/>
    <w:pPr>
      <w:spacing w:line="360" w:lineRule="auto"/>
      <w:jc w:val="center"/>
    </w:pPr>
    <w:rPr>
      <w:rFonts w:ascii="黑体" w:hAnsi="Times New Roman" w:eastAsia="黑体"/>
      <w:kern w:val="0"/>
      <w:sz w:val="24"/>
      <w:szCs w:val="20"/>
    </w:rPr>
  </w:style>
  <w:style w:type="paragraph" w:customStyle="1" w:styleId="120">
    <w:name w:val="_Style 25"/>
    <w:basedOn w:val="1"/>
    <w:next w:val="1"/>
    <w:qFormat/>
    <w:uiPriority w:val="0"/>
  </w:style>
  <w:style w:type="paragraph" w:customStyle="1" w:styleId="121">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2">
    <w:name w:val="Char Char Char Char"/>
    <w:basedOn w:val="1"/>
    <w:qFormat/>
    <w:uiPriority w:val="0"/>
    <w:rPr>
      <w:rFonts w:ascii="Times New Roman" w:hAnsi="Times New Roman"/>
      <w:sz w:val="30"/>
      <w:szCs w:val="24"/>
    </w:rPr>
  </w:style>
  <w:style w:type="paragraph" w:customStyle="1" w:styleId="123">
    <w:name w:val="公文抬头"/>
    <w:basedOn w:val="9"/>
    <w:qFormat/>
    <w:uiPriority w:val="0"/>
    <w:pPr>
      <w:ind w:firstLine="0"/>
    </w:pPr>
    <w:rPr>
      <w:rFonts w:ascii="仿宋_GB2312" w:eastAsia="仿宋_GB2312"/>
      <w:sz w:val="30"/>
      <w:szCs w:val="24"/>
    </w:rPr>
  </w:style>
  <w:style w:type="paragraph" w:customStyle="1" w:styleId="124">
    <w:name w:val="列出段落1"/>
    <w:basedOn w:val="1"/>
    <w:qFormat/>
    <w:uiPriority w:val="34"/>
    <w:pPr>
      <w:ind w:firstLine="420" w:firstLineChars="200"/>
    </w:pPr>
    <w:rPr>
      <w:rFonts w:ascii="Times New Roman" w:hAnsi="Times New Roman"/>
      <w:szCs w:val="20"/>
    </w:rPr>
  </w:style>
  <w:style w:type="paragraph" w:customStyle="1" w:styleId="125">
    <w:name w:val="修订1"/>
    <w:semiHidden/>
    <w:qFormat/>
    <w:uiPriority w:val="99"/>
    <w:rPr>
      <w:rFonts w:ascii="Times New Roman" w:hAnsi="Times New Roman" w:eastAsia="宋体" w:cs="Times New Roman"/>
      <w:kern w:val="2"/>
      <w:sz w:val="21"/>
      <w:lang w:val="en-US" w:eastAsia="zh-CN" w:bidi="ar-SA"/>
    </w:rPr>
  </w:style>
  <w:style w:type="paragraph" w:customStyle="1" w:styleId="126">
    <w:name w:val="公文标题"/>
    <w:basedOn w:val="10"/>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7">
    <w:name w:val="TOC 标题1"/>
    <w:basedOn w:val="4"/>
    <w:next w:val="1"/>
    <w:qFormat/>
    <w:uiPriority w:val="39"/>
    <w:pPr>
      <w:widowControl/>
      <w:spacing w:before="480" w:after="0" w:line="276" w:lineRule="auto"/>
      <w:outlineLvl w:val="9"/>
    </w:pPr>
    <w:rPr>
      <w:rFonts w:ascii="Cambria" w:hAnsi="Cambria"/>
      <w:color w:val="365F91"/>
      <w:kern w:val="0"/>
    </w:rPr>
  </w:style>
  <w:style w:type="paragraph" w:customStyle="1" w:styleId="128">
    <w:name w:val="Char Char Char1 Char"/>
    <w:basedOn w:val="17"/>
    <w:qFormat/>
    <w:uiPriority w:val="0"/>
    <w:rPr>
      <w:rFonts w:ascii="Tahoma" w:hAnsi="Tahoma"/>
      <w:sz w:val="24"/>
      <w:szCs w:val="24"/>
    </w:rPr>
  </w:style>
  <w:style w:type="paragraph" w:customStyle="1" w:styleId="129">
    <w:name w:val="Char1"/>
    <w:basedOn w:val="1"/>
    <w:qFormat/>
    <w:uiPriority w:val="0"/>
    <w:pPr>
      <w:numPr>
        <w:ilvl w:val="0"/>
        <w:numId w:val="1"/>
      </w:numPr>
    </w:pPr>
    <w:rPr>
      <w:rFonts w:ascii="Times New Roman" w:hAnsi="Times New Roman"/>
      <w:sz w:val="24"/>
      <w:szCs w:val="24"/>
    </w:rPr>
  </w:style>
  <w:style w:type="paragraph" w:customStyle="1" w:styleId="130">
    <w:name w:val="Char"/>
    <w:basedOn w:val="1"/>
    <w:qFormat/>
    <w:uiPriority w:val="0"/>
    <w:rPr>
      <w:rFonts w:ascii="Tahoma" w:hAnsi="Tahoma"/>
      <w:sz w:val="24"/>
      <w:szCs w:val="20"/>
    </w:rPr>
  </w:style>
  <w:style w:type="paragraph" w:customStyle="1" w:styleId="131">
    <w:name w:val="发文落款"/>
    <w:basedOn w:val="118"/>
    <w:qFormat/>
    <w:uiPriority w:val="0"/>
    <w:pPr>
      <w:ind w:left="4094" w:right="607" w:firstLine="0"/>
      <w:jc w:val="center"/>
    </w:pPr>
  </w:style>
  <w:style w:type="character" w:customStyle="1" w:styleId="132">
    <w:name w:val="s2"/>
    <w:qFormat/>
    <w:uiPriority w:val="0"/>
  </w:style>
  <w:style w:type="character" w:customStyle="1" w:styleId="133">
    <w:name w:val="NormalCharacter"/>
    <w:qFormat/>
    <w:uiPriority w:val="0"/>
  </w:style>
  <w:style w:type="character" w:customStyle="1" w:styleId="134">
    <w:name w:val="s3"/>
    <w:qFormat/>
    <w:uiPriority w:val="0"/>
  </w:style>
  <w:style w:type="character" w:customStyle="1" w:styleId="135">
    <w:name w:val="s15"/>
    <w:qFormat/>
    <w:uiPriority w:val="0"/>
    <w:rPr>
      <w:color w:val="2131A1"/>
    </w:rPr>
  </w:style>
  <w:style w:type="paragraph" w:customStyle="1" w:styleId="136">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37">
    <w:name w:val="文一 Char"/>
    <w:link w:val="138"/>
    <w:qFormat/>
    <w:locked/>
    <w:uiPriority w:val="0"/>
    <w:rPr>
      <w:rFonts w:eastAsia="宋体"/>
      <w:spacing w:val="4"/>
      <w:sz w:val="24"/>
    </w:rPr>
  </w:style>
  <w:style w:type="paragraph" w:customStyle="1" w:styleId="138">
    <w:name w:val="文一"/>
    <w:basedOn w:val="1"/>
    <w:link w:val="137"/>
    <w:qFormat/>
    <w:uiPriority w:val="0"/>
    <w:pPr>
      <w:topLinePunct/>
      <w:adjustRightInd w:val="0"/>
      <w:snapToGrid w:val="0"/>
      <w:spacing w:line="360" w:lineRule="auto"/>
      <w:ind w:firstLine="200" w:firstLineChars="200"/>
    </w:pPr>
    <w:rPr>
      <w:rFonts w:ascii="等线" w:hAnsi="等线"/>
      <w:spacing w:val="4"/>
      <w:sz w:val="24"/>
      <w:szCs w:val="24"/>
    </w:rPr>
  </w:style>
  <w:style w:type="paragraph" w:customStyle="1" w:styleId="139">
    <w:name w:val="封一"/>
    <w:basedOn w:val="138"/>
    <w:next w:val="138"/>
    <w:qFormat/>
    <w:uiPriority w:val="0"/>
    <w:pPr>
      <w:ind w:firstLine="0" w:firstLineChars="0"/>
      <w:jc w:val="center"/>
    </w:pPr>
    <w:rPr>
      <w:rFonts w:eastAsia="黑体"/>
      <w:b/>
      <w:sz w:val="84"/>
      <w:szCs w:val="84"/>
    </w:rPr>
  </w:style>
  <w:style w:type="paragraph" w:customStyle="1" w:styleId="140">
    <w:name w:val="封四"/>
    <w:basedOn w:val="138"/>
    <w:next w:val="138"/>
    <w:qFormat/>
    <w:uiPriority w:val="0"/>
    <w:pPr>
      <w:jc w:val="left"/>
    </w:pPr>
    <w:rPr>
      <w:sz w:val="30"/>
      <w:szCs w:val="30"/>
    </w:rPr>
  </w:style>
  <w:style w:type="paragraph" w:customStyle="1" w:styleId="141">
    <w:name w:val="封二"/>
    <w:basedOn w:val="138"/>
    <w:next w:val="138"/>
    <w:qFormat/>
    <w:uiPriority w:val="0"/>
    <w:pPr>
      <w:ind w:firstLine="0" w:firstLineChars="0"/>
      <w:jc w:val="center"/>
    </w:pPr>
    <w:rPr>
      <w:rFonts w:eastAsia="黑体"/>
      <w:b/>
      <w:sz w:val="36"/>
      <w:szCs w:val="36"/>
    </w:rPr>
  </w:style>
  <w:style w:type="paragraph" w:customStyle="1" w:styleId="142">
    <w:name w:val="正题"/>
    <w:basedOn w:val="138"/>
    <w:next w:val="138"/>
    <w:qFormat/>
    <w:uiPriority w:val="0"/>
    <w:pPr>
      <w:ind w:firstLine="0" w:firstLineChars="0"/>
      <w:jc w:val="center"/>
    </w:pPr>
    <w:rPr>
      <w:rFonts w:eastAsia="黑体"/>
      <w:b/>
      <w:sz w:val="36"/>
      <w:szCs w:val="36"/>
    </w:rPr>
  </w:style>
  <w:style w:type="paragraph" w:customStyle="1" w:styleId="143">
    <w:name w:val="_Style 3"/>
    <w:basedOn w:val="1"/>
    <w:unhideWhenUsed/>
    <w:qFormat/>
    <w:uiPriority w:val="0"/>
    <w:pPr>
      <w:ind w:firstLine="420" w:firstLineChars="200"/>
    </w:pPr>
    <w:rPr>
      <w:rFonts w:ascii="Times New Roman" w:hAnsi="Times New Roman"/>
      <w:sz w:val="20"/>
    </w:rPr>
  </w:style>
  <w:style w:type="paragraph" w:customStyle="1" w:styleId="14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5">
    <w:name w:val="BodyText"/>
    <w:basedOn w:val="1"/>
    <w:qFormat/>
    <w:uiPriority w:val="99"/>
    <w:pPr>
      <w:spacing w:after="120"/>
    </w:pPr>
    <w:rPr>
      <w:rFonts w:ascii="Times New Roman" w:hAnsi="Times New Roman"/>
      <w:kern w:val="0"/>
      <w:sz w:val="20"/>
      <w:szCs w:val="20"/>
    </w:rPr>
  </w:style>
  <w:style w:type="paragraph" w:styleId="146">
    <w:name w:val="List Paragraph"/>
    <w:basedOn w:val="1"/>
    <w:qFormat/>
    <w:uiPriority w:val="99"/>
    <w:pPr>
      <w:ind w:firstLine="420" w:firstLineChars="200"/>
    </w:pPr>
  </w:style>
  <w:style w:type="paragraph" w:customStyle="1" w:styleId="147">
    <w:name w:val="修订2"/>
    <w:semiHidden/>
    <w:qFormat/>
    <w:uiPriority w:val="99"/>
    <w:rPr>
      <w:rFonts w:ascii="Calibri" w:hAnsi="Calibri" w:eastAsia="宋体" w:cs="Times New Roman"/>
      <w:kern w:val="2"/>
      <w:sz w:val="21"/>
      <w:szCs w:val="22"/>
      <w:lang w:val="en-US" w:eastAsia="zh-CN" w:bidi="ar-SA"/>
    </w:rPr>
  </w:style>
  <w:style w:type="paragraph" w:customStyle="1" w:styleId="148">
    <w:name w:val="纯文本1"/>
    <w:basedOn w:val="1"/>
    <w:qFormat/>
    <w:uiPriority w:val="0"/>
    <w:rPr>
      <w:rFonts w:ascii="宋体" w:hAnsi="Courier New" w:cs="Calibri"/>
      <w:kern w:val="0"/>
      <w:sz w:val="20"/>
      <w:szCs w:val="20"/>
    </w:rPr>
  </w:style>
  <w:style w:type="paragraph" w:customStyle="1" w:styleId="149">
    <w:name w:val="修订3"/>
    <w:semiHidden/>
    <w:qFormat/>
    <w:uiPriority w:val="99"/>
    <w:rPr>
      <w:rFonts w:ascii="Calibri" w:hAnsi="Calibri" w:eastAsia="宋体" w:cs="Times New Roman"/>
      <w:kern w:val="2"/>
      <w:sz w:val="21"/>
      <w:szCs w:val="22"/>
      <w:lang w:val="en-US" w:eastAsia="zh-CN" w:bidi="ar-SA"/>
    </w:rPr>
  </w:style>
  <w:style w:type="paragraph" w:customStyle="1" w:styleId="150">
    <w:name w:val="修订4"/>
    <w:semiHidden/>
    <w:qFormat/>
    <w:uiPriority w:val="99"/>
    <w:rPr>
      <w:rFonts w:ascii="Calibri" w:hAnsi="Calibri" w:eastAsia="宋体" w:cs="Times New Roman"/>
      <w:kern w:val="2"/>
      <w:sz w:val="21"/>
      <w:szCs w:val="22"/>
      <w:lang w:val="en-US" w:eastAsia="zh-CN" w:bidi="ar-SA"/>
    </w:rPr>
  </w:style>
  <w:style w:type="character" w:customStyle="1" w:styleId="151">
    <w:name w:val="16"/>
    <w:basedOn w:val="40"/>
    <w:qFormat/>
    <w:uiPriority w:val="0"/>
    <w:rPr>
      <w:rFonts w:hint="default" w:ascii="Times New Roman" w:hAnsi="Times New Roman" w:cs="Times New Roman"/>
    </w:rPr>
  </w:style>
  <w:style w:type="character" w:customStyle="1" w:styleId="152">
    <w:name w:val="15"/>
    <w:basedOn w:val="40"/>
    <w:qFormat/>
    <w:uiPriority w:val="0"/>
    <w:rPr>
      <w:rFonts w:hint="default" w:ascii="Times New Roman" w:hAnsi="Times New Roman" w:cs="Times New Roman"/>
    </w:rPr>
  </w:style>
  <w:style w:type="character" w:customStyle="1" w:styleId="153">
    <w:name w:val="17"/>
    <w:basedOn w:val="40"/>
    <w:qFormat/>
    <w:uiPriority w:val="0"/>
    <w:rPr>
      <w:rFonts w:hint="default" w:ascii="Times New Roman" w:hAnsi="Times New Roman" w:cs="Times New Roman"/>
    </w:rPr>
  </w:style>
  <w:style w:type="paragraph" w:customStyle="1" w:styleId="154">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正文文本3"/>
    <w:basedOn w:val="1"/>
    <w:qFormat/>
    <w:uiPriority w:val="0"/>
    <w:pPr>
      <w:shd w:val="clear" w:color="auto" w:fill="FFFFFF"/>
      <w:spacing w:line="0" w:lineRule="atLeast"/>
      <w:jc w:val="left"/>
    </w:pPr>
    <w:rPr>
      <w:rFonts w:ascii="宋体" w:hAnsi="宋体"/>
      <w:kern w:val="0"/>
      <w:sz w:val="19"/>
      <w:szCs w:val="19"/>
    </w:rPr>
  </w:style>
  <w:style w:type="paragraph" w:customStyle="1" w:styleId="157">
    <w:name w:val="列表段落1"/>
    <w:basedOn w:val="1"/>
    <w:qFormat/>
    <w:uiPriority w:val="34"/>
    <w:pPr>
      <w:ind w:firstLine="420" w:firstLineChars="200"/>
    </w:pPr>
    <w:rPr>
      <w:rFonts w:ascii="Times New Roman" w:hAnsi="Times New Roman"/>
      <w:szCs w:val="20"/>
    </w:rPr>
  </w:style>
  <w:style w:type="paragraph" w:customStyle="1" w:styleId="158">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59">
    <w:name w:val="自标题3"/>
    <w:basedOn w:val="15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88F4-EE1E-43BD-B3F9-F8CB0430AEC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89</Pages>
  <Words>52349</Words>
  <Characters>55005</Characters>
  <Lines>438</Lines>
  <Paragraphs>123</Paragraphs>
  <TotalTime>31</TotalTime>
  <ScaleCrop>false</ScaleCrop>
  <LinksUpToDate>false</LinksUpToDate>
  <CharactersWithSpaces>58119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2023-10-24T09:38:00Z</dcterms:created>
  <dc:creator>Administrator</dc:creator>
  <cp:lastModifiedBy>昕月</cp:lastModifiedBy>
  <cp:lastPrinted>2022-06-10T02:55:00Z</cp:lastPrinted>
  <dcterms:modified xsi:type="dcterms:W3CDTF">2023-11-01T13:43:41Z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D76B9F302020430CB5266080B28B3F70_13</vt:lpwstr>
  </property>
</Properties>
</file>