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b/>
          <w:bCs/>
          <w:color w:val="000000" w:themeColor="text1"/>
          <w:sz w:val="22"/>
          <w:szCs w:val="21"/>
          <w:highlight w:val="none"/>
          <w14:textFill>
            <w14:solidFill>
              <w14:schemeClr w14:val="tx1"/>
            </w14:solidFill>
          </w14:textFill>
        </w:rPr>
      </w:pPr>
      <w:bookmarkStart w:id="0" w:name="_Hlk508383647"/>
      <w:bookmarkStart w:id="283" w:name="_GoBack"/>
    </w:p>
    <w:bookmarkEnd w:id="0"/>
    <w:p>
      <w:pPr>
        <w:snapToGrid w:val="0"/>
        <w:spacing w:line="360" w:lineRule="auto"/>
        <w:jc w:val="center"/>
        <w:rPr>
          <w:b/>
          <w:color w:val="000000" w:themeColor="text1"/>
          <w:sz w:val="40"/>
          <w:szCs w:val="40"/>
          <w:highlight w:val="none"/>
          <w14:textFill>
            <w14:solidFill>
              <w14:schemeClr w14:val="tx1"/>
            </w14:solidFill>
          </w14:textFill>
        </w:rPr>
      </w:pPr>
    </w:p>
    <w:p>
      <w:pPr>
        <w:snapToGrid w:val="0"/>
        <w:spacing w:line="360" w:lineRule="auto"/>
        <w:jc w:val="center"/>
        <w:rPr>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u w:val="single"/>
          <w14:textFill>
            <w14:solidFill>
              <w14:schemeClr w14:val="tx1"/>
            </w14:solidFill>
          </w14:textFill>
        </w:rPr>
        <w:t xml:space="preserve"> </w:t>
      </w:r>
      <w:r>
        <w:rPr>
          <w:rFonts w:ascii="宋体" w:hAnsi="宋体"/>
          <w:b/>
          <w:color w:val="000000" w:themeColor="text1"/>
          <w:sz w:val="44"/>
          <w:szCs w:val="44"/>
          <w:highlight w:val="none"/>
          <w:u w:val="single"/>
          <w14:textFill>
            <w14:solidFill>
              <w14:schemeClr w14:val="tx1"/>
            </w14:solidFill>
          </w14:textFill>
        </w:rPr>
        <w:t xml:space="preserve">         </w:t>
      </w:r>
      <w:r>
        <w:rPr>
          <w:rFonts w:hint="eastAsia"/>
          <w:b/>
          <w:color w:val="000000" w:themeColor="text1"/>
          <w:sz w:val="44"/>
          <w:szCs w:val="44"/>
          <w:highlight w:val="none"/>
          <w:lang w:eastAsia="zh-Hans"/>
          <w14:textFill>
            <w14:solidFill>
              <w14:schemeClr w14:val="tx1"/>
            </w14:solidFill>
          </w14:textFill>
        </w:rPr>
        <w:t>全过程造价咨询</w:t>
      </w:r>
    </w:p>
    <w:p>
      <w:pPr>
        <w:snapToGrid w:val="0"/>
        <w:spacing w:line="360" w:lineRule="auto"/>
        <w:jc w:val="center"/>
        <w:rPr>
          <w:b/>
          <w:color w:val="000000" w:themeColor="text1"/>
          <w:sz w:val="72"/>
          <w:szCs w:val="72"/>
          <w:highlight w:val="none"/>
          <w14:textFill>
            <w14:solidFill>
              <w14:schemeClr w14:val="tx1"/>
            </w14:solidFill>
          </w14:textFill>
        </w:rPr>
      </w:pPr>
    </w:p>
    <w:p>
      <w:pPr>
        <w:snapToGrid w:val="0"/>
        <w:spacing w:line="360" w:lineRule="auto"/>
        <w:jc w:val="center"/>
        <w:rPr>
          <w:b/>
          <w:bCs/>
          <w:color w:val="000000" w:themeColor="text1"/>
          <w:sz w:val="72"/>
          <w:szCs w:val="72"/>
          <w:highlight w:val="none"/>
          <w14:textFill>
            <w14:solidFill>
              <w14:schemeClr w14:val="tx1"/>
            </w14:solidFill>
          </w14:textFill>
        </w:rPr>
      </w:pPr>
      <w:r>
        <w:rPr>
          <w:rFonts w:hint="eastAsia"/>
          <w:b/>
          <w:color w:val="000000" w:themeColor="text1"/>
          <w:sz w:val="72"/>
          <w:szCs w:val="72"/>
          <w:highlight w:val="none"/>
          <w14:textFill>
            <w14:solidFill>
              <w14:schemeClr w14:val="tx1"/>
            </w14:solidFill>
          </w14:textFill>
        </w:rPr>
        <w:t>合同文件</w:t>
      </w:r>
    </w:p>
    <w:p>
      <w:pPr>
        <w:snapToGrid w:val="0"/>
        <w:spacing w:line="360" w:lineRule="auto"/>
        <w:ind w:firstLine="2070"/>
        <w:jc w:val="left"/>
        <w:rPr>
          <w:color w:val="000000" w:themeColor="text1"/>
          <w:sz w:val="28"/>
          <w:szCs w:val="28"/>
          <w:highlight w:val="none"/>
          <w14:textFill>
            <w14:solidFill>
              <w14:schemeClr w14:val="tx1"/>
            </w14:solidFill>
          </w14:textFill>
        </w:rPr>
      </w:pPr>
      <w:r>
        <w:rPr>
          <w:rFonts w:hint="eastAsia"/>
          <w:color w:val="000000" w:themeColor="text1"/>
          <w:sz w:val="28"/>
          <w:szCs w:val="24"/>
          <w:highlight w:val="none"/>
          <w14:textFill>
            <w14:solidFill>
              <w14:schemeClr w14:val="tx1"/>
            </w14:solidFill>
          </w14:textFill>
        </w:rPr>
        <w:t>合同编号：</w:t>
      </w: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firstLine="560" w:firstLineChars="200"/>
        <w:rPr>
          <w:color w:val="000000" w:themeColor="text1"/>
          <w:sz w:val="28"/>
          <w:szCs w:val="28"/>
          <w:highlight w:val="none"/>
          <w14:textFill>
            <w14:solidFill>
              <w14:schemeClr w14:val="tx1"/>
            </w14:solidFill>
          </w14:textFill>
        </w:rPr>
      </w:pPr>
    </w:p>
    <w:p>
      <w:pPr>
        <w:adjustRightInd w:val="0"/>
        <w:snapToGrid w:val="0"/>
        <w:spacing w:line="360" w:lineRule="auto"/>
        <w:ind w:left="708" w:leftChars="337"/>
        <w:rPr>
          <w:b/>
          <w:bCs/>
          <w:color w:val="000000" w:themeColor="text1"/>
          <w:sz w:val="28"/>
          <w:szCs w:val="28"/>
          <w:highlight w:val="none"/>
          <w:u w:val="singl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发包人：</w:t>
      </w:r>
      <w:r>
        <w:rPr>
          <w:rFonts w:hint="eastAsia"/>
          <w:b/>
          <w:bCs/>
          <w:color w:val="000000" w:themeColor="text1"/>
          <w:sz w:val="28"/>
          <w:szCs w:val="28"/>
          <w:highlight w:val="none"/>
          <w:u w:val="single"/>
          <w14:textFill>
            <w14:solidFill>
              <w14:schemeClr w14:val="tx1"/>
            </w14:solidFill>
          </w14:textFill>
        </w:rPr>
        <w:t xml:space="preserve">广州南沙交通投资集团有限公司 </w:t>
      </w:r>
      <w:r>
        <w:rPr>
          <w:b/>
          <w:bCs/>
          <w:color w:val="000000" w:themeColor="text1"/>
          <w:sz w:val="28"/>
          <w:szCs w:val="28"/>
          <w:highlight w:val="none"/>
          <w:u w:val="single"/>
          <w14:textFill>
            <w14:solidFill>
              <w14:schemeClr w14:val="tx1"/>
            </w14:solidFill>
          </w14:textFill>
        </w:rPr>
        <w:t xml:space="preserve">                 </w:t>
      </w:r>
    </w:p>
    <w:p>
      <w:pPr>
        <w:adjustRightInd w:val="0"/>
        <w:snapToGrid w:val="0"/>
        <w:spacing w:line="360" w:lineRule="auto"/>
        <w:ind w:left="708" w:leftChars="337"/>
        <w:rPr>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承包人：</w:t>
      </w:r>
      <w:r>
        <w:rPr>
          <w:rFonts w:ascii="宋体" w:hAnsi="宋体"/>
          <w:b/>
          <w:bCs/>
          <w:color w:val="000000" w:themeColor="text1"/>
          <w:sz w:val="28"/>
          <w:szCs w:val="28"/>
          <w:highlight w:val="none"/>
          <w:u w:val="single"/>
          <w14:textFill>
            <w14:solidFill>
              <w14:schemeClr w14:val="tx1"/>
            </w14:solidFill>
          </w14:textFill>
        </w:rPr>
        <w:t xml:space="preserve">                                              </w:t>
      </w:r>
    </w:p>
    <w:p>
      <w:pPr>
        <w:pStyle w:val="3"/>
        <w:snapToGrid w:val="0"/>
        <w:spacing w:line="360" w:lineRule="auto"/>
        <w:rPr>
          <w:color w:val="000000" w:themeColor="text1"/>
          <w:highlight w:val="none"/>
          <w14:textFill>
            <w14:solidFill>
              <w14:schemeClr w14:val="tx1"/>
            </w14:solidFill>
          </w14:textFill>
        </w:rPr>
      </w:pPr>
    </w:p>
    <w:p>
      <w:pPr>
        <w:pStyle w:val="3"/>
        <w:snapToGrid w:val="0"/>
        <w:spacing w:before="0" w:beforeAutospacing="0" w:line="360" w:lineRule="auto"/>
        <w:ind w:left="1984" w:leftChars="945"/>
        <w:rPr>
          <w:color w:val="000000" w:themeColor="text1"/>
          <w:sz w:val="28"/>
          <w:szCs w:val="28"/>
          <w:highlight w:val="none"/>
          <w14:textFill>
            <w14:solidFill>
              <w14:schemeClr w14:val="tx1"/>
            </w14:solidFill>
          </w14:textFill>
        </w:rPr>
      </w:pPr>
      <w:bookmarkStart w:id="1" w:name="_Hlk145506395"/>
      <w:r>
        <w:rPr>
          <w:rFonts w:hint="eastAsia"/>
          <w:color w:val="000000" w:themeColor="text1"/>
          <w:sz w:val="28"/>
          <w:szCs w:val="28"/>
          <w:highlight w:val="none"/>
          <w14:textFill>
            <w14:solidFill>
              <w14:schemeClr w14:val="tx1"/>
            </w14:solidFill>
          </w14:textFill>
        </w:rPr>
        <w:t>本合同签订地点：</w:t>
      </w:r>
      <w:r>
        <w:rPr>
          <w:rFonts w:hint="eastAsia"/>
          <w:color w:val="000000" w:themeColor="text1"/>
          <w:sz w:val="28"/>
          <w:szCs w:val="28"/>
          <w:highlight w:val="none"/>
          <w:u w:val="single"/>
          <w14:textFill>
            <w14:solidFill>
              <w14:schemeClr w14:val="tx1"/>
            </w14:solidFill>
          </w14:textFill>
        </w:rPr>
        <w:t>广州市南沙区</w:t>
      </w:r>
    </w:p>
    <w:p>
      <w:pPr>
        <w:pStyle w:val="3"/>
        <w:snapToGrid w:val="0"/>
        <w:spacing w:before="0" w:beforeAutospacing="0" w:line="360" w:lineRule="auto"/>
        <w:ind w:left="1984" w:leftChars="945"/>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本合同签订时间：</w:t>
      </w:r>
    </w:p>
    <w:bookmarkEnd w:id="1"/>
    <w:p>
      <w:pPr>
        <w:snapToGrid w:val="0"/>
        <w:spacing w:line="360" w:lineRule="auto"/>
        <w:rPr>
          <w:color w:val="000000" w:themeColor="text1"/>
          <w:sz w:val="28"/>
          <w:highlight w:val="none"/>
          <w14:textFill>
            <w14:solidFill>
              <w14:schemeClr w14:val="tx1"/>
            </w14:solidFill>
          </w14:textFill>
        </w:rPr>
      </w:pPr>
      <w:r>
        <w:rPr>
          <w:color w:val="000000" w:themeColor="text1"/>
          <w:sz w:val="28"/>
          <w:highlight w:val="none"/>
          <w14:textFill>
            <w14:solidFill>
              <w14:schemeClr w14:val="tx1"/>
            </w14:solidFill>
          </w14:textFill>
        </w:rPr>
        <w:br w:type="page"/>
      </w:r>
    </w:p>
    <w:p>
      <w:pPr>
        <w:adjustRightInd w:val="0"/>
        <w:snapToGrid w:val="0"/>
        <w:spacing w:line="360" w:lineRule="auto"/>
        <w:rPr>
          <w:color w:val="000000" w:themeColor="text1"/>
          <w:sz w:val="28"/>
          <w:highlight w:val="none"/>
          <w14:textFill>
            <w14:solidFill>
              <w14:schemeClr w14:val="tx1"/>
            </w14:solidFill>
          </w14:textFill>
        </w:rPr>
      </w:pPr>
    </w:p>
    <w:p>
      <w:pPr>
        <w:adjustRightInd w:val="0"/>
        <w:snapToGrid w:val="0"/>
        <w:spacing w:line="360" w:lineRule="auto"/>
        <w:rPr>
          <w:rFonts w:cs="宋体"/>
          <w:color w:val="000000" w:themeColor="text1"/>
          <w:sz w:val="28"/>
          <w:szCs w:val="28"/>
          <w:highlight w:val="none"/>
          <w14:textFill>
            <w14:solidFill>
              <w14:schemeClr w14:val="tx1"/>
            </w14:solidFill>
          </w14:textFill>
        </w:rPr>
      </w:pPr>
    </w:p>
    <w:p>
      <w:pPr>
        <w:adjustRightInd w:val="0"/>
        <w:snapToGrid w:val="0"/>
        <w:spacing w:line="360" w:lineRule="auto"/>
        <w:jc w:val="center"/>
        <w:rPr>
          <w:rFonts w:cs="宋体"/>
          <w:snapToGrid w:val="0"/>
          <w:color w:val="000000" w:themeColor="text1"/>
          <w:kern w:val="0"/>
          <w:sz w:val="32"/>
          <w:szCs w:val="32"/>
          <w:highlight w:val="none"/>
          <w14:textFill>
            <w14:solidFill>
              <w14:schemeClr w14:val="tx1"/>
            </w14:solidFill>
          </w14:textFill>
        </w:rPr>
      </w:pPr>
      <w:r>
        <w:rPr>
          <w:rFonts w:hint="eastAsia" w:cs="宋体"/>
          <w:b/>
          <w:bCs/>
          <w:snapToGrid w:val="0"/>
          <w:color w:val="000000" w:themeColor="text1"/>
          <w:kern w:val="0"/>
          <w:sz w:val="32"/>
          <w:szCs w:val="32"/>
          <w:highlight w:val="none"/>
          <w14:textFill>
            <w14:solidFill>
              <w14:schemeClr w14:val="tx1"/>
            </w14:solidFill>
          </w14:textFill>
        </w:rPr>
        <w:t>重要提示</w:t>
      </w:r>
    </w:p>
    <w:p>
      <w:pPr>
        <w:pStyle w:val="15"/>
        <w:adjustRightInd w:val="0"/>
        <w:snapToGrid w:val="0"/>
        <w:spacing w:line="360" w:lineRule="auto"/>
        <w:ind w:firstLine="560" w:firstLineChars="200"/>
        <w:rPr>
          <w:rFonts w:ascii="Times New Roman" w:hAnsi="Times New Roman" w:eastAsia="宋体" w:cs="宋体"/>
          <w:snapToGrid w:val="0"/>
          <w:color w:val="000000" w:themeColor="text1"/>
          <w:kern w:val="0"/>
          <w:sz w:val="28"/>
          <w:szCs w:val="28"/>
          <w:highlight w:val="none"/>
          <w14:textFill>
            <w14:solidFill>
              <w14:schemeClr w14:val="tx1"/>
            </w14:solidFill>
          </w14:textFill>
        </w:rPr>
      </w:pPr>
    </w:p>
    <w:p>
      <w:pPr>
        <w:pStyle w:val="15"/>
        <w:adjustRightInd w:val="0"/>
        <w:snapToGrid w:val="0"/>
        <w:spacing w:line="360" w:lineRule="auto"/>
        <w:ind w:firstLine="560" w:firstLineChars="200"/>
        <w:rPr>
          <w:rFonts w:ascii="Times New Roman" w:hAnsi="Times New Roman" w:eastAsia="宋体" w:cs="宋体"/>
          <w:snapToGrid w:val="0"/>
          <w:color w:val="000000" w:themeColor="text1"/>
          <w:kern w:val="0"/>
          <w:sz w:val="28"/>
          <w:szCs w:val="28"/>
          <w:highlight w:val="none"/>
          <w14:textFill>
            <w14:solidFill>
              <w14:schemeClr w14:val="tx1"/>
            </w14:solidFill>
          </w14:textFill>
        </w:rPr>
      </w:pPr>
      <w:r>
        <w:rPr>
          <w:rFonts w:hint="eastAsia" w:ascii="Times New Roman" w:hAnsi="Times New Roman" w:eastAsia="宋体" w:cs="宋体"/>
          <w:snapToGrid w:val="0"/>
          <w:color w:val="000000" w:themeColor="text1"/>
          <w:kern w:val="0"/>
          <w:sz w:val="28"/>
          <w:szCs w:val="28"/>
          <w:highlight w:val="none"/>
          <w14:textFill>
            <w14:solidFill>
              <w14:schemeClr w14:val="tx1"/>
            </w14:solidFill>
          </w14:textFill>
        </w:rPr>
        <w:t>使用说明：</w:t>
      </w:r>
    </w:p>
    <w:p>
      <w:pPr>
        <w:pStyle w:val="15"/>
        <w:adjustRightInd w:val="0"/>
        <w:snapToGrid w:val="0"/>
        <w:spacing w:line="360" w:lineRule="auto"/>
        <w:ind w:firstLine="560" w:firstLineChars="200"/>
        <w:rPr>
          <w:rFonts w:ascii="Times New Roman" w:hAnsi="Times New Roman" w:eastAsia="宋体" w:cs="宋体"/>
          <w:snapToGrid w:val="0"/>
          <w:color w:val="000000" w:themeColor="text1"/>
          <w:kern w:val="0"/>
          <w:sz w:val="28"/>
          <w:szCs w:val="28"/>
          <w:highlight w:val="none"/>
          <w14:textFill>
            <w14:solidFill>
              <w14:schemeClr w14:val="tx1"/>
            </w14:solidFill>
          </w14:textFill>
        </w:rPr>
      </w:pPr>
      <w:r>
        <w:rPr>
          <w:rFonts w:hint="eastAsia" w:ascii="Times New Roman" w:hAnsi="Times New Roman" w:eastAsia="宋体" w:cs="宋体"/>
          <w:snapToGrid w:val="0"/>
          <w:color w:val="000000" w:themeColor="text1"/>
          <w:kern w:val="0"/>
          <w:sz w:val="28"/>
          <w:szCs w:val="28"/>
          <w:highlight w:val="none"/>
          <w14:textFill>
            <w14:solidFill>
              <w14:schemeClr w14:val="tx1"/>
            </w14:solidFill>
          </w14:textFill>
        </w:rPr>
        <w:t>1、下划线“</w:t>
      </w:r>
      <w:r>
        <w:rPr>
          <w:rFonts w:ascii="Times New Roman" w:hAnsi="Times New Roman" w:eastAsia="宋体" w:cs="宋体"/>
          <w:snapToGrid w:val="0"/>
          <w:color w:val="000000" w:themeColor="text1"/>
          <w:kern w:val="0"/>
          <w:sz w:val="28"/>
          <w:szCs w:val="28"/>
          <w:highlight w:val="none"/>
          <w:u w:val="single"/>
          <w14:textFill>
            <w14:solidFill>
              <w14:schemeClr w14:val="tx1"/>
            </w14:solidFill>
          </w14:textFill>
        </w:rPr>
        <w:t xml:space="preserve">    </w:t>
      </w:r>
      <w:r>
        <w:rPr>
          <w:rFonts w:hint="eastAsia" w:ascii="Times New Roman" w:hAnsi="Times New Roman" w:eastAsia="宋体" w:cs="宋体"/>
          <w:snapToGrid w:val="0"/>
          <w:color w:val="000000" w:themeColor="text1"/>
          <w:kern w:val="0"/>
          <w:sz w:val="28"/>
          <w:szCs w:val="28"/>
          <w:highlight w:val="none"/>
          <w14:textFill>
            <w14:solidFill>
              <w14:schemeClr w14:val="tx1"/>
            </w14:solidFill>
          </w14:textFill>
        </w:rPr>
        <w:t>”部分为根据项目的特点和条件填充的内容,本范本已预填写的内容可根据实际修改，如无内容需填写，请填“/”；</w:t>
      </w:r>
    </w:p>
    <w:p>
      <w:pPr>
        <w:pStyle w:val="15"/>
        <w:adjustRightInd w:val="0"/>
        <w:snapToGrid w:val="0"/>
        <w:spacing w:line="360" w:lineRule="auto"/>
        <w:ind w:firstLine="560" w:firstLineChars="200"/>
        <w:rPr>
          <w:rFonts w:ascii="Times New Roman" w:hAnsi="Times New Roman" w:eastAsia="宋体" w:cs="宋体"/>
          <w:snapToGrid w:val="0"/>
          <w:color w:val="000000" w:themeColor="text1"/>
          <w:kern w:val="0"/>
          <w:sz w:val="28"/>
          <w:szCs w:val="28"/>
          <w:highlight w:val="none"/>
          <w14:textFill>
            <w14:solidFill>
              <w14:schemeClr w14:val="tx1"/>
            </w14:solidFill>
          </w14:textFill>
        </w:rPr>
      </w:pPr>
      <w:r>
        <w:rPr>
          <w:rFonts w:hint="eastAsia" w:ascii="Times New Roman" w:hAnsi="Times New Roman" w:eastAsia="宋体" w:cs="宋体"/>
          <w:snapToGrid w:val="0"/>
          <w:color w:val="000000" w:themeColor="text1"/>
          <w:kern w:val="0"/>
          <w:sz w:val="28"/>
          <w:szCs w:val="28"/>
          <w:highlight w:val="none"/>
          <w14:textFill>
            <w14:solidFill>
              <w14:schemeClr w14:val="tx1"/>
            </w14:solidFill>
          </w14:textFill>
        </w:rPr>
        <w:t>2、有标明“□”的内容为可选择项，签订合同时按照项目实际进行选择，在相应的选项内打“√”，未打“√”项目则代表不在合同工作范围；</w:t>
      </w:r>
    </w:p>
    <w:p>
      <w:pPr>
        <w:pStyle w:val="15"/>
        <w:adjustRightInd w:val="0"/>
        <w:snapToGrid w:val="0"/>
        <w:spacing w:line="360" w:lineRule="auto"/>
        <w:ind w:firstLine="560" w:firstLineChars="200"/>
        <w:rPr>
          <w:rFonts w:ascii="Times New Roman" w:hAnsi="Times New Roman" w:eastAsia="宋体" w:cs="宋体"/>
          <w:snapToGrid w:val="0"/>
          <w:color w:val="000000" w:themeColor="text1"/>
          <w:kern w:val="0"/>
          <w:sz w:val="28"/>
          <w:szCs w:val="28"/>
          <w:highlight w:val="none"/>
          <w14:textFill>
            <w14:solidFill>
              <w14:schemeClr w14:val="tx1"/>
            </w14:solidFill>
          </w14:textFill>
        </w:rPr>
      </w:pPr>
      <w:r>
        <w:rPr>
          <w:rFonts w:ascii="Times New Roman" w:hAnsi="Times New Roman" w:eastAsia="宋体" w:cs="宋体"/>
          <w:snapToGrid w:val="0"/>
          <w:color w:val="000000" w:themeColor="text1"/>
          <w:kern w:val="0"/>
          <w:sz w:val="28"/>
          <w:szCs w:val="28"/>
          <w:highlight w:val="none"/>
          <w14:textFill>
            <w14:solidFill>
              <w14:schemeClr w14:val="tx1"/>
            </w14:solidFill>
          </w14:textFill>
        </w:rPr>
        <w:t>3</w:t>
      </w:r>
      <w:r>
        <w:rPr>
          <w:rFonts w:hint="eastAsia" w:ascii="Times New Roman" w:hAnsi="Times New Roman" w:eastAsia="宋体" w:cs="宋体"/>
          <w:snapToGrid w:val="0"/>
          <w:color w:val="000000" w:themeColor="text1"/>
          <w:kern w:val="0"/>
          <w:sz w:val="28"/>
          <w:szCs w:val="28"/>
          <w:highlight w:val="none"/>
          <w14:textFill>
            <w14:solidFill>
              <w14:schemeClr w14:val="tx1"/>
            </w14:solidFill>
          </w14:textFill>
        </w:rPr>
        <w:t>、标识为“备注”的，为解释性内容，请在正式合同中删除；</w:t>
      </w:r>
    </w:p>
    <w:p>
      <w:pPr>
        <w:pStyle w:val="15"/>
        <w:adjustRightInd w:val="0"/>
        <w:snapToGrid w:val="0"/>
        <w:spacing w:line="360" w:lineRule="auto"/>
        <w:ind w:firstLine="560" w:firstLineChars="200"/>
        <w:rPr>
          <w:rFonts w:ascii="Times New Roman" w:hAnsi="Times New Roman" w:eastAsia="宋体" w:cs="宋体"/>
          <w:snapToGrid w:val="0"/>
          <w:color w:val="000000" w:themeColor="text1"/>
          <w:kern w:val="0"/>
          <w:sz w:val="28"/>
          <w:szCs w:val="28"/>
          <w:highlight w:val="none"/>
          <w14:textFill>
            <w14:solidFill>
              <w14:schemeClr w14:val="tx1"/>
            </w14:solidFill>
          </w14:textFill>
        </w:rPr>
      </w:pPr>
      <w:r>
        <w:rPr>
          <w:rFonts w:ascii="Times New Roman" w:hAnsi="Times New Roman" w:eastAsia="宋体" w:cs="宋体"/>
          <w:snapToGrid w:val="0"/>
          <w:color w:val="000000" w:themeColor="text1"/>
          <w:kern w:val="0"/>
          <w:sz w:val="28"/>
          <w:szCs w:val="28"/>
          <w:highlight w:val="none"/>
          <w14:textFill>
            <w14:solidFill>
              <w14:schemeClr w14:val="tx1"/>
            </w14:solidFill>
          </w14:textFill>
        </w:rPr>
        <w:t>4</w:t>
      </w:r>
      <w:r>
        <w:rPr>
          <w:rFonts w:hint="eastAsia" w:ascii="Times New Roman" w:hAnsi="Times New Roman" w:eastAsia="宋体" w:cs="宋体"/>
          <w:b/>
          <w:bCs/>
          <w:snapToGrid w:val="0"/>
          <w:color w:val="000000" w:themeColor="text1"/>
          <w:kern w:val="0"/>
          <w:sz w:val="28"/>
          <w:szCs w:val="28"/>
          <w:highlight w:val="none"/>
          <w14:textFill>
            <w14:solidFill>
              <w14:schemeClr w14:val="tx1"/>
            </w14:solidFill>
          </w14:textFill>
        </w:rPr>
        <w:t>、</w:t>
      </w:r>
      <w:r>
        <w:rPr>
          <w:rFonts w:hint="eastAsia" w:hAnsi="宋体" w:eastAsia="宋体" w:cs="宋体"/>
          <w:b/>
          <w:bCs/>
          <w:snapToGrid w:val="0"/>
          <w:color w:val="000000" w:themeColor="text1"/>
          <w:kern w:val="0"/>
          <w:sz w:val="28"/>
          <w:szCs w:val="28"/>
          <w:highlight w:val="none"/>
          <w:u w:val="single"/>
          <w14:textFill>
            <w14:solidFill>
              <w14:schemeClr w14:val="tx1"/>
            </w14:solidFill>
          </w14:textFill>
        </w:rPr>
        <w:t>除法律规定不得修改的实质性条款外，其他条款内容可根据项目实际情况，经双方协商一致后按程序提出修改意见</w:t>
      </w:r>
      <w:r>
        <w:rPr>
          <w:rFonts w:hint="eastAsia" w:hAnsi="宋体" w:eastAsia="宋体" w:cs="宋体"/>
          <w:b/>
          <w:bCs/>
          <w:snapToGrid w:val="0"/>
          <w:color w:val="000000" w:themeColor="text1"/>
          <w:kern w:val="0"/>
          <w:sz w:val="28"/>
          <w:szCs w:val="28"/>
          <w:highlight w:val="none"/>
          <w14:textFill>
            <w14:solidFill>
              <w14:schemeClr w14:val="tx1"/>
            </w14:solidFill>
          </w14:textFill>
        </w:rPr>
        <w:t>，</w:t>
      </w:r>
      <w:r>
        <w:rPr>
          <w:rFonts w:hint="eastAsia" w:hAnsi="宋体" w:eastAsia="宋体" w:cs="宋体"/>
          <w:snapToGrid w:val="0"/>
          <w:color w:val="000000" w:themeColor="text1"/>
          <w:kern w:val="0"/>
          <w:sz w:val="28"/>
          <w:szCs w:val="28"/>
          <w:highlight w:val="none"/>
          <w14:textFill>
            <w14:solidFill>
              <w14:schemeClr w14:val="tx1"/>
            </w14:solidFill>
          </w14:textFill>
        </w:rPr>
        <w:t>如无修改意见，则一般按本标准版本执行</w:t>
      </w:r>
      <w:r>
        <w:rPr>
          <w:rFonts w:hint="eastAsia" w:ascii="Times New Roman" w:hAnsi="Times New Roman" w:eastAsia="宋体" w:cs="宋体"/>
          <w:snapToGrid w:val="0"/>
          <w:color w:val="000000" w:themeColor="text1"/>
          <w:kern w:val="0"/>
          <w:sz w:val="28"/>
          <w:szCs w:val="28"/>
          <w:highlight w:val="none"/>
          <w14:textFill>
            <w14:solidFill>
              <w14:schemeClr w14:val="tx1"/>
            </w14:solidFill>
          </w14:textFill>
        </w:rPr>
        <w:t>。</w:t>
      </w:r>
    </w:p>
    <w:p>
      <w:pPr>
        <w:pStyle w:val="2"/>
        <w:ind w:firstLine="210"/>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br w:type="page"/>
      </w:r>
    </w:p>
    <w:sdt>
      <w:sdtPr>
        <w:rPr>
          <w:rFonts w:ascii="Times New Roman" w:hAnsi="Times New Roman" w:eastAsia="宋体" w:cs="Times New Roman"/>
          <w:color w:val="000000" w:themeColor="text1"/>
          <w:kern w:val="2"/>
          <w:sz w:val="21"/>
          <w:szCs w:val="20"/>
          <w:highlight w:val="none"/>
          <w:lang w:val="zh-CN"/>
          <w14:textFill>
            <w14:solidFill>
              <w14:schemeClr w14:val="tx1"/>
            </w14:solidFill>
          </w14:textFill>
        </w:rPr>
        <w:id w:val="163750005"/>
        <w:docPartObj>
          <w:docPartGallery w:val="Table of Contents"/>
          <w:docPartUnique/>
        </w:docPartObj>
      </w:sdtPr>
      <w:sdtEndPr>
        <w:rPr>
          <w:rFonts w:ascii="Times New Roman" w:hAnsi="Times New Roman" w:eastAsia="宋体" w:cs="Times New Roman"/>
          <w:b/>
          <w:bCs/>
          <w:color w:val="000000" w:themeColor="text1"/>
          <w:kern w:val="2"/>
          <w:sz w:val="21"/>
          <w:szCs w:val="20"/>
          <w:highlight w:val="none"/>
          <w:lang w:val="zh-CN"/>
          <w14:textFill>
            <w14:solidFill>
              <w14:schemeClr w14:val="tx1"/>
            </w14:solidFill>
          </w14:textFill>
        </w:rPr>
      </w:sdtEndPr>
      <w:sdtContent>
        <w:p>
          <w:pPr>
            <w:pStyle w:val="59"/>
            <w:jc w:val="center"/>
            <w:rPr>
              <w:rFonts w:ascii="Times New Roman" w:hAnsi="Times New Roman" w:eastAsia="宋体"/>
              <w:b/>
              <w:bCs/>
              <w:color w:val="000000" w:themeColor="text1"/>
              <w:highlight w:val="none"/>
              <w14:textFill>
                <w14:solidFill>
                  <w14:schemeClr w14:val="tx1"/>
                </w14:solidFill>
              </w14:textFill>
            </w:rPr>
          </w:pPr>
          <w:r>
            <w:rPr>
              <w:rFonts w:ascii="Times New Roman" w:hAnsi="Times New Roman" w:eastAsia="宋体"/>
              <w:b/>
              <w:bCs/>
              <w:color w:val="000000" w:themeColor="text1"/>
              <w:highlight w:val="none"/>
              <w:lang w:val="zh-CN"/>
              <w14:textFill>
                <w14:solidFill>
                  <w14:schemeClr w14:val="tx1"/>
                </w14:solidFill>
              </w14:textFill>
            </w:rPr>
            <w:t>目录</w:t>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rFonts w:ascii="Times New Roman" w:hAnsi="Times New Roman"/>
              <w:color w:val="000000" w:themeColor="text1"/>
              <w:highlight w:val="none"/>
              <w14:textFill>
                <w14:solidFill>
                  <w14:schemeClr w14:val="tx1"/>
                </w14:solidFill>
              </w14:textFill>
            </w:rPr>
            <w:fldChar w:fldCharType="begin"/>
          </w:r>
          <w:r>
            <w:rPr>
              <w:rFonts w:ascii="Times New Roman" w:hAnsi="Times New Roman"/>
              <w:color w:val="000000" w:themeColor="text1"/>
              <w:highlight w:val="none"/>
              <w14:textFill>
                <w14:solidFill>
                  <w14:schemeClr w14:val="tx1"/>
                </w14:solidFill>
              </w14:textFill>
            </w:rPr>
            <w:instrText xml:space="preserve"> TOC \o "2-3" \h \z \t "标题 1,1" </w:instrText>
          </w:r>
          <w:r>
            <w:rPr>
              <w:rFonts w:ascii="Times New Roman" w:hAnsi="Times New Roman"/>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"_Toc149656765"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第一条 工程概况（备注：具体按招文/采购需求等发包人发出文件作相应调整）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"_Toc149656766"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第二条 委托内容及要求（备注：具体按招文/采购需求等发包人发出文件作相应调整）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"_Toc149656767"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第三条 服务期限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"_Toc149656768"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第四条 合同</w:t>
          </w:r>
          <w:r>
            <w:rPr>
              <w:rStyle w:val="33"/>
              <w:color w:val="000000" w:themeColor="text1"/>
              <w:highlight w:val="none"/>
              <w:lang w:eastAsia="zh-Hans"/>
              <w14:textFill>
                <w14:solidFill>
                  <w14:schemeClr w14:val="tx1"/>
                </w14:solidFill>
              </w14:textFill>
            </w:rPr>
            <w:t>价款</w:t>
          </w:r>
          <w:r>
            <w:rPr>
              <w:rStyle w:val="33"/>
              <w:color w:val="000000" w:themeColor="text1"/>
              <w:highlight w:val="none"/>
              <w14:textFill>
                <w14:solidFill>
                  <w14:schemeClr w14:val="tx1"/>
                </w14:solidFill>
              </w14:textFill>
            </w:rPr>
            <w:t>、结算及</w:t>
          </w:r>
          <w:r>
            <w:rPr>
              <w:rStyle w:val="33"/>
              <w:color w:val="000000" w:themeColor="text1"/>
              <w:highlight w:val="none"/>
              <w:lang w:eastAsia="zh-Hans"/>
              <w14:textFill>
                <w14:solidFill>
                  <w14:schemeClr w14:val="tx1"/>
                </w14:solidFill>
              </w14:textFill>
            </w:rPr>
            <w:t>支付</w:t>
          </w:r>
          <w:r>
            <w:rPr>
              <w:rStyle w:val="33"/>
              <w:color w:val="000000" w:themeColor="text1"/>
              <w:highlight w:val="none"/>
              <w14:textFill>
                <w14:solidFill>
                  <w14:schemeClr w14:val="tx1"/>
                </w14:solidFill>
              </w14:textFill>
            </w:rPr>
            <w:t>方式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"_Toc149656769"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 xml:space="preserve">第五条 </w:t>
          </w:r>
          <w:r>
            <w:rPr>
              <w:rStyle w:val="33"/>
              <w:color w:val="000000" w:themeColor="text1"/>
              <w:highlight w:val="none"/>
              <w:lang w:eastAsia="zh-Hans"/>
              <w14:textFill>
                <w14:solidFill>
                  <w14:schemeClr w14:val="tx1"/>
                </w14:solidFill>
              </w14:textFill>
            </w:rPr>
            <w:t>各</w:t>
          </w:r>
          <w:r>
            <w:rPr>
              <w:rStyle w:val="33"/>
              <w:color w:val="000000" w:themeColor="text1"/>
              <w:highlight w:val="none"/>
              <w14:textFill>
                <w14:solidFill>
                  <w14:schemeClr w14:val="tx1"/>
                </w14:solidFill>
              </w14:textFill>
            </w:rPr>
            <w:t>方责任和义务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"_Toc149656770"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第六条 违约责任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"_Toc149656771"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第</w:t>
          </w:r>
          <w:r>
            <w:rPr>
              <w:rStyle w:val="33"/>
              <w:color w:val="000000" w:themeColor="text1"/>
              <w:highlight w:val="none"/>
              <w:lang w:eastAsia="zh-Hans"/>
              <w14:textFill>
                <w14:solidFill>
                  <w14:schemeClr w14:val="tx1"/>
                </w14:solidFill>
              </w14:textFill>
            </w:rPr>
            <w:t>七</w:t>
          </w:r>
          <w:r>
            <w:rPr>
              <w:rStyle w:val="33"/>
              <w:color w:val="000000" w:themeColor="text1"/>
              <w:highlight w:val="none"/>
              <w14:textFill>
                <w14:solidFill>
                  <w14:schemeClr w14:val="tx1"/>
                </w14:solidFill>
              </w14:textFill>
            </w:rPr>
            <w:t>条 履约担保</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"_Toc149656772"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第</w:t>
          </w:r>
          <w:r>
            <w:rPr>
              <w:rStyle w:val="33"/>
              <w:color w:val="000000" w:themeColor="text1"/>
              <w:highlight w:val="none"/>
              <w:lang w:eastAsia="zh-Hans"/>
              <w14:textFill>
                <w14:solidFill>
                  <w14:schemeClr w14:val="tx1"/>
                </w14:solidFill>
              </w14:textFill>
            </w:rPr>
            <w:t>八</w:t>
          </w:r>
          <w:r>
            <w:rPr>
              <w:rStyle w:val="33"/>
              <w:color w:val="000000" w:themeColor="text1"/>
              <w:highlight w:val="none"/>
              <w14:textFill>
                <w14:solidFill>
                  <w14:schemeClr w14:val="tx1"/>
                </w14:solidFill>
              </w14:textFill>
            </w:rPr>
            <w:t>条 保密条款及知识产权归属</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"_Toc149656773"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第九条 技术责任和经济责任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_Toc149656773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"_Toc149656774"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第十条 其他事项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"_Toc149656775"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第十</w:t>
          </w:r>
          <w:r>
            <w:rPr>
              <w:rStyle w:val="33"/>
              <w:color w:val="000000" w:themeColor="text1"/>
              <w:highlight w:val="none"/>
              <w:lang w:eastAsia="zh-Hans"/>
              <w14:textFill>
                <w14:solidFill>
                  <w14:schemeClr w14:val="tx1"/>
                </w14:solidFill>
              </w14:textFill>
            </w:rPr>
            <w:t>一</w:t>
          </w:r>
          <w:r>
            <w:rPr>
              <w:rStyle w:val="33"/>
              <w:color w:val="000000" w:themeColor="text1"/>
              <w:highlight w:val="none"/>
              <w14:textFill>
                <w14:solidFill>
                  <w14:schemeClr w14:val="tx1"/>
                </w14:solidFill>
              </w14:textFill>
            </w:rPr>
            <w:t>条 争议的解决</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"_Toc149656776" </w:instrText>
          </w:r>
          <w:r>
            <w:rPr>
              <w:color w:val="000000" w:themeColor="text1"/>
              <w:highlight w:val="none"/>
              <w14:textFill>
                <w14:solidFill>
                  <w14:schemeClr w14:val="tx1"/>
                </w14:solidFill>
              </w14:textFill>
            </w:rPr>
            <w:fldChar w:fldCharType="separate"/>
          </w:r>
          <w:r>
            <w:rPr>
              <w:rStyle w:val="33"/>
              <w:color w:val="000000" w:themeColor="text1"/>
              <w:highlight w:val="none"/>
              <w:lang w:eastAsia="zh-Hans"/>
              <w14:textFill>
                <w14:solidFill>
                  <w14:schemeClr w14:val="tx1"/>
                </w14:solidFill>
              </w14:textFill>
            </w:rPr>
            <w:t xml:space="preserve">第十二条 </w:t>
          </w:r>
          <w:r>
            <w:rPr>
              <w:rStyle w:val="33"/>
              <w:color w:val="000000" w:themeColor="text1"/>
              <w:highlight w:val="none"/>
              <w14:textFill>
                <w14:solidFill>
                  <w14:schemeClr w14:val="tx1"/>
                </w14:solidFill>
              </w14:textFill>
            </w:rPr>
            <w:t>合同变更、解除与终止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1"/>
            <w:tabs>
              <w:tab w:val="right" w:leader="dot" w:pos="8296"/>
            </w:tabs>
            <w:rPr>
              <w:rFonts w:eastAsiaTheme="minorEastAsia" w:cstheme="minorBidi"/>
              <w:b w:val="0"/>
              <w:bCs w:val="0"/>
              <w: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"_Toc149656777"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第十</w:t>
          </w:r>
          <w:r>
            <w:rPr>
              <w:rStyle w:val="33"/>
              <w:color w:val="000000" w:themeColor="text1"/>
              <w:highlight w:val="none"/>
              <w:lang w:eastAsia="zh-Hans"/>
              <w14:textFill>
                <w14:solidFill>
                  <w14:schemeClr w14:val="tx1"/>
                </w14:solidFill>
              </w14:textFill>
            </w:rPr>
            <w:t>三</w:t>
          </w:r>
          <w:r>
            <w:rPr>
              <w:rStyle w:val="33"/>
              <w:color w:val="000000" w:themeColor="text1"/>
              <w:highlight w:val="none"/>
              <w14:textFill>
                <w14:solidFill>
                  <w14:schemeClr w14:val="tx1"/>
                </w14:solidFill>
              </w14:textFill>
            </w:rPr>
            <w:t>条 合同签订与生效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"_Toc149656778"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附件1：南沙区建设工程项目廉洁责任合同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"_Toc149656779"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附件2：中标通知书/直接委托通知书/会议纪要/……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"_Toc149656780"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附件3：法定代表人证明书及法定代表人身份证复印件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"_Toc149656781"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附件4：投标报价文件（如有）/合同费用计算书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"_Toc149656782"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附件5：承诺书、履约银行保函（备注：如为不需提供保函项目，则本条删除）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_Toc149656782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"_Toc149656783"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附件6：造价编审咨询工作违约责任附表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"_Toc149656784"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附件7：招投标文件关键页（备注：如答疑纪要、拟投入人员表及负责人资质、拟投入设备、联合体协议书、工期计划等）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"_Toc149656785"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附件8：相关</w:t>
          </w:r>
          <w:r>
            <w:rPr>
              <w:rStyle w:val="33"/>
              <w:color w:val="000000" w:themeColor="text1"/>
              <w:highlight w:val="none"/>
              <w:lang w:eastAsia="zh-Hans"/>
              <w14:textFill>
                <w14:solidFill>
                  <w14:schemeClr w14:val="tx1"/>
                </w14:solidFill>
              </w14:textFill>
            </w:rPr>
            <w:t>会议纪要</w:t>
          </w:r>
          <w:r>
            <w:rPr>
              <w:rStyle w:val="33"/>
              <w:color w:val="000000" w:themeColor="text1"/>
              <w:highlight w:val="none"/>
              <w14:textFill>
                <w14:solidFill>
                  <w14:schemeClr w14:val="tx1"/>
                </w14:solidFill>
              </w14:textFill>
            </w:rPr>
            <w:t>及立项批文（备注：如项建/可研/初设批复等，无则本条删除）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pStyle w:val="24"/>
            <w:tabs>
              <w:tab w:val="right" w:leader="dot" w:pos="8296"/>
            </w:tabs>
            <w:rPr>
              <w:rFonts w:eastAsiaTheme="minorEastAsia" w:cstheme="minorBidi"/>
              <w:smallCaps w:val="0"/>
              <w:color w:val="000000" w:themeColor="text1"/>
              <w:sz w:val="21"/>
              <w:szCs w:val="22"/>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"_Toc149656786" </w:instrText>
          </w:r>
          <w:r>
            <w:rPr>
              <w:color w:val="000000" w:themeColor="text1"/>
              <w:highlight w:val="none"/>
              <w14:textFill>
                <w14:solidFill>
                  <w14:schemeClr w14:val="tx1"/>
                </w14:solidFill>
              </w14:textFill>
            </w:rPr>
            <w:fldChar w:fldCharType="separate"/>
          </w:r>
          <w:r>
            <w:rPr>
              <w:rStyle w:val="33"/>
              <w:color w:val="000000" w:themeColor="text1"/>
              <w:highlight w:val="none"/>
              <w14:textFill>
                <w14:solidFill>
                  <w14:schemeClr w14:val="tx1"/>
                </w14:solidFill>
              </w14:textFill>
            </w:rPr>
            <w:t>附件9：相关管理制度（备注：如无则本条删除）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_Toc149656786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pPr>
            <w:rPr>
              <w:color w:val="000000" w:themeColor="text1"/>
              <w:highlight w:val="none"/>
              <w14:textFill>
                <w14:solidFill>
                  <w14:schemeClr w14:val="tx1"/>
                </w14:solidFill>
              </w14:textFill>
            </w:rPr>
          </w:pPr>
          <w:r>
            <w:rPr>
              <w:rFonts w:cstheme="minorHAnsi"/>
              <w:color w:val="000000" w:themeColor="text1"/>
              <w:highlight w:val="none"/>
              <w14:textFill>
                <w14:solidFill>
                  <w14:schemeClr w14:val="tx1"/>
                </w14:solidFill>
              </w14:textFill>
            </w:rPr>
            <w:fldChar w:fldCharType="end"/>
          </w:r>
        </w:p>
      </w:sdtContent>
    </w:sdt>
    <w:p>
      <w:pPr>
        <w:widowControl/>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p>
    <w:p>
      <w:pPr>
        <w:pStyle w:val="15"/>
        <w:rPr>
          <w:rFonts w:ascii="Times New Roman" w:hAnsi="Times New Roman" w:eastAsia="宋体"/>
          <w:color w:val="000000" w:themeColor="text1"/>
          <w:highlight w:val="none"/>
          <w14:textFill>
            <w14:solidFill>
              <w14:schemeClr w14:val="tx1"/>
            </w14:solidFill>
          </w14:textFill>
        </w:rPr>
      </w:pPr>
    </w:p>
    <w:p>
      <w:pPr>
        <w:adjustRightInd w:val="0"/>
        <w:snapToGrid w:val="0"/>
        <w:spacing w:line="360" w:lineRule="auto"/>
        <w:ind w:firstLine="572" w:firstLineChars="190"/>
        <w:jc w:val="center"/>
        <w:rPr>
          <w:b/>
          <w:color w:val="000000" w:themeColor="text1"/>
          <w:sz w:val="30"/>
          <w:szCs w:val="30"/>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7"/>
        <w:rPr>
          <w:color w:val="000000" w:themeColor="text1"/>
          <w:highlight w:val="none"/>
          <w14:textFill>
            <w14:solidFill>
              <w14:schemeClr w14:val="tx1"/>
            </w14:solidFill>
          </w14:textFill>
        </w:rPr>
      </w:pPr>
      <w:bookmarkStart w:id="2" w:name="_Toc8239_WPSOffice_Level1"/>
      <w:bookmarkStart w:id="3" w:name="_Toc8142"/>
      <w:bookmarkStart w:id="4" w:name="_Toc81930158"/>
      <w:bookmarkStart w:id="5" w:name="_Toc11054"/>
      <w:bookmarkStart w:id="6" w:name="_Toc14054"/>
      <w:bookmarkStart w:id="7" w:name="_Toc29392"/>
      <w:bookmarkStart w:id="8" w:name="_Toc26534"/>
      <w:bookmarkStart w:id="9" w:name="_Toc22468"/>
      <w:bookmarkStart w:id="10" w:name="_Toc30450"/>
      <w:bookmarkStart w:id="11" w:name="_Toc27940"/>
      <w:bookmarkStart w:id="12" w:name="_Toc27598"/>
      <w:bookmarkStart w:id="13" w:name="_Toc15016"/>
      <w:bookmarkStart w:id="14" w:name="_Toc27121"/>
      <w:bookmarkStart w:id="15" w:name="_Toc31418"/>
      <w:bookmarkStart w:id="16" w:name="_Toc3930"/>
      <w:bookmarkStart w:id="17" w:name="_Toc9687"/>
      <w:bookmarkStart w:id="18" w:name="_Toc12333"/>
      <w:bookmarkStart w:id="19" w:name="_Toc16120"/>
      <w:bookmarkStart w:id="20" w:name="_Toc30974"/>
      <w:bookmarkStart w:id="21" w:name="_Toc19142"/>
      <w:bookmarkStart w:id="22" w:name="_Toc1238"/>
      <w:bookmarkStart w:id="23" w:name="_Toc15007"/>
      <w:bookmarkStart w:id="24" w:name="_Toc24172"/>
      <w:bookmarkStart w:id="25" w:name="_Toc8757"/>
      <w:bookmarkStart w:id="26" w:name="_Toc28843"/>
      <w:bookmarkStart w:id="27" w:name="_Toc15930"/>
      <w:r>
        <w:rPr>
          <w:rFonts w:hint="eastAsia"/>
          <w:color w:val="000000" w:themeColor="text1"/>
          <w:highlight w:val="none"/>
          <w14:textFill>
            <w14:solidFill>
              <w14:schemeClr w14:val="tx1"/>
            </w14:solidFill>
          </w14:textFill>
        </w:rPr>
        <w:t>第一部分 合同协议书</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pPr>
        <w:adjustRightInd w:val="0"/>
        <w:snapToGrid w:val="0"/>
        <w:spacing w:line="360" w:lineRule="auto"/>
        <w:rPr>
          <w:color w:val="000000" w:themeColor="text1"/>
          <w:sz w:val="24"/>
          <w:szCs w:val="24"/>
          <w:highlight w:val="none"/>
          <w:u w:val="single"/>
          <w14:textFill>
            <w14:solidFill>
              <w14:schemeClr w14:val="tx1"/>
            </w14:solidFill>
          </w14:textFill>
        </w:rPr>
      </w:pPr>
      <w:r>
        <w:rPr>
          <w:rFonts w:hint="eastAsia"/>
          <w:color w:val="000000" w:themeColor="text1"/>
          <w:sz w:val="24"/>
          <w:szCs w:val="24"/>
          <w:highlight w:val="none"/>
          <w14:textFill>
            <w14:solidFill>
              <w14:schemeClr w14:val="tx1"/>
            </w14:solidFill>
          </w14:textFill>
        </w:rPr>
        <w:t>发包人：</w:t>
      </w:r>
      <w:r>
        <w:rPr>
          <w:rFonts w:hint="eastAsia"/>
          <w:color w:val="000000" w:themeColor="text1"/>
          <w:sz w:val="24"/>
          <w:szCs w:val="24"/>
          <w:highlight w:val="none"/>
          <w:u w:val="single"/>
          <w14:textFill>
            <w14:solidFill>
              <w14:schemeClr w14:val="tx1"/>
            </w14:solidFill>
          </w14:textFill>
        </w:rPr>
        <w:t>广州南沙交通投资集团有限公司</w:t>
      </w:r>
    </w:p>
    <w:p>
      <w:pPr>
        <w:adjustRightInd w:val="0"/>
        <w:snapToGrid w:val="0"/>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w:t>
      </w:r>
      <w:r>
        <w:rPr>
          <w:rFonts w:hint="eastAsia"/>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u w:val="single"/>
          <w14:textFill>
            <w14:solidFill>
              <w14:schemeClr w14:val="tx1"/>
            </w14:solidFill>
          </w14:textFill>
        </w:rPr>
        <w:t xml:space="preserve">                            </w:t>
      </w:r>
    </w:p>
    <w:p>
      <w:pPr>
        <w:pStyle w:val="3"/>
        <w:rPr>
          <w:color w:val="000000" w:themeColor="text1"/>
          <w:highlight w:val="none"/>
          <w14:textFill>
            <w14:solidFill>
              <w14:schemeClr w14:val="tx1"/>
            </w14:solidFill>
          </w14:textFill>
        </w:rPr>
      </w:pPr>
    </w:p>
    <w:p>
      <w:pPr>
        <w:adjustRightInd w:val="0"/>
        <w:snapToGrid w:val="0"/>
        <w:spacing w:line="360" w:lineRule="auto"/>
        <w:ind w:firstLine="482"/>
        <w:rPr>
          <w:snapToGrid w:val="0"/>
          <w:color w:val="000000" w:themeColor="text1"/>
          <w:kern w:val="0"/>
          <w:sz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经</w:t>
      </w:r>
      <w:r>
        <w:rPr>
          <w:rFonts w:hint="eastAsia"/>
          <w:color w:val="000000" w:themeColor="text1"/>
          <w:sz w:val="24"/>
          <w:szCs w:val="24"/>
          <w:highlight w:val="none"/>
          <w:u w:val="single"/>
          <w14:textFill>
            <w14:solidFill>
              <w14:schemeClr w14:val="tx1"/>
            </w14:solidFill>
          </w14:textFill>
        </w:rPr>
        <w:sym w:font="Wingdings 2" w:char="F0A3"/>
      </w:r>
      <w:r>
        <w:rPr>
          <w:rFonts w:hint="eastAsia"/>
          <w:color w:val="000000" w:themeColor="text1"/>
          <w:sz w:val="24"/>
          <w:szCs w:val="24"/>
          <w:highlight w:val="none"/>
          <w:u w:val="single"/>
          <w14:textFill>
            <w14:solidFill>
              <w14:schemeClr w14:val="tx1"/>
            </w14:solidFill>
          </w14:textFill>
        </w:rPr>
        <w:t>自主询价</w:t>
      </w:r>
      <w:r>
        <w:rPr>
          <w:rFonts w:hint="eastAsia"/>
          <w:color w:val="000000" w:themeColor="text1"/>
          <w:sz w:val="24"/>
          <w:szCs w:val="24"/>
          <w:highlight w:val="none"/>
          <w:u w:val="single"/>
          <w14:textFill>
            <w14:solidFill>
              <w14:schemeClr w14:val="tx1"/>
            </w14:solidFill>
          </w14:textFill>
        </w:rPr>
        <w:sym w:font="Wingdings 2" w:char="F052"/>
      </w:r>
      <w:r>
        <w:rPr>
          <w:rFonts w:hint="eastAsia"/>
          <w:color w:val="000000" w:themeColor="text1"/>
          <w:sz w:val="24"/>
          <w:szCs w:val="24"/>
          <w:highlight w:val="none"/>
          <w:u w:val="single"/>
          <w14:textFill>
            <w14:solidFill>
              <w14:schemeClr w14:val="tx1"/>
            </w14:solidFill>
          </w14:textFill>
        </w:rPr>
        <w:t>公开招标</w:t>
      </w:r>
      <w:r>
        <w:rPr>
          <w:rFonts w:hint="eastAsia"/>
          <w:color w:val="000000" w:themeColor="text1"/>
          <w:sz w:val="24"/>
          <w:szCs w:val="24"/>
          <w:highlight w:val="none"/>
          <w:u w:val="single"/>
          <w14:textFill>
            <w14:solidFill>
              <w14:schemeClr w14:val="tx1"/>
            </w14:solidFill>
          </w14:textFill>
        </w:rPr>
        <w:sym w:font="Wingdings 2" w:char="F0A3"/>
      </w:r>
      <w:r>
        <w:rPr>
          <w:rFonts w:hint="eastAsia"/>
          <w:color w:val="000000" w:themeColor="text1"/>
          <w:sz w:val="24"/>
          <w:szCs w:val="24"/>
          <w:highlight w:val="none"/>
          <w:u w:val="single"/>
          <w14:textFill>
            <w14:solidFill>
              <w14:schemeClr w14:val="tx1"/>
            </w14:solidFill>
          </w14:textFill>
        </w:rPr>
        <w:t>直接委托</w:t>
      </w:r>
      <w:r>
        <w:rPr>
          <w:rFonts w:hint="eastAsia"/>
          <w:color w:val="000000" w:themeColor="text1"/>
          <w:sz w:val="24"/>
          <w:szCs w:val="24"/>
          <w:highlight w:val="none"/>
          <w:u w:val="single"/>
          <w14:textFill>
            <w14:solidFill>
              <w14:schemeClr w14:val="tx1"/>
            </w14:solidFill>
          </w14:textFill>
        </w:rPr>
        <w:sym w:font="Wingdings 2" w:char="F0A3"/>
      </w:r>
      <w:r>
        <w:rPr>
          <w:rFonts w:hint="eastAsia"/>
          <w:color w:val="000000" w:themeColor="text1"/>
          <w:sz w:val="24"/>
          <w:szCs w:val="24"/>
          <w:highlight w:val="none"/>
          <w:u w:val="single"/>
          <w14:textFill>
            <w14:solidFill>
              <w14:schemeClr w14:val="tx1"/>
            </w14:solidFill>
          </w14:textFill>
        </w:rPr>
        <w:t>其他：   （备注：如为其它，请填写具体内容）</w:t>
      </w:r>
      <w:r>
        <w:rPr>
          <w:rFonts w:hint="eastAsia"/>
          <w:color w:val="000000" w:themeColor="text1"/>
          <w:sz w:val="24"/>
          <w:szCs w:val="24"/>
          <w:highlight w:val="none"/>
          <w14:textFill>
            <w14:solidFill>
              <w14:schemeClr w14:val="tx1"/>
            </w14:solidFill>
          </w14:textFill>
        </w:rPr>
        <w:t>，发包人确定承包人为</w:t>
      </w:r>
      <w:r>
        <w:rPr>
          <w:rFonts w:hint="eastAsia"/>
          <w:color w:val="000000" w:themeColor="text1"/>
          <w:sz w:val="24"/>
          <w:szCs w:val="24"/>
          <w:highlight w:val="none"/>
          <w:u w:val="single"/>
          <w14:textFill>
            <w14:solidFill>
              <w14:schemeClr w14:val="tx1"/>
            </w14:solidFill>
          </w14:textFill>
        </w:rPr>
        <w:t>南沙全民文化体育综合体生态堤建设工程（21涌以北）一期及南沙区万顷沙十九涌南污水提升泵站工程全过程造价咨询（备注：同中标通知书/直接委托通知书</w:t>
      </w:r>
      <w:r>
        <w:rPr>
          <w:color w:val="000000" w:themeColor="text1"/>
          <w:sz w:val="24"/>
          <w:szCs w:val="24"/>
          <w:highlight w:val="none"/>
          <w:u w:val="single"/>
          <w14:textFill>
            <w14:solidFill>
              <w14:schemeClr w14:val="tx1"/>
            </w14:solidFill>
          </w14:textFill>
        </w:rPr>
        <w:t>/</w:t>
      </w:r>
      <w:r>
        <w:rPr>
          <w:rFonts w:hint="eastAsia"/>
          <w:color w:val="000000" w:themeColor="text1"/>
          <w:sz w:val="24"/>
          <w:szCs w:val="24"/>
          <w:highlight w:val="none"/>
          <w:u w:val="single"/>
          <w:lang w:eastAsia="zh-Hans"/>
          <w14:textFill>
            <w14:solidFill>
              <w14:schemeClr w14:val="tx1"/>
            </w14:solidFill>
          </w14:textFill>
        </w:rPr>
        <w:t>其他委托文件</w:t>
      </w:r>
      <w:r>
        <w:rPr>
          <w:rFonts w:hint="eastAsia"/>
          <w:color w:val="000000" w:themeColor="text1"/>
          <w:sz w:val="24"/>
          <w:szCs w:val="24"/>
          <w:highlight w:val="none"/>
          <w:u w:val="single"/>
          <w14:textFill>
            <w14:solidFill>
              <w14:schemeClr w14:val="tx1"/>
            </w14:solidFill>
          </w14:textFill>
        </w:rPr>
        <w:t>中载明的项目全称）</w:t>
      </w:r>
      <w:r>
        <w:rPr>
          <w:rFonts w:hint="eastAsia"/>
          <w:color w:val="000000" w:themeColor="text1"/>
          <w:sz w:val="24"/>
          <w:szCs w:val="24"/>
          <w:highlight w:val="none"/>
          <w14:textFill>
            <w14:solidFill>
              <w14:schemeClr w14:val="tx1"/>
            </w14:solidFill>
          </w14:textFill>
        </w:rPr>
        <w:t>的服务单位，</w:t>
      </w:r>
      <w:r>
        <w:rPr>
          <w:rFonts w:hint="eastAsia"/>
          <w:color w:val="000000" w:themeColor="text1"/>
          <w:sz w:val="24"/>
          <w:szCs w:val="24"/>
          <w:highlight w:val="none"/>
          <w:u w:val="single"/>
          <w14:textFill>
            <w14:solidFill>
              <w14:schemeClr w14:val="tx1"/>
            </w14:solidFill>
          </w14:textFill>
        </w:rPr>
        <w:sym w:font="Wingdings 2" w:char="F052"/>
      </w:r>
      <w:r>
        <w:rPr>
          <w:rFonts w:hint="eastAsia"/>
          <w:color w:val="000000" w:themeColor="text1"/>
          <w:sz w:val="24"/>
          <w:szCs w:val="24"/>
          <w:highlight w:val="none"/>
          <w:u w:val="single"/>
          <w14:textFill>
            <w14:solidFill>
              <w14:schemeClr w14:val="tx1"/>
            </w14:solidFill>
          </w14:textFill>
        </w:rPr>
        <w:t>中标通知书/</w:t>
      </w:r>
      <w:r>
        <w:rPr>
          <w:rFonts w:hint="eastAsia"/>
          <w:color w:val="000000" w:themeColor="text1"/>
          <w:sz w:val="24"/>
          <w:szCs w:val="24"/>
          <w:highlight w:val="none"/>
          <w:u w:val="single"/>
          <w14:textFill>
            <w14:solidFill>
              <w14:schemeClr w14:val="tx1"/>
            </w14:solidFill>
          </w14:textFill>
        </w:rPr>
        <w:sym w:font="Wingdings 2" w:char="F0A3"/>
      </w:r>
      <w:r>
        <w:rPr>
          <w:rFonts w:hint="eastAsia"/>
          <w:color w:val="000000" w:themeColor="text1"/>
          <w:sz w:val="24"/>
          <w:szCs w:val="24"/>
          <w:highlight w:val="none"/>
          <w:u w:val="single"/>
          <w14:textFill>
            <w14:solidFill>
              <w14:schemeClr w14:val="tx1"/>
            </w14:solidFill>
          </w14:textFill>
        </w:rPr>
        <w:t>直接委托通知书</w:t>
      </w:r>
      <w:r>
        <w:rPr>
          <w:color w:val="000000" w:themeColor="text1"/>
          <w:sz w:val="24"/>
          <w:szCs w:val="24"/>
          <w:highlight w:val="none"/>
          <w:u w:val="single"/>
          <w14:textFill>
            <w14:solidFill>
              <w14:schemeClr w14:val="tx1"/>
            </w14:solidFill>
          </w14:textFill>
        </w:rPr>
        <w:t>/</w:t>
      </w:r>
      <w:r>
        <w:rPr>
          <w:rFonts w:hint="eastAsia"/>
          <w:color w:val="000000" w:themeColor="text1"/>
          <w:sz w:val="24"/>
          <w:szCs w:val="24"/>
          <w:highlight w:val="none"/>
          <w:u w:val="single"/>
          <w14:textFill>
            <w14:solidFill>
              <w14:schemeClr w14:val="tx1"/>
            </w14:solidFill>
          </w14:textFill>
        </w:rPr>
        <w:sym w:font="Wingdings 2" w:char="F0A3"/>
      </w:r>
      <w:r>
        <w:rPr>
          <w:rFonts w:hint="eastAsia"/>
          <w:color w:val="000000" w:themeColor="text1"/>
          <w:sz w:val="24"/>
          <w:szCs w:val="24"/>
          <w:highlight w:val="none"/>
          <w:u w:val="single"/>
          <w:lang w:eastAsia="zh-Hans"/>
          <w14:textFill>
            <w14:solidFill>
              <w14:schemeClr w14:val="tx1"/>
            </w14:solidFill>
          </w14:textFill>
        </w:rPr>
        <w:t>其他委托文件：</w:t>
      </w:r>
      <w:r>
        <w:rPr>
          <w:rFonts w:hint="eastAsia"/>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编号为：</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14:textFill>
            <w14:solidFill>
              <w14:schemeClr w14:val="tx1"/>
            </w14:solidFill>
          </w14:textFill>
        </w:rPr>
        <w:t>（备注：如无请删除）</w:t>
      </w:r>
      <w:r>
        <w:rPr>
          <w:rFonts w:hint="eastAsia"/>
          <w:snapToGrid w:val="0"/>
          <w:color w:val="000000" w:themeColor="text1"/>
          <w:kern w:val="0"/>
          <w:sz w:val="24"/>
          <w:highlight w:val="none"/>
          <w14:textFill>
            <w14:solidFill>
              <w14:schemeClr w14:val="tx1"/>
            </w14:solidFill>
          </w14:textFill>
        </w:rPr>
        <w:t>。</w:t>
      </w:r>
    </w:p>
    <w:p>
      <w:pPr>
        <w:snapToGrid w:val="0"/>
        <w:spacing w:line="360" w:lineRule="auto"/>
        <w:ind w:firstLine="482"/>
        <w:rPr>
          <w:color w:val="000000" w:themeColor="text1"/>
          <w:kern w:val="0"/>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该</w:t>
      </w:r>
      <w:r>
        <w:rPr>
          <w:rFonts w:hint="eastAsia"/>
          <w:color w:val="000000" w:themeColor="text1"/>
          <w:sz w:val="24"/>
          <w:szCs w:val="24"/>
          <w:highlight w:val="none"/>
          <w:lang w:eastAsia="zh-Hans"/>
          <w14:textFill>
            <w14:solidFill>
              <w14:schemeClr w14:val="tx1"/>
            </w14:solidFill>
          </w14:textFill>
        </w:rPr>
        <w:t>成交通知书</w:t>
      </w:r>
      <w:r>
        <w:rPr>
          <w:rFonts w:hint="eastAsia"/>
          <w:color w:val="000000" w:themeColor="text1"/>
          <w:sz w:val="24"/>
          <w:szCs w:val="24"/>
          <w:highlight w:val="none"/>
          <w14:textFill>
            <w14:solidFill>
              <w14:schemeClr w14:val="tx1"/>
            </w14:solidFill>
          </w14:textFill>
        </w:rPr>
        <w:t>对应的中标范围拟包括</w:t>
      </w:r>
      <w:r>
        <w:rPr>
          <w:rFonts w:hint="eastAsia"/>
          <w:color w:val="000000" w:themeColor="text1"/>
          <w:sz w:val="24"/>
          <w:szCs w:val="24"/>
          <w:highlight w:val="none"/>
          <w:u w:val="single"/>
          <w14:textFill>
            <w14:solidFill>
              <w14:schemeClr w14:val="tx1"/>
            </w14:solidFill>
          </w14:textFill>
        </w:rPr>
        <w:t>2个</w:t>
      </w:r>
      <w:r>
        <w:rPr>
          <w:rFonts w:hint="eastAsia"/>
          <w:color w:val="000000" w:themeColor="text1"/>
          <w:sz w:val="24"/>
          <w:szCs w:val="24"/>
          <w:highlight w:val="none"/>
          <w14:textFill>
            <w14:solidFill>
              <w14:schemeClr w14:val="tx1"/>
            </w14:solidFill>
          </w14:textFill>
        </w:rPr>
        <w:t>项目</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Hans"/>
          <w14:textFill>
            <w14:solidFill>
              <w14:schemeClr w14:val="tx1"/>
            </w14:solidFill>
          </w14:textFill>
        </w:rPr>
        <w:t>项目名称</w:t>
      </w:r>
      <w:r>
        <w:rPr>
          <w:rFonts w:hint="eastAsia"/>
          <w:color w:val="000000" w:themeColor="text1"/>
          <w:sz w:val="24"/>
          <w:szCs w:val="24"/>
          <w:highlight w:val="none"/>
          <w14:textFill>
            <w14:solidFill>
              <w14:schemeClr w14:val="tx1"/>
            </w14:solidFill>
          </w14:textFill>
        </w:rPr>
        <w:t>具体以批复可研为准）</w:t>
      </w:r>
      <w:r>
        <w:rPr>
          <w:rFonts w:hint="eastAsia"/>
          <w:color w:val="000000" w:themeColor="text1"/>
          <w:sz w:val="24"/>
          <w:szCs w:val="24"/>
          <w:highlight w:val="none"/>
          <w14:textFill>
            <w14:solidFill>
              <w14:schemeClr w14:val="tx1"/>
            </w14:solidFill>
          </w14:textFill>
        </w:rPr>
        <w:t>，为了方便项目核算及支付，合同需按不同项目立项的分别签订，即</w:t>
      </w:r>
      <w:r>
        <w:rPr>
          <w:rFonts w:hint="eastAsia"/>
          <w:color w:val="000000" w:themeColor="text1"/>
          <w:sz w:val="24"/>
          <w:szCs w:val="24"/>
          <w:highlight w:val="none"/>
          <w:u w:val="single"/>
          <w14:textFill>
            <w14:solidFill>
              <w14:schemeClr w14:val="tx1"/>
            </w14:solidFill>
          </w14:textFill>
        </w:rPr>
        <w:t>南沙全民文化体育综合体生态堤建设工程（21涌以北）一期</w:t>
      </w:r>
      <w:r>
        <w:rPr>
          <w:color w:val="000000" w:themeColor="text1"/>
          <w:sz w:val="24"/>
          <w:szCs w:val="24"/>
          <w:highlight w:val="none"/>
          <w:u w:val="single"/>
          <w14:textFill>
            <w14:solidFill>
              <w14:schemeClr w14:val="tx1"/>
            </w14:solidFill>
          </w14:textFill>
        </w:rPr>
        <w:t>全过程造价咨询</w:t>
      </w:r>
      <w:r>
        <w:rPr>
          <w:rFonts w:hint="eastAsia"/>
          <w:color w:val="000000" w:themeColor="text1"/>
          <w:sz w:val="24"/>
          <w:szCs w:val="24"/>
          <w:highlight w:val="none"/>
          <w:u w:val="single"/>
          <w14:textFill>
            <w14:solidFill>
              <w14:schemeClr w14:val="tx1"/>
            </w14:solidFill>
          </w14:textFill>
        </w:rPr>
        <w:t>合同文件（合同金额人民币   元，本合同）</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u w:val="single"/>
          <w14:textFill>
            <w14:solidFill>
              <w14:schemeClr w14:val="tx1"/>
            </w14:solidFill>
          </w14:textFill>
        </w:rPr>
        <w:t>南沙区万顷沙十九涌南污水提升泵站工程全过程造价咨询合同文件（合同金额人民币   元）</w:t>
      </w:r>
      <w:r>
        <w:rPr>
          <w:rFonts w:hint="eastAsia"/>
          <w:color w:val="000000" w:themeColor="text1"/>
          <w:sz w:val="24"/>
          <w:szCs w:val="24"/>
          <w:highlight w:val="none"/>
          <w14:textFill>
            <w14:solidFill>
              <w14:schemeClr w14:val="tx1"/>
            </w14:solidFill>
          </w14:textFill>
        </w:rPr>
        <w:t>，合同名及合同内范围、合同价做相应切分调整（具体切分金额详见合同附件4）</w:t>
      </w:r>
      <w:r>
        <w:rPr>
          <w:rFonts w:hint="eastAsia"/>
          <w:color w:val="000000" w:themeColor="text1"/>
          <w:sz w:val="24"/>
          <w:szCs w:val="24"/>
          <w:highlight w:val="none"/>
          <w:lang w:eastAsia="zh-Hans"/>
          <w14:textFill>
            <w14:solidFill>
              <w14:schemeClr w14:val="tx1"/>
            </w14:solidFill>
          </w14:textFill>
        </w:rPr>
        <w:t>（备注：</w:t>
      </w:r>
      <w:r>
        <w:rPr>
          <w:rFonts w:hint="eastAsia"/>
          <w:color w:val="000000" w:themeColor="text1"/>
          <w:sz w:val="24"/>
          <w:szCs w:val="24"/>
          <w:highlight w:val="none"/>
          <w:lang w:eastAsia="zh-Hans"/>
          <w14:textFill>
            <w14:solidFill>
              <w14:schemeClr w14:val="tx1"/>
            </w14:solidFill>
          </w14:textFill>
        </w:rPr>
        <w:t>如招标控制价及投标报价未分开项目列出，则</w:t>
      </w:r>
      <w:r>
        <w:rPr>
          <w:rFonts w:hint="eastAsia"/>
          <w:color w:val="000000" w:themeColor="text1"/>
          <w:sz w:val="24"/>
          <w:szCs w:val="24"/>
          <w:highlight w:val="none"/>
          <w14:textFill>
            <w14:solidFill>
              <w14:schemeClr w14:val="tx1"/>
            </w14:solidFill>
          </w14:textFill>
        </w:rPr>
        <w:t>合同金额按各立项批复可研总投资占比切分</w:t>
      </w:r>
      <w:r>
        <w:rPr>
          <w:rFonts w:hint="eastAsia"/>
          <w:color w:val="000000" w:themeColor="text1"/>
          <w:sz w:val="24"/>
          <w:szCs w:val="24"/>
          <w:highlight w:val="none"/>
          <w:lang w:eastAsia="zh-Hans"/>
          <w14:textFill>
            <w14:solidFill>
              <w14:schemeClr w14:val="tx1"/>
            </w14:solidFill>
          </w14:textFill>
        </w:rPr>
        <w:t>）</w:t>
      </w:r>
      <w:r>
        <w:rPr>
          <w:rFonts w:hint="eastAsia"/>
          <w:color w:val="000000" w:themeColor="text1"/>
          <w:sz w:val="24"/>
          <w:szCs w:val="24"/>
          <w:highlight w:val="none"/>
          <w14:textFill>
            <w14:solidFill>
              <w14:schemeClr w14:val="tx1"/>
            </w14:solidFill>
          </w14:textFill>
        </w:rPr>
        <w:t>，总中标价及总范围不变。</w:t>
      </w:r>
    </w:p>
    <w:p>
      <w:pPr>
        <w:adjustRightInd w:val="0"/>
        <w:snapToGrid w:val="0"/>
        <w:spacing w:line="360" w:lineRule="auto"/>
        <w:ind w:firstLine="482"/>
        <w:rPr>
          <w:snapToGrid w:val="0"/>
          <w:color w:val="000000" w:themeColor="text1"/>
          <w:kern w:val="0"/>
          <w:sz w:val="24"/>
          <w:highlight w:val="none"/>
          <w14:textFill>
            <w14:solidFill>
              <w14:schemeClr w14:val="tx1"/>
            </w14:solidFill>
          </w14:textFill>
        </w:rPr>
      </w:pPr>
      <w:r>
        <w:rPr>
          <w:rFonts w:hint="eastAsia"/>
          <w:snapToGrid w:val="0"/>
          <w:color w:val="000000" w:themeColor="text1"/>
          <w:kern w:val="0"/>
          <w:sz w:val="24"/>
          <w:highlight w:val="none"/>
          <w14:textFill>
            <w14:solidFill>
              <w14:schemeClr w14:val="tx1"/>
            </w14:solidFill>
          </w14:textFill>
        </w:rPr>
        <w:t>根据《中华人民共和国民法典》等</w:t>
      </w:r>
      <w:r>
        <w:rPr>
          <w:rFonts w:hint="eastAsia"/>
          <w:color w:val="000000" w:themeColor="text1"/>
          <w:sz w:val="24"/>
          <w:szCs w:val="24"/>
          <w:highlight w:val="none"/>
          <w14:textFill>
            <w14:solidFill>
              <w14:schemeClr w14:val="tx1"/>
            </w14:solidFill>
          </w14:textFill>
        </w:rPr>
        <w:t>相关法律法规规定</w:t>
      </w:r>
      <w:r>
        <w:rPr>
          <w:rFonts w:hint="eastAsia"/>
          <w:snapToGrid w:val="0"/>
          <w:color w:val="000000" w:themeColor="text1"/>
          <w:kern w:val="0"/>
          <w:sz w:val="24"/>
          <w:highlight w:val="none"/>
          <w14:textFill>
            <w14:solidFill>
              <w14:schemeClr w14:val="tx1"/>
            </w14:solidFill>
          </w14:textFill>
        </w:rPr>
        <w:t>，遵循平等、自愿、公平和诚实信用的原则，双方就上述</w:t>
      </w:r>
      <w:r>
        <w:rPr>
          <w:rFonts w:hint="eastAsia"/>
          <w:snapToGrid w:val="0"/>
          <w:color w:val="000000" w:themeColor="text1"/>
          <w:kern w:val="0"/>
          <w:sz w:val="24"/>
          <w:highlight w:val="none"/>
          <w:u w:val="single"/>
          <w14:textFill>
            <w14:solidFill>
              <w14:schemeClr w14:val="tx1"/>
            </w14:solidFill>
          </w14:textFill>
        </w:rPr>
        <w:t xml:space="preserve"> </w:t>
      </w:r>
      <w:r>
        <w:rPr>
          <w:snapToGrid w:val="0"/>
          <w:color w:val="000000" w:themeColor="text1"/>
          <w:kern w:val="0"/>
          <w:sz w:val="24"/>
          <w:highlight w:val="none"/>
          <w:u w:val="single"/>
          <w14:textFill>
            <w14:solidFill>
              <w14:schemeClr w14:val="tx1"/>
            </w14:solidFill>
          </w14:textFill>
        </w:rPr>
        <w:t xml:space="preserve">            </w:t>
      </w:r>
      <w:r>
        <w:rPr>
          <w:rFonts w:hint="eastAsia"/>
          <w:snapToGrid w:val="0"/>
          <w:color w:val="000000" w:themeColor="text1"/>
          <w:kern w:val="0"/>
          <w:sz w:val="24"/>
          <w:highlight w:val="none"/>
          <w:u w:val="single"/>
          <w14:textFill>
            <w14:solidFill>
              <w14:schemeClr w14:val="tx1"/>
            </w14:solidFill>
          </w14:textFill>
        </w:rPr>
        <w:t>全过程造价咨询</w:t>
      </w:r>
      <w:r>
        <w:rPr>
          <w:rFonts w:hint="eastAsia"/>
          <w:snapToGrid w:val="0"/>
          <w:color w:val="000000" w:themeColor="text1"/>
          <w:kern w:val="0"/>
          <w:sz w:val="24"/>
          <w:highlight w:val="none"/>
          <w14:textFill>
            <w14:solidFill>
              <w14:schemeClr w14:val="tx1"/>
            </w14:solidFill>
          </w14:textFill>
        </w:rPr>
        <w:t>事项协商一致，订立本合同。</w:t>
      </w:r>
    </w:p>
    <w:p>
      <w:pPr>
        <w:pStyle w:val="4"/>
        <w:spacing w:before="240" w:after="120"/>
        <w:rPr>
          <w:color w:val="000000" w:themeColor="text1"/>
          <w:highlight w:val="none"/>
          <w14:textFill>
            <w14:solidFill>
              <w14:schemeClr w14:val="tx1"/>
            </w14:solidFill>
          </w14:textFill>
        </w:rPr>
      </w:pPr>
      <w:bookmarkStart w:id="28" w:name="_Toc9429031"/>
      <w:bookmarkEnd w:id="28"/>
      <w:bookmarkStart w:id="29" w:name="_Toc9429030"/>
      <w:bookmarkEnd w:id="29"/>
      <w:bookmarkStart w:id="30" w:name="_Toc9429032"/>
      <w:bookmarkEnd w:id="30"/>
      <w:bookmarkStart w:id="31" w:name="_Toc81930159"/>
      <w:bookmarkStart w:id="32" w:name="_Toc31298"/>
      <w:bookmarkStart w:id="33" w:name="_Toc8580"/>
      <w:bookmarkStart w:id="34" w:name="_Toc23117"/>
      <w:bookmarkStart w:id="35" w:name="_Toc2404"/>
      <w:bookmarkStart w:id="36" w:name="_Toc10584"/>
      <w:bookmarkStart w:id="37" w:name="_Toc6676"/>
      <w:bookmarkStart w:id="38" w:name="_Toc11960"/>
      <w:bookmarkStart w:id="39" w:name="_Toc20273"/>
      <w:bookmarkStart w:id="40" w:name="_Toc16106"/>
      <w:bookmarkStart w:id="41" w:name="_Toc26839"/>
      <w:bookmarkStart w:id="42" w:name="_Toc4312"/>
      <w:bookmarkStart w:id="43" w:name="_Toc24743"/>
      <w:bookmarkStart w:id="44" w:name="_Toc13472"/>
      <w:bookmarkStart w:id="45" w:name="_Toc23506"/>
      <w:bookmarkStart w:id="46" w:name="_Toc112071507"/>
      <w:bookmarkStart w:id="47" w:name="_Toc149656765"/>
      <w:r>
        <w:rPr>
          <w:rFonts w:hint="eastAsia"/>
          <w:color w:val="000000" w:themeColor="text1"/>
          <w:highlight w:val="none"/>
          <w14:textFill>
            <w14:solidFill>
              <w14:schemeClr w14:val="tx1"/>
            </w14:solidFill>
          </w14:textFill>
        </w:rPr>
        <w:t>第一条 工程概况</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hint="eastAsia"/>
          <w:color w:val="000000" w:themeColor="text1"/>
          <w:highlight w:val="none"/>
          <w14:textFill>
            <w14:solidFill>
              <w14:schemeClr w14:val="tx1"/>
            </w14:solidFill>
          </w14:textFill>
        </w:rPr>
        <w:t>（备注：具体按招文/采购需求等发包人发出文件作相应调整）</w:t>
      </w:r>
      <w:bookmarkEnd w:id="46"/>
      <w:bookmarkEnd w:id="47"/>
    </w:p>
    <w:p>
      <w:pPr>
        <w:pStyle w:val="50"/>
        <w:numPr>
          <w:ilvl w:val="0"/>
          <w:numId w:val="1"/>
        </w:numPr>
        <w:tabs>
          <w:tab w:val="left" w:pos="426"/>
        </w:tabs>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工程名称：</w:t>
      </w:r>
      <w:r>
        <w:rPr>
          <w:rFonts w:hint="eastAsia"/>
          <w:color w:val="000000" w:themeColor="text1"/>
          <w:sz w:val="24"/>
          <w:highlight w:val="none"/>
          <w:u w:val="single"/>
          <w:lang w:val="zh-CN"/>
          <w14:textFill>
            <w14:solidFill>
              <w14:schemeClr w14:val="tx1"/>
            </w14:solidFill>
          </w14:textFill>
        </w:rPr>
        <w:t xml:space="preserve"> </w:t>
      </w:r>
      <w:r>
        <w:rPr>
          <w:color w:val="000000" w:themeColor="text1"/>
          <w:sz w:val="24"/>
          <w:highlight w:val="none"/>
          <w:u w:val="single"/>
          <w:lang w:val="zh-CN"/>
          <w14:textFill>
            <w14:solidFill>
              <w14:schemeClr w14:val="tx1"/>
            </w14:solidFill>
          </w14:textFill>
        </w:rPr>
        <w:t xml:space="preserve">               </w:t>
      </w:r>
    </w:p>
    <w:p>
      <w:pPr>
        <w:pStyle w:val="2"/>
        <w:numPr>
          <w:ilvl w:val="0"/>
          <w:numId w:val="1"/>
        </w:numPr>
        <w:adjustRightInd w:val="0"/>
        <w:snapToGrid w:val="0"/>
        <w:spacing w:after="0"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工程地点：</w:t>
      </w:r>
      <w:r>
        <w:rPr>
          <w:rFonts w:hint="eastAsia"/>
          <w:color w:val="000000" w:themeColor="text1"/>
          <w:sz w:val="24"/>
          <w:highlight w:val="none"/>
          <w:u w:val="single"/>
          <w:lang w:val="zh-CN"/>
          <w14:textFill>
            <w14:solidFill>
              <w14:schemeClr w14:val="tx1"/>
            </w14:solidFill>
          </w14:textFill>
        </w:rPr>
        <w:t xml:space="preserve"> 广州市南沙区</w:t>
      </w:r>
      <w:r>
        <w:rPr>
          <w:color w:val="000000" w:themeColor="text1"/>
          <w:sz w:val="24"/>
          <w:highlight w:val="none"/>
          <w:u w:val="single"/>
          <w:lang w:val="zh-CN"/>
          <w14:textFill>
            <w14:solidFill>
              <w14:schemeClr w14:val="tx1"/>
            </w14:solidFill>
          </w14:textFill>
        </w:rPr>
        <w:t xml:space="preserve"> </w:t>
      </w:r>
    </w:p>
    <w:p>
      <w:pPr>
        <w:pStyle w:val="3"/>
        <w:numPr>
          <w:ilvl w:val="0"/>
          <w:numId w:val="1"/>
        </w:numPr>
        <w:adjustRightInd w:val="0"/>
        <w:snapToGrid w:val="0"/>
        <w:spacing w:before="0" w:beforeAutospacing="0" w:line="360" w:lineRule="auto"/>
        <w:ind w:firstLine="480" w:firstLineChars="200"/>
        <w:rPr>
          <w:color w:val="000000" w:themeColor="text1"/>
          <w:sz w:val="24"/>
          <w:szCs w:val="24"/>
          <w:highlight w:val="none"/>
          <w:u w:val="single"/>
          <w14:textFill>
            <w14:solidFill>
              <w14:schemeClr w14:val="tx1"/>
            </w14:solidFill>
          </w14:textFill>
        </w:rPr>
      </w:pPr>
      <w:r>
        <w:rPr>
          <w:rFonts w:hint="eastAsia"/>
          <w:color w:val="000000" w:themeColor="text1"/>
          <w:sz w:val="24"/>
          <w:highlight w:val="none"/>
          <w:lang w:val="zh-CN"/>
          <w14:textFill>
            <w14:solidFill>
              <w14:schemeClr w14:val="tx1"/>
            </w14:solidFill>
          </w14:textFill>
        </w:rPr>
        <w:t>工程规模：</w:t>
      </w:r>
      <w:r>
        <w:rPr>
          <w:rFonts w:hint="eastAsia"/>
          <w:color w:val="000000" w:themeColor="text1"/>
          <w:sz w:val="24"/>
          <w:highlight w:val="none"/>
          <w:u w:val="single"/>
          <w:lang w:val="zh-CN"/>
          <w14:textFill>
            <w14:solidFill>
              <w14:schemeClr w14:val="tx1"/>
            </w14:solidFill>
          </w14:textFill>
        </w:rPr>
        <w:t xml:space="preserve"> </w:t>
      </w:r>
      <w:r>
        <w:rPr>
          <w:color w:val="000000" w:themeColor="text1"/>
          <w:sz w:val="24"/>
          <w:highlight w:val="none"/>
          <w:u w:val="single"/>
          <w:lang w:val="zh-CN"/>
          <w14:textFill>
            <w14:solidFill>
              <w14:schemeClr w14:val="tx1"/>
            </w14:solidFill>
          </w14:textFill>
        </w:rPr>
        <w:t xml:space="preserve">                                         </w:t>
      </w:r>
      <w:bookmarkStart w:id="48" w:name="_Hlk145509697"/>
      <w:r>
        <w:rPr>
          <w:rFonts w:hint="eastAsia"/>
          <w:color w:val="000000" w:themeColor="text1"/>
          <w:sz w:val="24"/>
          <w:highlight w:val="none"/>
          <w:u w:val="single"/>
          <w:lang w:val="zh-CN"/>
          <w14:textFill>
            <w14:solidFill>
              <w14:schemeClr w14:val="tx1"/>
            </w14:solidFill>
          </w14:textFill>
        </w:rPr>
        <w:t>。</w:t>
      </w:r>
      <w:r>
        <w:rPr>
          <w:rFonts w:hint="eastAsia"/>
          <w:color w:val="000000" w:themeColor="text1"/>
          <w:sz w:val="24"/>
          <w:szCs w:val="24"/>
          <w:highlight w:val="none"/>
          <w:u w:val="single"/>
          <w14:textFill>
            <w14:solidFill>
              <w14:schemeClr w14:val="tx1"/>
            </w14:solidFill>
          </w14:textFill>
        </w:rPr>
        <w:t>（</w:t>
      </w:r>
      <w:bookmarkStart w:id="49" w:name="_Hlk145506709"/>
      <w:r>
        <w:rPr>
          <w:rFonts w:hint="eastAsia"/>
          <w:color w:val="000000" w:themeColor="text1"/>
          <w:sz w:val="24"/>
          <w:szCs w:val="24"/>
          <w:highlight w:val="none"/>
          <w:u w:val="single"/>
          <w14:textFill>
            <w14:solidFill>
              <w14:schemeClr w14:val="tx1"/>
            </w14:solidFill>
          </w14:textFill>
        </w:rPr>
        <w:t>具体项目以控规、可行性研究报告批复（或备案）文件、初步设计审查和相关政府部门审查确定的建设项目、建设规模、建设标准等为准。</w:t>
      </w:r>
      <w:bookmarkEnd w:id="49"/>
      <w:r>
        <w:rPr>
          <w:rFonts w:hint="eastAsia"/>
          <w:color w:val="000000" w:themeColor="text1"/>
          <w:sz w:val="24"/>
          <w:szCs w:val="24"/>
          <w:highlight w:val="none"/>
          <w:u w:val="single"/>
          <w14:textFill>
            <w14:solidFill>
              <w14:schemeClr w14:val="tx1"/>
            </w14:solidFill>
          </w14:textFill>
        </w:rPr>
        <w:t>）</w:t>
      </w:r>
      <w:bookmarkEnd w:id="48"/>
    </w:p>
    <w:p>
      <w:pPr>
        <w:adjustRightInd w:val="0"/>
        <w:snapToGrid w:val="0"/>
        <w:spacing w:line="360" w:lineRule="auto"/>
        <w:ind w:firstLine="482" w:firstLineChars="200"/>
        <w:rPr>
          <w:b/>
          <w:bCs/>
          <w:color w:val="000000" w:themeColor="text1"/>
          <w:sz w:val="24"/>
          <w:szCs w:val="24"/>
          <w:highlight w:val="none"/>
          <w:u w:val="single"/>
          <w14:textFill>
            <w14:solidFill>
              <w14:schemeClr w14:val="tx1"/>
            </w14:solidFill>
          </w14:textFill>
        </w:rPr>
      </w:pPr>
      <w:bookmarkStart w:id="50" w:name="_Hlk145509708"/>
      <w:r>
        <w:rPr>
          <w:rFonts w:hint="eastAsia"/>
          <w:b/>
          <w:bCs/>
          <w:color w:val="000000" w:themeColor="text1"/>
          <w:sz w:val="24"/>
          <w:szCs w:val="24"/>
          <w:highlight w:val="none"/>
          <w:u w:val="single"/>
          <w14:textFill>
            <w14:solidFill>
              <w14:schemeClr w14:val="tx1"/>
            </w14:solidFill>
          </w14:textFill>
        </w:rPr>
        <w:t>根据本项目规划实施的具体情况，如遇该项目的投资规模、结构形式、项目名称、平面（位置）或者造价等发生调整（或变更，或增减），也可能会新增或减少部分、甚至取消全部内容，投标下浮率固定不变（如有），承包人已充分理解此风险并无条件接受不得拒绝。如遇政策变化取消该全部工程，则本合同自动失效，承包人应充分理解此风险并不得向发包人索赔。</w:t>
      </w:r>
      <w:bookmarkEnd w:id="50"/>
    </w:p>
    <w:p>
      <w:pPr>
        <w:pStyle w:val="3"/>
        <w:numPr>
          <w:ilvl w:val="0"/>
          <w:numId w:val="1"/>
        </w:numPr>
        <w:adjustRightInd w:val="0"/>
        <w:snapToGrid w:val="0"/>
        <w:spacing w:before="0" w:beforeAutospacing="0" w:line="360" w:lineRule="auto"/>
        <w:ind w:firstLine="480" w:firstLineChars="200"/>
        <w:rPr>
          <w:color w:val="000000" w:themeColor="text1"/>
          <w:sz w:val="24"/>
          <w:highlight w:val="none"/>
          <w:lang w:val="zh-CN"/>
          <w14:textFill>
            <w14:solidFill>
              <w14:schemeClr w14:val="tx1"/>
            </w14:solidFill>
          </w14:textFill>
        </w:rPr>
      </w:pPr>
      <w:bookmarkStart w:id="51" w:name="_Hlk145509719"/>
      <w:r>
        <w:rPr>
          <w:rFonts w:hint="eastAsia"/>
          <w:color w:val="000000" w:themeColor="text1"/>
          <w:sz w:val="24"/>
          <w:highlight w:val="none"/>
          <w:lang w:val="zh-CN"/>
          <w14:textFill>
            <w14:solidFill>
              <w14:schemeClr w14:val="tx1"/>
            </w14:solidFill>
          </w14:textFill>
        </w:rPr>
        <w:t>投资金额：</w:t>
      </w:r>
      <w:r>
        <w:rPr>
          <w:rFonts w:hint="eastAsia"/>
          <w:color w:val="000000" w:themeColor="text1"/>
          <w:sz w:val="24"/>
          <w:highlight w:val="none"/>
          <w:u w:val="single"/>
          <w:lang w:val="zh-CN"/>
          <w14:textFill>
            <w14:solidFill>
              <w14:schemeClr w14:val="tx1"/>
            </w14:solidFill>
          </w14:textFill>
        </w:rPr>
        <w:t xml:space="preserve"> </w:t>
      </w:r>
      <w:r>
        <w:rPr>
          <w:color w:val="000000" w:themeColor="text1"/>
          <w:sz w:val="24"/>
          <w:highlight w:val="none"/>
          <w:u w:val="single"/>
          <w:lang w:val="zh-CN"/>
          <w14:textFill>
            <w14:solidFill>
              <w14:schemeClr w14:val="tx1"/>
            </w14:solidFill>
          </w14:textFill>
        </w:rPr>
        <w:t xml:space="preserve">                                                    </w:t>
      </w:r>
    </w:p>
    <w:p>
      <w:pPr>
        <w:pStyle w:val="3"/>
        <w:numPr>
          <w:ilvl w:val="0"/>
          <w:numId w:val="1"/>
        </w:numPr>
        <w:adjustRightInd w:val="0"/>
        <w:snapToGrid w:val="0"/>
        <w:spacing w:before="0" w:beforeAutospacing="0"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资金来源：</w:t>
      </w:r>
      <w:r>
        <w:rPr>
          <w:rFonts w:hint="eastAsia"/>
          <w:color w:val="000000" w:themeColor="text1"/>
          <w:sz w:val="24"/>
          <w:highlight w:val="none"/>
          <w:u w:val="single"/>
          <w:lang w:val="zh-CN"/>
          <w14:textFill>
            <w14:solidFill>
              <w14:schemeClr w14:val="tx1"/>
            </w14:solidFill>
          </w14:textFill>
        </w:rPr>
        <w:t xml:space="preserve"> 财政资金</w:t>
      </w:r>
      <w:r>
        <w:rPr>
          <w:color w:val="000000" w:themeColor="text1"/>
          <w:sz w:val="24"/>
          <w:highlight w:val="none"/>
          <w:u w:val="single"/>
          <w:lang w:val="zh-CN"/>
          <w14:textFill>
            <w14:solidFill>
              <w14:schemeClr w14:val="tx1"/>
            </w14:solidFill>
          </w14:textFill>
        </w:rPr>
        <w:t xml:space="preserve"> </w:t>
      </w:r>
    </w:p>
    <w:p>
      <w:pPr>
        <w:pStyle w:val="3"/>
        <w:numPr>
          <w:ilvl w:val="0"/>
          <w:numId w:val="1"/>
        </w:numPr>
        <w:adjustRightInd w:val="0"/>
        <w:snapToGrid w:val="0"/>
        <w:spacing w:before="0" w:beforeAutospacing="0"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其他：</w:t>
      </w:r>
      <w:r>
        <w:rPr>
          <w:rFonts w:hint="eastAsia"/>
          <w:color w:val="000000" w:themeColor="text1"/>
          <w:sz w:val="24"/>
          <w:highlight w:val="none"/>
          <w:u w:val="single"/>
          <w:lang w:val="zh-CN"/>
          <w14:textFill>
            <w14:solidFill>
              <w14:schemeClr w14:val="tx1"/>
            </w14:solidFill>
          </w14:textFill>
        </w:rPr>
        <w:t xml:space="preserve"> </w:t>
      </w:r>
      <w:r>
        <w:rPr>
          <w:color w:val="000000" w:themeColor="text1"/>
          <w:sz w:val="24"/>
          <w:highlight w:val="none"/>
          <w:u w:val="single"/>
          <w:lang w:val="zh-CN"/>
          <w14:textFill>
            <w14:solidFill>
              <w14:schemeClr w14:val="tx1"/>
            </w14:solidFill>
          </w14:textFill>
        </w:rPr>
        <w:t xml:space="preserve">                                                        </w:t>
      </w:r>
    </w:p>
    <w:p>
      <w:pPr>
        <w:pStyle w:val="50"/>
        <w:snapToGrid w:val="0"/>
        <w:spacing w:line="360" w:lineRule="auto"/>
        <w:ind w:left="482" w:firstLine="0" w:firstLineChars="0"/>
        <w:rPr>
          <w:color w:val="000000" w:themeColor="text1"/>
          <w:kern w:val="0"/>
          <w:sz w:val="24"/>
          <w:highlight w:val="none"/>
          <w:u w:val="single"/>
          <w:lang w:val="zh-CN" w:eastAsia="zh-Hans"/>
          <w14:textFill>
            <w14:solidFill>
              <w14:schemeClr w14:val="tx1"/>
            </w14:solidFill>
          </w14:textFill>
        </w:rPr>
      </w:pPr>
      <w:r>
        <w:rPr>
          <w:rFonts w:hint="eastAsia"/>
          <w:color w:val="000000" w:themeColor="text1"/>
          <w:sz w:val="24"/>
          <w:highlight w:val="none"/>
          <w:u w:val="single"/>
          <w:lang w:val="zh-CN" w:eastAsia="zh-Hans"/>
          <w14:textFill>
            <w14:solidFill>
              <w14:schemeClr w14:val="tx1"/>
            </w14:solidFill>
          </w14:textFill>
        </w:rPr>
        <w:t>（备注：</w:t>
      </w:r>
      <w:r>
        <w:rPr>
          <w:rFonts w:hint="eastAsia"/>
          <w:color w:val="000000" w:themeColor="text1"/>
          <w:sz w:val="24"/>
          <w:highlight w:val="none"/>
          <w:u w:val="single"/>
          <w:lang w:eastAsia="zh-Hans"/>
          <w14:textFill>
            <w14:solidFill>
              <w14:schemeClr w14:val="tx1"/>
            </w14:solidFill>
          </w14:textFill>
        </w:rPr>
        <w:t>仅保留</w:t>
      </w:r>
      <w:r>
        <w:rPr>
          <w:rFonts w:hint="eastAsia"/>
          <w:color w:val="000000" w:themeColor="text1"/>
          <w:sz w:val="24"/>
          <w:highlight w:val="none"/>
          <w:u w:val="single"/>
          <w:lang w:val="zh-CN" w:eastAsia="zh-Hans"/>
          <w14:textFill>
            <w14:solidFill>
              <w14:schemeClr w14:val="tx1"/>
            </w14:solidFill>
          </w14:textFill>
        </w:rPr>
        <w:t>切分后合同对应项目</w:t>
      </w:r>
      <w:r>
        <w:rPr>
          <w:rFonts w:hint="eastAsia"/>
          <w:color w:val="000000" w:themeColor="text1"/>
          <w:sz w:val="24"/>
          <w:highlight w:val="none"/>
          <w:u w:val="single"/>
          <w:lang w:eastAsia="zh-Hans"/>
          <w14:textFill>
            <w14:solidFill>
              <w14:schemeClr w14:val="tx1"/>
            </w14:solidFill>
          </w14:textFill>
        </w:rPr>
        <w:t>工程概况</w:t>
      </w:r>
      <w:r>
        <w:rPr>
          <w:rFonts w:hint="eastAsia"/>
          <w:color w:val="000000" w:themeColor="text1"/>
          <w:sz w:val="24"/>
          <w:highlight w:val="none"/>
          <w:u w:val="single"/>
          <w:lang w:val="zh-CN" w:eastAsia="zh-Hans"/>
          <w14:textFill>
            <w14:solidFill>
              <w14:schemeClr w14:val="tx1"/>
            </w14:solidFill>
          </w14:textFill>
        </w:rPr>
        <w:t>）</w:t>
      </w:r>
    </w:p>
    <w:bookmarkEnd w:id="51"/>
    <w:p>
      <w:pPr>
        <w:pStyle w:val="4"/>
        <w:spacing w:before="240" w:after="120"/>
        <w:rPr>
          <w:color w:val="000000" w:themeColor="text1"/>
          <w:highlight w:val="none"/>
          <w14:textFill>
            <w14:solidFill>
              <w14:schemeClr w14:val="tx1"/>
            </w14:solidFill>
          </w14:textFill>
        </w:rPr>
      </w:pPr>
      <w:bookmarkStart w:id="52" w:name="_Toc9429034"/>
      <w:bookmarkEnd w:id="52"/>
      <w:bookmarkStart w:id="53" w:name="_Toc81930160"/>
      <w:bookmarkEnd w:id="53"/>
      <w:bookmarkStart w:id="54" w:name="_Toc19927"/>
      <w:bookmarkStart w:id="55" w:name="_Toc11413"/>
      <w:bookmarkStart w:id="56" w:name="_Toc27573"/>
      <w:bookmarkStart w:id="57" w:name="_Toc18393"/>
      <w:bookmarkStart w:id="58" w:name="_Toc18612"/>
      <w:bookmarkStart w:id="59" w:name="_Toc23514"/>
      <w:bookmarkStart w:id="60" w:name="_Toc638"/>
      <w:bookmarkStart w:id="61" w:name="_Toc28361"/>
      <w:bookmarkStart w:id="62" w:name="_Toc17088"/>
      <w:bookmarkStart w:id="63" w:name="_Toc7264"/>
      <w:bookmarkStart w:id="64" w:name="_Toc21121"/>
      <w:bookmarkStart w:id="65" w:name="_Toc8782"/>
      <w:bookmarkStart w:id="66" w:name="_Toc8557"/>
      <w:bookmarkStart w:id="67" w:name="_Toc81930161"/>
      <w:bookmarkStart w:id="68" w:name="_Toc18031"/>
      <w:bookmarkStart w:id="69" w:name="_Toc149656766"/>
      <w:bookmarkStart w:id="70" w:name="_Toc112071508"/>
      <w:r>
        <w:rPr>
          <w:rFonts w:hint="eastAsia"/>
          <w:color w:val="000000" w:themeColor="text1"/>
          <w:highlight w:val="none"/>
          <w14:textFill>
            <w14:solidFill>
              <w14:schemeClr w14:val="tx1"/>
            </w14:solidFill>
          </w14:textFill>
        </w:rPr>
        <w:t>第二条 委托内容及要求</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Pr>
          <w:rFonts w:hint="eastAsia"/>
          <w:color w:val="000000" w:themeColor="text1"/>
          <w:highlight w:val="none"/>
          <w14:textFill>
            <w14:solidFill>
              <w14:schemeClr w14:val="tx1"/>
            </w14:solidFill>
          </w14:textFill>
        </w:rPr>
        <w:t>（备注：具体按招文/采购需求等发包人发出文件作相应调整）</w:t>
      </w:r>
      <w:bookmarkEnd w:id="69"/>
      <w:bookmarkEnd w:id="70"/>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Hans"/>
          <w14:textFill>
            <w14:solidFill>
              <w14:schemeClr w14:val="tx1"/>
            </w14:solidFill>
          </w14:textFill>
        </w:rPr>
        <w:t>本合同的服务内容为</w:t>
      </w:r>
      <w:r>
        <w:rPr>
          <w:rFonts w:hint="eastAsia"/>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u w:val="single"/>
          <w14:textFill>
            <w14:solidFill>
              <w14:schemeClr w14:val="tx1"/>
            </w14:solidFill>
          </w14:textFill>
        </w:rPr>
        <w:t xml:space="preserve">         全过程造价咨询</w:t>
      </w:r>
      <w:r>
        <w:rPr>
          <w:rFonts w:hint="eastAsia"/>
          <w:color w:val="000000" w:themeColor="text1"/>
          <w:sz w:val="24"/>
          <w:szCs w:val="24"/>
          <w:highlight w:val="none"/>
          <w14:textFill>
            <w14:solidFill>
              <w14:schemeClr w14:val="tx1"/>
            </w14:solidFill>
          </w14:textFill>
        </w:rPr>
        <w:t>工作</w:t>
      </w:r>
      <w:r>
        <w:rPr>
          <w:rFonts w:hint="eastAsia"/>
          <w:color w:val="000000" w:themeColor="text1"/>
          <w:sz w:val="24"/>
          <w:szCs w:val="24"/>
          <w:highlight w:val="none"/>
          <w:lang w:eastAsia="zh-Hans"/>
          <w14:textFill>
            <w14:solidFill>
              <w14:schemeClr w14:val="tx1"/>
            </w14:solidFill>
          </w14:textFill>
        </w:rPr>
        <w:t>，工作内容及要求</w:t>
      </w:r>
      <w:r>
        <w:rPr>
          <w:rFonts w:hint="eastAsia"/>
          <w:color w:val="000000" w:themeColor="text1"/>
          <w:sz w:val="24"/>
          <w:szCs w:val="24"/>
          <w:highlight w:val="none"/>
          <w14:textFill>
            <w14:solidFill>
              <w14:schemeClr w14:val="tx1"/>
            </w14:solidFill>
          </w14:textFill>
        </w:rPr>
        <w:t>具体如下：</w:t>
      </w:r>
    </w:p>
    <w:p>
      <w:pPr>
        <w:pStyle w:val="2"/>
        <w:adjustRightInd w:val="0"/>
        <w:snapToGrid w:val="0"/>
        <w:spacing w:after="0"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（一）承包人工作内容</w:t>
      </w:r>
    </w:p>
    <w:p>
      <w:pPr>
        <w:pStyle w:val="3"/>
        <w:adjustRightInd w:val="0"/>
        <w:snapToGrid w:val="0"/>
        <w:spacing w:before="0" w:beforeAutospacing="0" w:line="360" w:lineRule="auto"/>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承包人工作的内容包括但不限于</w:t>
      </w:r>
      <w:r>
        <w:rPr>
          <w:rFonts w:hint="eastAsia"/>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的</w:t>
      </w:r>
      <w:r>
        <w:rPr>
          <w:rFonts w:hint="eastAsia"/>
          <w:color w:val="000000" w:themeColor="text1"/>
          <w:sz w:val="24"/>
          <w:szCs w:val="24"/>
          <w:highlight w:val="none"/>
          <w:u w:val="single"/>
          <w14:textFill>
            <w14:solidFill>
              <w14:schemeClr w14:val="tx1"/>
            </w14:solidFill>
          </w14:textFill>
        </w:rPr>
        <w:t>决策阶段（如有）、设计阶段、招标阶段、施工阶段、结（决）算阶段</w:t>
      </w:r>
      <w:r>
        <w:rPr>
          <w:rFonts w:hint="eastAsia"/>
          <w:color w:val="000000" w:themeColor="text1"/>
          <w:sz w:val="24"/>
          <w:szCs w:val="24"/>
          <w:highlight w:val="none"/>
          <w14:textFill>
            <w14:solidFill>
              <w14:schemeClr w14:val="tx1"/>
            </w14:solidFill>
          </w14:textFill>
        </w:rPr>
        <w:t>等造价咨询全过程投资控制工作，如纳入年度审计项目计划的政府投资项目，须配合审计部门完成相关审计工作（发包人保留调整工作范围和内容的权利）。</w:t>
      </w:r>
    </w:p>
    <w:tbl>
      <w:tblPr>
        <w:tblStyle w:val="29"/>
        <w:tblW w:w="8472"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498"/>
        <w:gridCol w:w="1002"/>
        <w:gridCol w:w="6972"/>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序号</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工作内容</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设计阶段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1.负责</w:t>
            </w:r>
            <w:r>
              <w:rPr>
                <w:rFonts w:hint="eastAsia" w:ascii="宋体" w:hAnsi="宋体"/>
                <w:color w:val="000000" w:themeColor="text1"/>
                <w:sz w:val="24"/>
                <w:szCs w:val="24"/>
                <w:highlight w:val="none"/>
                <w14:textFill>
                  <w14:solidFill>
                    <w14:schemeClr w14:val="tx1"/>
                  </w14:solidFill>
                </w14:textFill>
              </w:rPr>
              <w:t>编制设计概算，按本项目工程可研批复的投资控制目标对设计方案或图纸提出限额设计要求和优化设计意见，合理控制工程投资；编制、审核设计概算，并负责与有审核权限部门的对数工作，</w:t>
            </w:r>
            <w:r>
              <w:rPr>
                <w:rFonts w:ascii="宋体" w:hAnsi="宋体"/>
                <w:color w:val="000000" w:themeColor="text1"/>
                <w:sz w:val="24"/>
                <w:szCs w:val="24"/>
                <w:highlight w:val="none"/>
                <w14:textFill>
                  <w14:solidFill>
                    <w14:schemeClr w14:val="tx1"/>
                  </w14:solidFill>
                </w14:textFill>
              </w:rPr>
              <w:t>完成初步设计概算</w:t>
            </w:r>
            <w:r>
              <w:rPr>
                <w:rFonts w:hint="eastAsia" w:ascii="宋体" w:hAnsi="宋体"/>
                <w:color w:val="000000" w:themeColor="text1"/>
                <w:sz w:val="24"/>
                <w:szCs w:val="24"/>
                <w:highlight w:val="none"/>
                <w14:textFill>
                  <w14:solidFill>
                    <w14:schemeClr w14:val="tx1"/>
                  </w14:solidFill>
                </w14:textFill>
              </w:rPr>
              <w:t>审核工作</w:t>
            </w:r>
            <w:r>
              <w:rPr>
                <w:rFonts w:ascii="宋体" w:hAnsi="宋体"/>
                <w:color w:val="000000" w:themeColor="text1"/>
                <w:sz w:val="24"/>
                <w:szCs w:val="24"/>
                <w:highlight w:val="none"/>
                <w14:textFill>
                  <w14:solidFill>
                    <w14:schemeClr w14:val="tx1"/>
                  </w14:solidFill>
                </w14:textFill>
              </w:rPr>
              <w:t>。</w:t>
            </w:r>
          </w:p>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2.负责根据批准的设计概算，提出工程项目的各专业工程和各阶段造价限额指标。</w:t>
            </w:r>
          </w:p>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3.负责对设计中采用的主材、设备等提供市场信息，进行方案比较，提出优化建议。</w:t>
            </w:r>
          </w:p>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4.负责</w:t>
            </w:r>
            <w:r>
              <w:rPr>
                <w:rFonts w:hint="eastAsia" w:ascii="宋体" w:hAnsi="宋体"/>
                <w:color w:val="000000" w:themeColor="text1"/>
                <w:sz w:val="24"/>
                <w:szCs w:val="24"/>
                <w:highlight w:val="none"/>
                <w14:textFill>
                  <w14:solidFill>
                    <w14:schemeClr w14:val="tx1"/>
                  </w14:solidFill>
                </w14:textFill>
              </w:rPr>
              <w:t>编制施工图预算（含设计图纸修改后调整相应预算），按时提交编制报告、调整意见及合理化建议，并负责与有审核权限部门的对数工作，完成施工图预算审核工作。</w:t>
            </w:r>
          </w:p>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5.负责参加设计方案论证会议、工程图纸会审、变更论证等专题会，提出造价专业意见。</w:t>
            </w:r>
          </w:p>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6.根据确定的设计方案编制详细的工程成本预测和资金流量预测分析，以作为进度和成本控制的目标；随设计的深入定期分析工程成本、定期修正资金流量预测。</w:t>
            </w:r>
          </w:p>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7.负责按</w:t>
            </w:r>
            <w:r>
              <w:rPr>
                <w:rFonts w:hint="eastAsia" w:ascii="宋体" w:hAnsi="宋体"/>
                <w:color w:val="000000" w:themeColor="text1"/>
                <w:sz w:val="24"/>
                <w:szCs w:val="24"/>
                <w:highlight w:val="none"/>
                <w14:textFill>
                  <w14:solidFill>
                    <w14:schemeClr w14:val="tx1"/>
                  </w14:solidFill>
                </w14:textFill>
              </w:rPr>
              <w:t>发包人</w:t>
            </w:r>
            <w:r>
              <w:rPr>
                <w:rFonts w:ascii="宋体" w:hAnsi="宋体"/>
                <w:color w:val="000000" w:themeColor="text1"/>
                <w:sz w:val="24"/>
                <w:szCs w:val="24"/>
                <w:highlight w:val="none"/>
                <w14:textFill>
                  <w14:solidFill>
                    <w14:schemeClr w14:val="tx1"/>
                  </w14:solidFill>
                </w14:textFill>
              </w:rPr>
              <w:t>要求编制清单计价模式等各类造价管理文件。</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2</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招标阶段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1.负责按发包人要求编制各类造价管理文件，进行市场调查、询价或暂估。</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负责根据项目的标段划分方案，包括各标段工程承包内容、界面，按发包人要求编制工程量清单、招标控制价，对合同方式和可能存在的风险因素及解决办法等提出合理化建议供招标人参考。办理造价部门的招标控制价备案。</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3.负责根据设计单位的图纸及技术规范、用户需求书编制设备、材料询价或采购清单。</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4.负责对中标人的经济标文件或报价书等进行分析和汇总，形成造价咨询报告。</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5.负责材料检测及各专业检测清单的询价、预算和控制价编制工作。</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6.负责建设全过程的工程、设备、服务类等招标预算、控制价编制和审核工作。</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3</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施工阶段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1.负责按发包人要求编制各类造价管理文件，包括工程变更程序、工程款支付程序等。</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2.制定项目总体投资进度计划，根据实际进度与每月实际投资和计划投资作分析比较，分析成本超支的原因和修正项目投资进度计划。</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3.负责施工过程造价控制（含编制方案及实施计划），负责编制、审查工程量清单量差变更、工程变更、各类工程和服务预算，审核工程量与进度款，7个日历天内完成。</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4.负责协助第三方的合同索赔处理，参加合同变更谈判，负责处理合同变更，维护发包人的合法权益。</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负责建立合同台账、支付台账、工程变更管理台账（按变更原因分类）、签证台账、动态投资台账，负责每个季度月底前提交工程项目整体结算价预估分析、动态成本（须与目标成本对比分析偏差原因及解决方案）。</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6.负责定期召开造价控制会议，集中会审现场签证、工程变更的工程量和造价预算，确认变更价款。负责每月5号前提交工程变更（包括：图纸会审、图纸修改、工程洽商等）对造价影响分析，及成本控制报告。</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7.发生现场签证时，须与工程部、工程监理、施工单位一起进行工程量现场核查，各方签认后作为签证依据。</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8.负责定期收集和整理有关设备材料的市场价格动态信息，对施工方案、材料选用提供成本控制建议。每月提交人工机械主材设备价格造价影响分析。</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4</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结（决）算阶段</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1.负责按发包人要求编制结算管理文件，开展工程结算编制、审核工作，并与各承包单位对数，自收到发包人工作要求之日起10-30个工作日内出具结算审核报告。</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2.负责收集和整理结算依据资料，收集有关工程费用方面的签证资料，核对单据并及时归档。</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3.审核其他费用，出具审价报告。</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4.负责建立结算台账，编制结算计划。</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5.配合发包人实施决算工作。</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5</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驻场服务</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按发包人要求并结合项目实际，派员全过程驻项目所在地开展工作，无条件服从并配合发包人管理，开展项目相关造价服务工作以及发包人安排的其他工作。驻场，是指根据项目实际需要，在项目周边20公里内设有固定办公地点及人员。</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9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6</w:t>
            </w:r>
          </w:p>
        </w:tc>
        <w:tc>
          <w:tcPr>
            <w:tcW w:w="100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其他</w:t>
            </w:r>
          </w:p>
        </w:tc>
        <w:tc>
          <w:tcPr>
            <w:tcW w:w="6972"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1.负责组织</w:t>
            </w:r>
            <w:r>
              <w:rPr>
                <w:rFonts w:hint="eastAsia" w:ascii="宋体" w:hAnsi="宋体"/>
                <w:color w:val="000000" w:themeColor="text1"/>
                <w:sz w:val="24"/>
                <w:szCs w:val="24"/>
                <w:highlight w:val="none"/>
                <w14:textFill>
                  <w14:solidFill>
                    <w14:schemeClr w14:val="tx1"/>
                  </w14:solidFill>
                </w14:textFill>
              </w:rPr>
              <w:t>或参加</w:t>
            </w:r>
            <w:r>
              <w:rPr>
                <w:rFonts w:ascii="宋体" w:hAnsi="宋体"/>
                <w:color w:val="000000" w:themeColor="text1"/>
                <w:sz w:val="24"/>
                <w:szCs w:val="24"/>
                <w:highlight w:val="none"/>
                <w14:textFill>
                  <w14:solidFill>
                    <w14:schemeClr w14:val="tx1"/>
                  </w14:solidFill>
                </w14:textFill>
              </w:rPr>
              <w:t>相关造价控制评审</w:t>
            </w:r>
            <w:r>
              <w:rPr>
                <w:rFonts w:hint="eastAsia" w:ascii="宋体" w:hAnsi="宋体"/>
                <w:color w:val="000000" w:themeColor="text1"/>
                <w:sz w:val="24"/>
                <w:szCs w:val="24"/>
                <w:highlight w:val="none"/>
                <w14:textFill>
                  <w14:solidFill>
                    <w14:schemeClr w14:val="tx1"/>
                  </w14:solidFill>
                </w14:textFill>
              </w:rPr>
              <w:t>、变更专题等</w:t>
            </w:r>
            <w:r>
              <w:rPr>
                <w:rFonts w:ascii="宋体" w:hAnsi="宋体"/>
                <w:color w:val="000000" w:themeColor="text1"/>
                <w:sz w:val="24"/>
                <w:szCs w:val="24"/>
                <w:highlight w:val="none"/>
                <w14:textFill>
                  <w14:solidFill>
                    <w14:schemeClr w14:val="tx1"/>
                  </w14:solidFill>
                </w14:textFill>
              </w:rPr>
              <w:t>会议，包括邀请相应的经济专家。</w:t>
            </w:r>
          </w:p>
          <w:p>
            <w:pP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2</w:t>
            </w:r>
            <w:r>
              <w:rPr>
                <w:rFonts w:hint="eastAsia" w:ascii="宋体" w:hAnsi="宋体"/>
                <w:color w:val="000000" w:themeColor="text1"/>
                <w:sz w:val="24"/>
                <w:szCs w:val="24"/>
                <w:highlight w:val="none"/>
                <w14:textFill>
                  <w14:solidFill>
                    <w14:schemeClr w14:val="tx1"/>
                  </w14:solidFill>
                </w14:textFill>
              </w:rPr>
              <w:t>.视情况邀请高级经济顾问对造价问题进行咨询把关。</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3.征地拆迁、管线、绿化迁移及其他相关的造价审核工作。</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4.如纳入年度审计项目计划的政府投资项目，须配合审计部门完成相关审计工作。</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5.发包人安排的其他造价管理工作。</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8472" w:type="dxa"/>
            <w:gridSpan w:val="3"/>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备注：1、为实现项目的投资控制目标，由造价咨询单位派驻驻场造价人员组成项目组，如需更换人员需提前通知并取得发包人的同意。发包人仅提供驻场人员办公场地，其他如办公设备、办公用品、就餐、住宿、现场踏勘、差旅费、驻场人员费、税费等一切支出由承包人自行解决，费用已包含在合同价款内。</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2、承包人需承诺：</w:t>
            </w:r>
            <w:r>
              <w:rPr>
                <w:rFonts w:hint="eastAsia" w:ascii="宋体" w:hAnsi="宋体"/>
                <w:color w:val="000000" w:themeColor="text1"/>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21</w:t>
            </w:r>
            <w:r>
              <w:rPr>
                <w:rFonts w:hint="eastAsia" w:ascii="宋体" w:hAnsi="宋体"/>
                <w:color w:val="000000" w:themeColor="text1"/>
                <w:sz w:val="24"/>
                <w:szCs w:val="24"/>
                <w:highlight w:val="none"/>
                <w14:textFill>
                  <w14:solidFill>
                    <w14:schemeClr w14:val="tx1"/>
                  </w14:solidFill>
                </w14:textFill>
              </w:rPr>
              <w:t>涌以北一期项目：保证</w:t>
            </w:r>
            <w:r>
              <w:rPr>
                <w:rFonts w:ascii="宋体" w:hAnsi="宋体"/>
                <w:color w:val="000000" w:themeColor="text1"/>
                <w:sz w:val="24"/>
                <w:szCs w:val="24"/>
                <w:highlight w:val="none"/>
                <w:u w:val="single"/>
                <w14:textFill>
                  <w14:solidFill>
                    <w14:schemeClr w14:val="tx1"/>
                  </w14:solidFill>
                </w14:textFill>
              </w:rPr>
              <w:t>3</w:t>
            </w:r>
            <w:r>
              <w:rPr>
                <w:rFonts w:hint="eastAsia" w:ascii="宋体" w:hAnsi="宋体"/>
                <w:color w:val="000000" w:themeColor="text1"/>
                <w:sz w:val="24"/>
                <w:szCs w:val="24"/>
                <w:highlight w:val="none"/>
                <w14:textFill>
                  <w14:solidFill>
                    <w14:schemeClr w14:val="tx1"/>
                  </w14:solidFill>
                </w14:textFill>
              </w:rPr>
              <w:t>名注册造价工程师（</w:t>
            </w:r>
            <w:r>
              <w:rPr>
                <w:rFonts w:hint="eastAsia" w:ascii="宋体" w:hAnsi="宋体"/>
                <w:color w:val="000000" w:themeColor="text1"/>
                <w:sz w:val="24"/>
                <w:szCs w:val="24"/>
                <w:highlight w:val="none"/>
                <w:u w:val="single"/>
                <w14:textFill>
                  <w14:solidFill>
                    <w14:schemeClr w14:val="tx1"/>
                  </w14:solidFill>
                </w14:textFill>
              </w:rPr>
              <w:t>土建</w:t>
            </w:r>
            <w:r>
              <w:rPr>
                <w:rFonts w:hint="eastAsia" w:ascii="宋体" w:hAnsi="宋体"/>
                <w:color w:val="000000" w:themeColor="text1"/>
                <w:sz w:val="24"/>
                <w:szCs w:val="24"/>
                <w:highlight w:val="none"/>
                <w14:textFill>
                  <w14:solidFill>
                    <w14:schemeClr w14:val="tx1"/>
                  </w14:solidFill>
                </w14:textFill>
              </w:rPr>
              <w:t>专业</w:t>
            </w:r>
            <w:r>
              <w:rPr>
                <w:rFonts w:ascii="宋体" w:hAnsi="宋体"/>
                <w:color w:val="000000" w:themeColor="text1"/>
                <w:sz w:val="24"/>
                <w:szCs w:val="24"/>
                <w:highlight w:val="none"/>
                <w:u w:val="single"/>
                <w14:textFill>
                  <w14:solidFill>
                    <w14:schemeClr w14:val="tx1"/>
                  </w14:solidFill>
                </w14:textFill>
              </w:rPr>
              <w:t>1</w:t>
            </w:r>
            <w:r>
              <w:rPr>
                <w:rFonts w:hint="eastAsia" w:ascii="宋体" w:hAnsi="宋体"/>
                <w:color w:val="000000" w:themeColor="text1"/>
                <w:sz w:val="24"/>
                <w:szCs w:val="24"/>
                <w:highlight w:val="none"/>
                <w14:textFill>
                  <w14:solidFill>
                    <w14:schemeClr w14:val="tx1"/>
                  </w14:solidFill>
                </w14:textFill>
              </w:rPr>
              <w:t>人、</w:t>
            </w:r>
            <w:r>
              <w:rPr>
                <w:rFonts w:hint="eastAsia" w:ascii="宋体" w:hAnsi="宋体"/>
                <w:color w:val="000000" w:themeColor="text1"/>
                <w:sz w:val="24"/>
                <w:szCs w:val="24"/>
                <w:highlight w:val="none"/>
                <w:u w:val="single"/>
                <w14:textFill>
                  <w14:solidFill>
                    <w14:schemeClr w14:val="tx1"/>
                  </w14:solidFill>
                </w14:textFill>
              </w:rPr>
              <w:t>安装</w:t>
            </w:r>
            <w:r>
              <w:rPr>
                <w:rFonts w:hint="eastAsia" w:ascii="宋体" w:hAnsi="宋体"/>
                <w:color w:val="000000" w:themeColor="text1"/>
                <w:sz w:val="24"/>
                <w:szCs w:val="24"/>
                <w:highlight w:val="none"/>
                <w14:textFill>
                  <w14:solidFill>
                    <w14:schemeClr w14:val="tx1"/>
                  </w14:solidFill>
                </w14:textFill>
              </w:rPr>
              <w:t>专业</w:t>
            </w:r>
            <w:r>
              <w:rPr>
                <w:rFonts w:ascii="宋体" w:hAnsi="宋体"/>
                <w:color w:val="000000" w:themeColor="text1"/>
                <w:sz w:val="24"/>
                <w:szCs w:val="24"/>
                <w:highlight w:val="none"/>
                <w:u w:val="single"/>
                <w14:textFill>
                  <w14:solidFill>
                    <w14:schemeClr w14:val="tx1"/>
                  </w14:solidFill>
                </w14:textFill>
              </w:rPr>
              <w:t>1</w:t>
            </w:r>
            <w:r>
              <w:rPr>
                <w:rFonts w:hint="eastAsia" w:ascii="宋体" w:hAnsi="宋体"/>
                <w:color w:val="000000" w:themeColor="text1"/>
                <w:sz w:val="24"/>
                <w:szCs w:val="24"/>
                <w:highlight w:val="none"/>
                <w14:textFill>
                  <w14:solidFill>
                    <w14:schemeClr w14:val="tx1"/>
                  </w14:solidFill>
                </w14:textFill>
              </w:rPr>
              <w:t>人、水利专业1人）驻场，驻场的主要人员必须有类似的项目管理经验，其他人员按专业要求分阶段驻现场，人数最低不少于8人（即土建专业不少于</w:t>
            </w:r>
            <w:r>
              <w:rPr>
                <w:rFonts w:ascii="宋体" w:hAnsi="宋体"/>
                <w:color w:val="000000" w:themeColor="text1"/>
                <w:sz w:val="24"/>
                <w:szCs w:val="24"/>
                <w:highlight w:val="none"/>
                <w14:textFill>
                  <w14:solidFill>
                    <w14:schemeClr w14:val="tx1"/>
                  </w14:solidFill>
                </w14:textFill>
              </w:rPr>
              <w:t>4人、安装专业不少于2人</w:t>
            </w:r>
            <w:r>
              <w:rPr>
                <w:rFonts w:hint="eastAsia" w:ascii="宋体" w:hAnsi="宋体"/>
                <w:color w:val="000000" w:themeColor="text1"/>
                <w:sz w:val="24"/>
                <w:szCs w:val="24"/>
                <w:highlight w:val="none"/>
                <w14:textFill>
                  <w14:solidFill>
                    <w14:schemeClr w14:val="tx1"/>
                  </w14:solidFill>
                </w14:textFill>
              </w:rPr>
              <w:t>、水利专业不少于</w:t>
            </w:r>
            <w:r>
              <w:rPr>
                <w:rFonts w:ascii="宋体" w:hAnsi="宋体"/>
                <w:color w:val="000000" w:themeColor="text1"/>
                <w:sz w:val="24"/>
                <w:szCs w:val="24"/>
                <w:highlight w:val="none"/>
                <w14:textFill>
                  <w14:solidFill>
                    <w14:schemeClr w14:val="tx1"/>
                  </w14:solidFill>
                </w14:textFill>
              </w:rPr>
              <w:t>2</w:t>
            </w:r>
            <w:r>
              <w:rPr>
                <w:rFonts w:hint="eastAsia" w:ascii="宋体" w:hAnsi="宋体"/>
                <w:color w:val="000000" w:themeColor="text1"/>
                <w:sz w:val="24"/>
                <w:szCs w:val="24"/>
                <w:highlight w:val="none"/>
                <w14:textFill>
                  <w14:solidFill>
                    <w14:schemeClr w14:val="tx1"/>
                  </w14:solidFill>
                </w14:textFill>
              </w:rPr>
              <w:t>人）]</w:t>
            </w:r>
            <w:r>
              <w:rPr>
                <w:rFonts w:ascii="宋体" w:hAnsi="宋体"/>
                <w:color w:val="000000" w:themeColor="text1"/>
                <w:sz w:val="24"/>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南沙区万顷沙十九涌南污水提升泵站工程项目：保证</w:t>
            </w:r>
            <w:r>
              <w:rPr>
                <w:rFonts w:ascii="宋体" w:hAnsi="宋体"/>
                <w:color w:val="000000" w:themeColor="text1"/>
                <w:sz w:val="24"/>
                <w:szCs w:val="24"/>
                <w:highlight w:val="none"/>
                <w:u w:val="single"/>
                <w14:textFill>
                  <w14:solidFill>
                    <w14:schemeClr w14:val="tx1"/>
                  </w14:solidFill>
                </w14:textFill>
              </w:rPr>
              <w:t>3</w:t>
            </w:r>
            <w:r>
              <w:rPr>
                <w:rFonts w:hint="eastAsia" w:ascii="宋体" w:hAnsi="宋体"/>
                <w:color w:val="000000" w:themeColor="text1"/>
                <w:sz w:val="24"/>
                <w:szCs w:val="24"/>
                <w:highlight w:val="none"/>
                <w14:textFill>
                  <w14:solidFill>
                    <w14:schemeClr w14:val="tx1"/>
                  </w14:solidFill>
                </w14:textFill>
              </w:rPr>
              <w:t>名注册造价工程师（</w:t>
            </w:r>
            <w:r>
              <w:rPr>
                <w:rFonts w:hint="eastAsia" w:ascii="宋体" w:hAnsi="宋体"/>
                <w:color w:val="000000" w:themeColor="text1"/>
                <w:sz w:val="24"/>
                <w:szCs w:val="24"/>
                <w:highlight w:val="none"/>
                <w:u w:val="single"/>
                <w14:textFill>
                  <w14:solidFill>
                    <w14:schemeClr w14:val="tx1"/>
                  </w14:solidFill>
                </w14:textFill>
              </w:rPr>
              <w:t>土建</w:t>
            </w:r>
            <w:r>
              <w:rPr>
                <w:rFonts w:hint="eastAsia" w:ascii="宋体" w:hAnsi="宋体"/>
                <w:color w:val="000000" w:themeColor="text1"/>
                <w:sz w:val="24"/>
                <w:szCs w:val="24"/>
                <w:highlight w:val="none"/>
                <w14:textFill>
                  <w14:solidFill>
                    <w14:schemeClr w14:val="tx1"/>
                  </w14:solidFill>
                </w14:textFill>
              </w:rPr>
              <w:t>专业</w:t>
            </w:r>
            <w:r>
              <w:rPr>
                <w:rFonts w:ascii="宋体" w:hAnsi="宋体"/>
                <w:color w:val="000000" w:themeColor="text1"/>
                <w:sz w:val="24"/>
                <w:szCs w:val="24"/>
                <w:highlight w:val="none"/>
                <w:u w:val="single"/>
                <w14:textFill>
                  <w14:solidFill>
                    <w14:schemeClr w14:val="tx1"/>
                  </w14:solidFill>
                </w14:textFill>
              </w:rPr>
              <w:t>1</w:t>
            </w:r>
            <w:r>
              <w:rPr>
                <w:rFonts w:hint="eastAsia" w:ascii="宋体" w:hAnsi="宋体"/>
                <w:color w:val="000000" w:themeColor="text1"/>
                <w:sz w:val="24"/>
                <w:szCs w:val="24"/>
                <w:highlight w:val="none"/>
                <w14:textFill>
                  <w14:solidFill>
                    <w14:schemeClr w14:val="tx1"/>
                  </w14:solidFill>
                </w14:textFill>
              </w:rPr>
              <w:t>人、</w:t>
            </w:r>
            <w:r>
              <w:rPr>
                <w:rFonts w:hint="eastAsia" w:ascii="宋体" w:hAnsi="宋体"/>
                <w:color w:val="000000" w:themeColor="text1"/>
                <w:sz w:val="24"/>
                <w:szCs w:val="24"/>
                <w:highlight w:val="none"/>
                <w:u w:val="single"/>
                <w14:textFill>
                  <w14:solidFill>
                    <w14:schemeClr w14:val="tx1"/>
                  </w14:solidFill>
                </w14:textFill>
              </w:rPr>
              <w:t>安装</w:t>
            </w:r>
            <w:r>
              <w:rPr>
                <w:rFonts w:hint="eastAsia" w:ascii="宋体" w:hAnsi="宋体"/>
                <w:color w:val="000000" w:themeColor="text1"/>
                <w:sz w:val="24"/>
                <w:szCs w:val="24"/>
                <w:highlight w:val="none"/>
                <w14:textFill>
                  <w14:solidFill>
                    <w14:schemeClr w14:val="tx1"/>
                  </w14:solidFill>
                </w14:textFill>
              </w:rPr>
              <w:t>专业</w:t>
            </w:r>
            <w:r>
              <w:rPr>
                <w:rFonts w:ascii="宋体" w:hAnsi="宋体"/>
                <w:color w:val="000000" w:themeColor="text1"/>
                <w:sz w:val="24"/>
                <w:szCs w:val="24"/>
                <w:highlight w:val="none"/>
                <w:u w:val="single"/>
                <w14:textFill>
                  <w14:solidFill>
                    <w14:schemeClr w14:val="tx1"/>
                  </w14:solidFill>
                </w14:textFill>
              </w:rPr>
              <w:t>1</w:t>
            </w:r>
            <w:r>
              <w:rPr>
                <w:rFonts w:hint="eastAsia" w:ascii="宋体" w:hAnsi="宋体"/>
                <w:color w:val="000000" w:themeColor="text1"/>
                <w:sz w:val="24"/>
                <w:szCs w:val="24"/>
                <w:highlight w:val="none"/>
                <w14:textFill>
                  <w14:solidFill>
                    <w14:schemeClr w14:val="tx1"/>
                  </w14:solidFill>
                </w14:textFill>
              </w:rPr>
              <w:t>人、水利专业1人）驻场，驻场的主要人员必须有类似的项目管理经验，其他人员按专业要求分阶段驻现场，人数最低不少于8人（即土建专业不少于</w:t>
            </w:r>
            <w:r>
              <w:rPr>
                <w:rFonts w:ascii="宋体" w:hAnsi="宋体"/>
                <w:color w:val="000000" w:themeColor="text1"/>
                <w:sz w:val="24"/>
                <w:szCs w:val="24"/>
                <w:highlight w:val="none"/>
                <w14:textFill>
                  <w14:solidFill>
                    <w14:schemeClr w14:val="tx1"/>
                  </w14:solidFill>
                </w14:textFill>
              </w:rPr>
              <w:t>4人、安装专业不少于2人</w:t>
            </w:r>
            <w:r>
              <w:rPr>
                <w:rFonts w:hint="eastAsia" w:ascii="宋体" w:hAnsi="宋体"/>
                <w:color w:val="000000" w:themeColor="text1"/>
                <w:sz w:val="24"/>
                <w:szCs w:val="24"/>
                <w:highlight w:val="none"/>
                <w14:textFill>
                  <w14:solidFill>
                    <w14:schemeClr w14:val="tx1"/>
                  </w14:solidFill>
                </w14:textFill>
              </w:rPr>
              <w:t>、水利专业不少于</w:t>
            </w:r>
            <w:r>
              <w:rPr>
                <w:rFonts w:ascii="宋体" w:hAnsi="宋体"/>
                <w:color w:val="000000" w:themeColor="text1"/>
                <w:sz w:val="24"/>
                <w:szCs w:val="24"/>
                <w:highlight w:val="none"/>
                <w14:textFill>
                  <w14:solidFill>
                    <w14:schemeClr w14:val="tx1"/>
                  </w14:solidFill>
                </w14:textFill>
              </w:rPr>
              <w:t>2</w:t>
            </w:r>
            <w:r>
              <w:rPr>
                <w:rFonts w:hint="eastAsia" w:ascii="宋体" w:hAnsi="宋体"/>
                <w:color w:val="000000" w:themeColor="text1"/>
                <w:sz w:val="24"/>
                <w:szCs w:val="24"/>
                <w:highlight w:val="none"/>
                <w14:textFill>
                  <w14:solidFill>
                    <w14:schemeClr w14:val="tx1"/>
                  </w14:solidFill>
                </w14:textFill>
              </w:rPr>
              <w:t>人）]</w:t>
            </w:r>
            <w:r>
              <w:rPr>
                <w:rFonts w:hint="eastAsia" w:ascii="宋体" w:hAnsi="宋体"/>
                <w:color w:val="000000" w:themeColor="text1"/>
                <w:sz w:val="24"/>
                <w:szCs w:val="24"/>
                <w:highlight w:val="none"/>
                <w14:textFill>
                  <w14:solidFill>
                    <w14:schemeClr w14:val="tx1"/>
                  </w14:solidFill>
                </w14:textFill>
              </w:rPr>
              <w:t>，服发包人管理和工作分配，各阶段按要求驻场。</w:t>
            </w:r>
          </w:p>
          <w:p>
            <w:pP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3、造价咨询单位需在委托人要求的期限内完成各项工作内容。</w:t>
            </w:r>
          </w:p>
        </w:tc>
      </w:tr>
    </w:tbl>
    <w:p>
      <w:pPr>
        <w:pStyle w:val="3"/>
        <w:adjustRightInd w:val="0"/>
        <w:snapToGrid w:val="0"/>
        <w:spacing w:before="0" w:beforeAutospacing="0" w:line="360" w:lineRule="auto"/>
        <w:ind w:firstLine="480" w:firstLineChars="200"/>
        <w:rPr>
          <w:color w:val="000000" w:themeColor="text1"/>
          <w:sz w:val="24"/>
          <w:szCs w:val="24"/>
          <w:highlight w:val="none"/>
          <w14:textFill>
            <w14:solidFill>
              <w14:schemeClr w14:val="tx1"/>
            </w14:solidFill>
          </w14:textFill>
        </w:rPr>
      </w:pPr>
    </w:p>
    <w:p>
      <w:pPr>
        <w:pStyle w:val="3"/>
        <w:adjustRightInd w:val="0"/>
        <w:snapToGrid w:val="0"/>
        <w:spacing w:before="0" w:beforeAutospacing="0"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（二）承包人工作要求</w:t>
      </w:r>
    </w:p>
    <w:p>
      <w:pPr>
        <w:pStyle w:val="50"/>
        <w:numPr>
          <w:ilvl w:val="0"/>
          <w:numId w:val="2"/>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按照本合同及项目工作要求做好各项工作，按时、按质量要求向发包人提交工作成果，直接对发包人负责。</w:t>
      </w:r>
    </w:p>
    <w:p>
      <w:pPr>
        <w:pStyle w:val="50"/>
        <w:numPr>
          <w:ilvl w:val="0"/>
          <w:numId w:val="2"/>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对本工程造价咨询的结论和质量负责。</w:t>
      </w:r>
    </w:p>
    <w:p>
      <w:pPr>
        <w:pStyle w:val="50"/>
        <w:numPr>
          <w:ilvl w:val="0"/>
          <w:numId w:val="2"/>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向发包人提交的工作成果须为书面形式，并须得到发包人的书面认可，但发包人不对其认可的造价咨询质量负责，且发包人的审核或认可不视为豁免或免除承包人对造价咨询质量所应承担的义务与责任。</w:t>
      </w:r>
    </w:p>
    <w:p>
      <w:pPr>
        <w:pStyle w:val="50"/>
        <w:numPr>
          <w:ilvl w:val="0"/>
          <w:numId w:val="2"/>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承包人不得做出其他有损发包人利益与公共利益的行为。</w:t>
      </w:r>
    </w:p>
    <w:p>
      <w:pPr>
        <w:pStyle w:val="50"/>
        <w:numPr>
          <w:ilvl w:val="0"/>
          <w:numId w:val="2"/>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按照发包人项目工作进度的安排，保证咨询人员按时到位。应发包人的要求委派</w:t>
      </w:r>
      <w:r>
        <w:rPr>
          <w:rFonts w:hint="eastAsia"/>
          <w:color w:val="000000" w:themeColor="text1"/>
          <w:sz w:val="24"/>
          <w:highlight w:val="none"/>
          <w:u w:val="single"/>
          <w:lang w:val="zh-CN"/>
          <w14:textFill>
            <w14:solidFill>
              <w14:schemeClr w14:val="tx1"/>
            </w14:solidFill>
          </w14:textFill>
        </w:rPr>
        <w:t>1~2</w:t>
      </w:r>
      <w:r>
        <w:rPr>
          <w:rFonts w:hint="eastAsia"/>
          <w:color w:val="000000" w:themeColor="text1"/>
          <w:sz w:val="24"/>
          <w:highlight w:val="none"/>
          <w:lang w:val="zh-CN"/>
          <w14:textFill>
            <w14:solidFill>
              <w14:schemeClr w14:val="tx1"/>
            </w14:solidFill>
          </w14:textFill>
        </w:rPr>
        <w:t>名符合发包人要求的造价咨询代表常驻发包人负责工程造价咨询协调工作。</w:t>
      </w:r>
    </w:p>
    <w:p>
      <w:pPr>
        <w:pStyle w:val="50"/>
        <w:numPr>
          <w:ilvl w:val="0"/>
          <w:numId w:val="2"/>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负责对造价咨询报告的内容及结论提供答疑。对发包人及财政评审相关部门所提出的问题不能及时核对或答复，导致合同不能全部或部分履行，承包人应承担责任，免收相应部分的服务费，并按照本合同约定承担相应的违约责任。</w:t>
      </w:r>
    </w:p>
    <w:p>
      <w:pPr>
        <w:pStyle w:val="50"/>
        <w:numPr>
          <w:ilvl w:val="0"/>
          <w:numId w:val="2"/>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应秉公办事，不得利用其造价咨询的身份进行不正当活动，一经发现，发包人有权立即单方解除合同，并追究其责任。</w:t>
      </w:r>
    </w:p>
    <w:p>
      <w:pPr>
        <w:pStyle w:val="50"/>
        <w:numPr>
          <w:ilvl w:val="0"/>
          <w:numId w:val="2"/>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确保提供的造价咨询成果能通过招标及财政评审的相应规范要求。</w:t>
      </w:r>
    </w:p>
    <w:p>
      <w:pPr>
        <w:pStyle w:val="50"/>
        <w:numPr>
          <w:ilvl w:val="0"/>
          <w:numId w:val="2"/>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提供与工程造价咨询业务有关的资料，包括工程造价咨询的资质证书及承担本合同业务的专业人员名单、咨询工作计划等，并按合同中约定的范围实施咨询业务。</w:t>
      </w:r>
    </w:p>
    <w:p>
      <w:pPr>
        <w:pStyle w:val="50"/>
        <w:numPr>
          <w:ilvl w:val="0"/>
          <w:numId w:val="2"/>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无论是本合同履行期间还是履行完毕后，未经发包人事先书面同意，不得泄露与本合同规定业务活动有关的保密资料。</w:t>
      </w:r>
    </w:p>
    <w:p>
      <w:pPr>
        <w:pStyle w:val="50"/>
        <w:numPr>
          <w:ilvl w:val="0"/>
          <w:numId w:val="2"/>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（备注：可根据实际情况补充）</w:t>
      </w:r>
    </w:p>
    <w:p>
      <w:pPr>
        <w:pStyle w:val="4"/>
        <w:spacing w:before="240" w:after="120"/>
        <w:rPr>
          <w:color w:val="000000" w:themeColor="text1"/>
          <w:highlight w:val="none"/>
          <w14:textFill>
            <w14:solidFill>
              <w14:schemeClr w14:val="tx1"/>
            </w14:solidFill>
          </w14:textFill>
        </w:rPr>
      </w:pPr>
      <w:bookmarkStart w:id="71" w:name="_Toc24097"/>
      <w:bookmarkStart w:id="72" w:name="_Toc9953"/>
      <w:bookmarkStart w:id="73" w:name="_Toc29825"/>
      <w:bookmarkStart w:id="74" w:name="_Toc23770"/>
      <w:bookmarkStart w:id="75" w:name="_Toc15967"/>
      <w:bookmarkStart w:id="76" w:name="_Toc6055"/>
      <w:bookmarkStart w:id="77" w:name="_Toc7497"/>
      <w:bookmarkStart w:id="78" w:name="_Toc112071510"/>
      <w:bookmarkStart w:id="79" w:name="_Toc13880"/>
      <w:bookmarkStart w:id="80" w:name="_Toc22428"/>
      <w:bookmarkStart w:id="81" w:name="_Toc6326"/>
      <w:bookmarkStart w:id="82" w:name="_Toc8920"/>
      <w:bookmarkStart w:id="83" w:name="_Toc64"/>
      <w:bookmarkStart w:id="84" w:name="_Toc4586"/>
      <w:bookmarkStart w:id="85" w:name="_Toc29439"/>
      <w:bookmarkStart w:id="86" w:name="_Toc81930163"/>
      <w:bookmarkStart w:id="87" w:name="_Toc149656767"/>
      <w:r>
        <w:rPr>
          <w:rFonts w:hint="eastAsia"/>
          <w:color w:val="000000" w:themeColor="text1"/>
          <w:highlight w:val="none"/>
          <w14:textFill>
            <w14:solidFill>
              <w14:schemeClr w14:val="tx1"/>
            </w14:solidFill>
          </w14:textFill>
        </w:rPr>
        <w:t xml:space="preserve">第三条 </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Pr>
          <w:rFonts w:hint="eastAsia"/>
          <w:color w:val="000000" w:themeColor="text1"/>
          <w:highlight w:val="none"/>
          <w14:textFill>
            <w14:solidFill>
              <w14:schemeClr w14:val="tx1"/>
            </w14:solidFill>
          </w14:textFill>
        </w:rPr>
        <w:t>服务期限</w:t>
      </w:r>
      <w:bookmarkEnd w:id="87"/>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本合同服务期限自</w:t>
      </w:r>
      <w:r>
        <w:rPr>
          <w:rFonts w:hint="eastAsia"/>
          <w:color w:val="000000" w:themeColor="text1"/>
          <w:sz w:val="24"/>
          <w:szCs w:val="24"/>
          <w:highlight w:val="none"/>
          <w:u w:val="single"/>
          <w14:textFill>
            <w14:solidFill>
              <w14:schemeClr w14:val="tx1"/>
            </w14:solidFill>
          </w14:textFill>
        </w:rPr>
        <w:t>中标通知书发出之日起至全部服务内容完成日止。</w:t>
      </w:r>
    </w:p>
    <w:p>
      <w:pPr>
        <w:pStyle w:val="4"/>
        <w:spacing w:before="240" w:after="120"/>
        <w:rPr>
          <w:color w:val="000000" w:themeColor="text1"/>
          <w:highlight w:val="none"/>
          <w14:textFill>
            <w14:solidFill>
              <w14:schemeClr w14:val="tx1"/>
            </w14:solidFill>
          </w14:textFill>
        </w:rPr>
      </w:pPr>
      <w:bookmarkStart w:id="88" w:name="_Toc9429039"/>
      <w:bookmarkEnd w:id="88"/>
      <w:bookmarkStart w:id="89" w:name="_Toc20227"/>
      <w:bookmarkStart w:id="90" w:name="_Toc2090"/>
      <w:bookmarkStart w:id="91" w:name="_Toc4619"/>
      <w:bookmarkStart w:id="92" w:name="_Toc6721"/>
      <w:bookmarkStart w:id="93" w:name="_Toc16696"/>
      <w:bookmarkStart w:id="94" w:name="_Toc112071511"/>
      <w:bookmarkStart w:id="95" w:name="_Toc11978"/>
      <w:bookmarkStart w:id="96" w:name="_Toc81930165"/>
      <w:bookmarkStart w:id="97" w:name="_Toc9618"/>
      <w:bookmarkStart w:id="98" w:name="_Toc23828"/>
      <w:bookmarkStart w:id="99" w:name="_Toc22402"/>
      <w:bookmarkStart w:id="100" w:name="_Toc11848"/>
      <w:bookmarkStart w:id="101" w:name="_Toc13218"/>
      <w:bookmarkStart w:id="102" w:name="_Toc4137"/>
      <w:bookmarkStart w:id="103" w:name="_Toc31109"/>
      <w:bookmarkStart w:id="104" w:name="_Toc13171"/>
      <w:bookmarkStart w:id="105" w:name="_Toc149656768"/>
      <w:r>
        <w:rPr>
          <w:rFonts w:hint="eastAsia"/>
          <w:color w:val="000000" w:themeColor="text1"/>
          <w:highlight w:val="none"/>
          <w14:textFill>
            <w14:solidFill>
              <w14:schemeClr w14:val="tx1"/>
            </w14:solidFill>
          </w14:textFill>
        </w:rPr>
        <w:t>第四条 合同</w:t>
      </w:r>
      <w:r>
        <w:rPr>
          <w:rFonts w:hint="eastAsia"/>
          <w:color w:val="000000" w:themeColor="text1"/>
          <w:highlight w:val="none"/>
          <w:lang w:eastAsia="zh-Hans"/>
          <w14:textFill>
            <w14:solidFill>
              <w14:schemeClr w14:val="tx1"/>
            </w14:solidFill>
          </w14:textFill>
        </w:rPr>
        <w:t>价款</w:t>
      </w:r>
      <w:r>
        <w:rPr>
          <w:rFonts w:hint="eastAsia"/>
          <w:color w:val="000000" w:themeColor="text1"/>
          <w:highlight w:val="none"/>
          <w14:textFill>
            <w14:solidFill>
              <w14:schemeClr w14:val="tx1"/>
            </w14:solidFill>
          </w14:textFill>
        </w:rPr>
        <w:t>、结算及</w:t>
      </w:r>
      <w:r>
        <w:rPr>
          <w:rFonts w:hint="eastAsia"/>
          <w:color w:val="000000" w:themeColor="text1"/>
          <w:highlight w:val="none"/>
          <w:lang w:eastAsia="zh-Hans"/>
          <w14:textFill>
            <w14:solidFill>
              <w14:schemeClr w14:val="tx1"/>
            </w14:solidFill>
          </w14:textFill>
        </w:rPr>
        <w:t>支付</w:t>
      </w:r>
      <w:r>
        <w:rPr>
          <w:rFonts w:hint="eastAsia"/>
          <w:color w:val="000000" w:themeColor="text1"/>
          <w:highlight w:val="none"/>
          <w14:textFill>
            <w14:solidFill>
              <w14:schemeClr w14:val="tx1"/>
            </w14:solidFill>
          </w14:textFill>
        </w:rPr>
        <w:t>方式</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adjustRightInd w:val="0"/>
        <w:snapToGrid w:val="0"/>
        <w:spacing w:line="360" w:lineRule="auto"/>
        <w:ind w:firstLine="480" w:firstLineChars="200"/>
        <w:rPr>
          <w:color w:val="000000" w:themeColor="text1"/>
          <w:sz w:val="24"/>
          <w:szCs w:val="21"/>
          <w:highlight w:val="none"/>
          <w:lang w:eastAsia="zh-Hans"/>
          <w14:textFill>
            <w14:solidFill>
              <w14:schemeClr w14:val="tx1"/>
            </w14:solidFill>
          </w14:textFill>
        </w:rPr>
      </w:pPr>
      <w:r>
        <w:rPr>
          <w:rFonts w:hint="eastAsia"/>
          <w:color w:val="000000" w:themeColor="text1"/>
          <w:sz w:val="24"/>
          <w:szCs w:val="21"/>
          <w:highlight w:val="none"/>
          <w14:textFill>
            <w14:solidFill>
              <w14:schemeClr w14:val="tx1"/>
            </w14:solidFill>
          </w14:textFill>
        </w:rPr>
        <w:t>（一）</w:t>
      </w:r>
      <w:r>
        <w:rPr>
          <w:rFonts w:hint="eastAsia"/>
          <w:color w:val="000000" w:themeColor="text1"/>
          <w:sz w:val="24"/>
          <w:highlight w:val="none"/>
          <w14:textFill>
            <w14:solidFill>
              <w14:schemeClr w14:val="tx1"/>
            </w14:solidFill>
          </w14:textFill>
        </w:rPr>
        <w:t>本合同造价咨询服务费用（含税）暂定为¥</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元（大写：人民币</w:t>
      </w:r>
      <w:r>
        <w:rPr>
          <w:rFonts w:hint="eastAsia"/>
          <w:color w:val="000000" w:themeColor="text1"/>
          <w:sz w:val="24"/>
          <w:highlight w:val="none"/>
          <w:u w:val="singl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u w:val="single"/>
          <w14:textFill>
            <w14:solidFill>
              <w14:schemeClr w14:val="tx1"/>
            </w14:solidFill>
          </w14:textFill>
        </w:rPr>
        <w:t>投标下浮率（如有）为</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该费用包括但不限于为实施和完成本项目所投入的全部人工成本（含驻场人员及后台支持人员）、咨询费、技术资料费、现场管理费、企业管理费、劳务费、差旅费、材料费、技术服务费、保险费、水电费、车辆通行费、报告编写费、各项管理费、各项协调工作经费及所有应交纳的政府规费、利润、税金等一切费用。</w:t>
      </w:r>
    </w:p>
    <w:p>
      <w:pPr>
        <w:pStyle w:val="50"/>
        <w:adjustRightInd w:val="0"/>
        <w:snapToGrid w:val="0"/>
        <w:spacing w:line="360" w:lineRule="auto"/>
        <w:ind w:firstLine="480"/>
        <w:rPr>
          <w:color w:val="000000" w:themeColor="text1"/>
          <w:sz w:val="24"/>
          <w:highlight w:val="none"/>
          <w:lang w:eastAsia="zh-Hans"/>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（二）</w:t>
      </w:r>
      <w:r>
        <w:rPr>
          <w:rFonts w:hint="eastAsia"/>
          <w:color w:val="000000" w:themeColor="text1"/>
          <w:sz w:val="24"/>
          <w:highlight w:val="none"/>
          <w:lang w:val="zh-CN"/>
          <w14:textFill>
            <w14:solidFill>
              <w14:schemeClr w14:val="tx1"/>
            </w14:solidFill>
          </w14:textFill>
        </w:rPr>
        <w:t>结算方式：</w:t>
      </w:r>
      <w:r>
        <w:rPr>
          <w:rFonts w:hint="eastAsia"/>
          <w:color w:val="000000" w:themeColor="text1"/>
          <w:sz w:val="24"/>
          <w:szCs w:val="21"/>
          <w:highlight w:val="none"/>
          <w14:textFill>
            <w14:solidFill>
              <w14:schemeClr w14:val="tx1"/>
            </w14:solidFill>
          </w14:textFill>
        </w:rPr>
        <w:t xml:space="preserve"> </w:t>
      </w:r>
    </w:p>
    <w:p>
      <w:pPr>
        <w:pStyle w:val="50"/>
        <w:numPr>
          <w:ilvl w:val="0"/>
          <w:numId w:val="3"/>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本项目全过程造价咨询服务费结算价</w:t>
      </w:r>
      <w:r>
        <w:rPr>
          <w:rFonts w:hint="eastAsia"/>
          <w:color w:val="000000" w:themeColor="text1"/>
          <w:sz w:val="24"/>
          <w:highlight w:val="none"/>
          <w:u w:val="single"/>
          <w:lang w:val="zh-CN"/>
          <w14:textFill>
            <w14:solidFill>
              <w14:schemeClr w14:val="tx1"/>
            </w14:solidFill>
          </w14:textFill>
        </w:rPr>
        <w:t>以有审核权限部门审定的概算总投资（不包括建设用地费、预备费、政府采购项目费用及未委托的工作内容）合计为计费基数，依据广东省物价局《关于调整我省建设工程造价咨询服务收费的复函》（粤价函[2011]742号）文执行，并下浮2</w:t>
      </w:r>
      <w:r>
        <w:rPr>
          <w:color w:val="000000" w:themeColor="text1"/>
          <w:sz w:val="24"/>
          <w:highlight w:val="none"/>
          <w:u w:val="single"/>
          <w:lang w:val="zh-CN"/>
          <w14:textFill>
            <w14:solidFill>
              <w14:schemeClr w14:val="tx1"/>
            </w14:solidFill>
          </w14:textFill>
        </w:rPr>
        <w:t>0%</w:t>
      </w:r>
      <w:r>
        <w:rPr>
          <w:rFonts w:hint="eastAsia"/>
          <w:color w:val="000000" w:themeColor="text1"/>
          <w:sz w:val="24"/>
          <w:highlight w:val="none"/>
          <w:u w:val="single"/>
          <w:lang w:val="zh-CN"/>
          <w14:textFill>
            <w14:solidFill>
              <w14:schemeClr w14:val="tx1"/>
            </w14:solidFill>
          </w14:textFill>
        </w:rPr>
        <w:t>后再乘以（1-投标下浮率（如有））计算，最终全过程造价咨询服务费结算总价以有审核权限部门审核意见为准。</w:t>
      </w:r>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14:textFill>
            <w14:solidFill>
              <w14:schemeClr w14:val="tx1"/>
            </w14:solidFill>
          </w14:textFill>
        </w:rPr>
        <w:t>（三）</w:t>
      </w:r>
      <w:r>
        <w:rPr>
          <w:rFonts w:hint="eastAsia"/>
          <w:color w:val="000000" w:themeColor="text1"/>
          <w:sz w:val="24"/>
          <w:highlight w:val="none"/>
          <w:lang w:eastAsia="zh-Hans"/>
          <w14:textFill>
            <w14:solidFill>
              <w14:schemeClr w14:val="tx1"/>
            </w14:solidFill>
          </w14:textFill>
        </w:rPr>
        <w:t>支付</w:t>
      </w:r>
      <w:r>
        <w:rPr>
          <w:rFonts w:hint="eastAsia"/>
          <w:color w:val="000000" w:themeColor="text1"/>
          <w:sz w:val="24"/>
          <w:highlight w:val="none"/>
          <w:lang w:val="zh-CN"/>
          <w14:textFill>
            <w14:solidFill>
              <w14:schemeClr w14:val="tx1"/>
            </w14:solidFill>
          </w14:textFill>
        </w:rPr>
        <w:t>方式</w:t>
      </w:r>
    </w:p>
    <w:p>
      <w:pPr>
        <w:pStyle w:val="50"/>
        <w:numPr>
          <w:ilvl w:val="0"/>
          <w:numId w:val="4"/>
        </w:numPr>
        <w:adjustRightInd w:val="0"/>
        <w:snapToGrid w:val="0"/>
        <w:spacing w:line="360" w:lineRule="auto"/>
        <w:ind w:firstLineChars="0"/>
        <w:rPr>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t>本合同签订后，可支付至合同暂定价的10％。</w:t>
      </w:r>
    </w:p>
    <w:p>
      <w:pPr>
        <w:pStyle w:val="50"/>
        <w:numPr>
          <w:ilvl w:val="0"/>
          <w:numId w:val="4"/>
        </w:numPr>
        <w:adjustRightInd w:val="0"/>
        <w:snapToGrid w:val="0"/>
        <w:spacing w:line="360" w:lineRule="auto"/>
        <w:ind w:firstLineChars="0"/>
        <w:rPr>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t>完成工程概算审核后，可支付至该工程有审核权限部门审定概算总投资（不包括建设用地费、预备费、政府采购项目费用及未委托的工作内容）合计为计费基数计算的咨询费的20％。</w:t>
      </w:r>
    </w:p>
    <w:p>
      <w:pPr>
        <w:pStyle w:val="50"/>
        <w:numPr>
          <w:ilvl w:val="0"/>
          <w:numId w:val="4"/>
        </w:numPr>
        <w:adjustRightInd w:val="0"/>
        <w:snapToGrid w:val="0"/>
        <w:spacing w:line="360" w:lineRule="auto"/>
        <w:ind w:firstLineChars="0"/>
        <w:rPr>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t>完成工程预算审核后，可支付至该工程有审核权限部门审定概算总投资（不包括建设用地费、预备费、政府采购项目费用及未委托的工作内容）合计为计费基数计算的咨询费的30％。</w:t>
      </w:r>
    </w:p>
    <w:p>
      <w:pPr>
        <w:pStyle w:val="50"/>
        <w:numPr>
          <w:ilvl w:val="0"/>
          <w:numId w:val="4"/>
        </w:numPr>
        <w:adjustRightInd w:val="0"/>
        <w:snapToGrid w:val="0"/>
        <w:spacing w:line="360" w:lineRule="auto"/>
        <w:ind w:firstLineChars="0"/>
        <w:rPr>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t>完成工程修正价确认工作并完成该工程修正价合同签订，可支付至该工程有审核权限部门审定概算总投资（不包括建设用地费、预备费、政府采购项目费用及未委托的工作内容）合计为计费基数计算的咨询费的40％。</w:t>
      </w:r>
    </w:p>
    <w:p>
      <w:pPr>
        <w:pStyle w:val="50"/>
        <w:numPr>
          <w:ilvl w:val="0"/>
          <w:numId w:val="4"/>
        </w:numPr>
        <w:adjustRightInd w:val="0"/>
        <w:snapToGrid w:val="0"/>
        <w:spacing w:line="360" w:lineRule="auto"/>
        <w:ind w:firstLineChars="0"/>
        <w:rPr>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t>工程施工形象进度完成50%（即该工程施工进度款累计支付达到修正合同额50%），可支付至该工程有审核权限部门审定概算总投资（不包括建设用地费、预备费、政府采购项目费用及未委托的工作内容）合计为计费基数计算的咨询费的60％。</w:t>
      </w:r>
    </w:p>
    <w:p>
      <w:pPr>
        <w:pStyle w:val="50"/>
        <w:numPr>
          <w:ilvl w:val="0"/>
          <w:numId w:val="4"/>
        </w:numPr>
        <w:adjustRightInd w:val="0"/>
        <w:snapToGrid w:val="0"/>
        <w:spacing w:line="360" w:lineRule="auto"/>
        <w:ind w:firstLineChars="0"/>
        <w:rPr>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t>本项目工程竣工（交工/完工）验收后，可支付至该工程有审核权限部门审定概算总投资（不包括建设用地费、预备费、政府采购项目费用及未委托的工作内容）合计为计费基数计算的咨询费的80％。</w:t>
      </w:r>
    </w:p>
    <w:p>
      <w:pPr>
        <w:pStyle w:val="50"/>
        <w:numPr>
          <w:ilvl w:val="0"/>
          <w:numId w:val="4"/>
        </w:numPr>
        <w:adjustRightInd w:val="0"/>
        <w:snapToGrid w:val="0"/>
        <w:spacing w:line="360" w:lineRule="auto"/>
        <w:ind w:firstLineChars="0"/>
        <w:rPr>
          <w:color w:val="000000" w:themeColor="text1"/>
          <w:sz w:val="24"/>
          <w:highlight w:val="none"/>
          <w:u w:val="single"/>
          <w:lang w:val="zh-CN"/>
          <w14:textFill>
            <w14:solidFill>
              <w14:schemeClr w14:val="tx1"/>
            </w14:solidFill>
          </w14:textFill>
        </w:rPr>
      </w:pPr>
      <w:r>
        <w:rPr>
          <w:rFonts w:hint="eastAsia"/>
          <w:color w:val="000000" w:themeColor="text1"/>
          <w:sz w:val="24"/>
          <w:highlight w:val="none"/>
          <w:u w:val="single"/>
          <w14:textFill>
            <w14:solidFill>
              <w14:schemeClr w14:val="tx1"/>
            </w14:solidFill>
          </w14:textFill>
        </w:rPr>
        <w:t>本项目工程竣工结算完成且向发包人移交项目的全部归档材料后，进行本工程的造价咨询费结算（最终结算金额以有审核权限部门审核结果为准），可支付至本合同全过程造价咨询费结算价的100％。</w:t>
      </w:r>
    </w:p>
    <w:p>
      <w:pPr>
        <w:pStyle w:val="50"/>
        <w:numPr>
          <w:ilvl w:val="0"/>
          <w:numId w:val="4"/>
        </w:numPr>
        <w:adjustRightInd w:val="0"/>
        <w:snapToGrid w:val="0"/>
        <w:spacing w:line="360" w:lineRule="auto"/>
        <w:ind w:firstLineChars="0"/>
        <w:rPr>
          <w:color w:val="000000" w:themeColor="text1"/>
          <w:sz w:val="24"/>
          <w:highlight w:val="none"/>
          <w:u w:val="single"/>
          <w:lang w:val="zh-CN"/>
          <w14:textFill>
            <w14:solidFill>
              <w14:schemeClr w14:val="tx1"/>
            </w14:solidFill>
          </w14:textFill>
        </w:rPr>
      </w:pPr>
      <w:r>
        <w:rPr>
          <w:rFonts w:hint="eastAsia"/>
          <w:color w:val="000000" w:themeColor="text1"/>
          <w:sz w:val="24"/>
          <w:highlight w:val="none"/>
          <w:u w:val="single"/>
          <w:lang w:val="zh-CN"/>
          <w14:textFill>
            <w14:solidFill>
              <w14:schemeClr w14:val="tx1"/>
            </w14:solidFill>
          </w14:textFill>
        </w:rPr>
        <w:t>因政策变化、规划调整、财政承受能力等因素影响造成项目中途取消或发生重大变更的，发包人有权书面通知承包人对合同工作内容进行调整或解除本合同，并按承包人工作进展情况及合同支付节点支付相应费用，承包人已充分理解该风险并无条件接受不得拒绝。</w:t>
      </w:r>
    </w:p>
    <w:p>
      <w:pPr>
        <w:pStyle w:val="50"/>
        <w:numPr>
          <w:ilvl w:val="0"/>
          <w:numId w:val="4"/>
        </w:numPr>
        <w:adjustRightInd w:val="0"/>
        <w:snapToGrid w:val="0"/>
        <w:spacing w:line="360" w:lineRule="auto"/>
        <w:ind w:firstLine="480"/>
        <w:rPr>
          <w:color w:val="000000" w:themeColor="text1"/>
          <w:sz w:val="24"/>
          <w:highlight w:val="none"/>
          <w:u w:val="single"/>
          <w:lang w:val="zh-CN"/>
          <w14:textFill>
            <w14:solidFill>
              <w14:schemeClr w14:val="tx1"/>
            </w14:solidFill>
          </w14:textFill>
        </w:rPr>
      </w:pPr>
      <w:r>
        <w:rPr>
          <w:rFonts w:hint="eastAsia"/>
          <w:color w:val="000000" w:themeColor="text1"/>
          <w:sz w:val="24"/>
          <w:highlight w:val="none"/>
          <w:u w:val="single"/>
          <w:lang w:val="zh-CN"/>
          <w14:textFill>
            <w14:solidFill>
              <w14:schemeClr w14:val="tx1"/>
            </w14:solidFill>
          </w14:textFill>
        </w:rPr>
        <w:t>承包人应承担的所有违约金、赔偿金及各项费用，发包人有权要求承包人立即予以赔付或者</w:t>
      </w:r>
      <w:r>
        <w:rPr>
          <w:rFonts w:hint="eastAsia"/>
          <w:color w:val="000000" w:themeColor="text1"/>
          <w:sz w:val="24"/>
          <w:highlight w:val="none"/>
          <w:u w:val="single"/>
          <w:lang w:val="zh-CN"/>
          <w14:textFill>
            <w14:solidFill>
              <w14:schemeClr w14:val="tx1"/>
            </w14:solidFill>
          </w14:textFill>
        </w:rPr>
        <w:t>无需另行通知承包人</w:t>
      </w:r>
      <w:r>
        <w:rPr>
          <w:rFonts w:hint="eastAsia"/>
          <w:color w:val="000000" w:themeColor="text1"/>
          <w:sz w:val="24"/>
          <w:highlight w:val="none"/>
          <w:u w:val="single"/>
          <w:lang w:val="zh-CN"/>
          <w14:textFill>
            <w14:solidFill>
              <w14:schemeClr w14:val="tx1"/>
            </w14:solidFill>
          </w14:textFill>
        </w:rPr>
        <w:t>直接从应支付给承包人的任何款项中予以扣除相应款项（而且不限于本合同项目）后再结算费用。</w:t>
      </w:r>
    </w:p>
    <w:p>
      <w:pPr>
        <w:pStyle w:val="50"/>
        <w:numPr>
          <w:ilvl w:val="0"/>
          <w:numId w:val="4"/>
        </w:numPr>
        <w:adjustRightInd w:val="0"/>
        <w:snapToGrid w:val="0"/>
        <w:spacing w:line="360" w:lineRule="auto"/>
        <w:ind w:firstLineChars="0"/>
        <w:rPr>
          <w:color w:val="000000" w:themeColor="text1"/>
          <w:sz w:val="24"/>
          <w:highlight w:val="none"/>
          <w:u w:val="single"/>
          <w:lang w:val="zh-CN"/>
          <w14:textFill>
            <w14:solidFill>
              <w14:schemeClr w14:val="tx1"/>
            </w14:solidFill>
          </w14:textFill>
        </w:rPr>
      </w:pPr>
      <w:bookmarkStart w:id="106" w:name="_Hlk145513685"/>
      <w:r>
        <w:rPr>
          <w:rFonts w:hint="eastAsia"/>
          <w:color w:val="000000" w:themeColor="text1"/>
          <w:sz w:val="24"/>
          <w:highlight w:val="none"/>
          <w:u w:val="single"/>
          <w:lang w:val="zh-CN"/>
          <w14:textFill>
            <w14:solidFill>
              <w14:schemeClr w14:val="tx1"/>
            </w14:solidFill>
          </w14:textFill>
        </w:rPr>
        <w:t>上述费用的支付统一由发包人按照广州市南沙区财政局财政资金支付的有关规定和程序向南沙区财政局申请拨付。承包人按照发包人</w:t>
      </w:r>
      <w:r>
        <w:rPr>
          <w:rFonts w:hint="eastAsia"/>
          <w:color w:val="000000" w:themeColor="text1"/>
          <w:sz w:val="24"/>
          <w:highlight w:val="none"/>
          <w:lang w:val="zh-CN"/>
          <w14:textFill>
            <w14:solidFill>
              <w14:schemeClr w14:val="tx1"/>
            </w14:solidFill>
          </w14:textFill>
        </w:rPr>
        <w:t>及广州市南沙区财政局</w:t>
      </w:r>
      <w:r>
        <w:rPr>
          <w:rFonts w:hint="eastAsia"/>
          <w:color w:val="000000" w:themeColor="text1"/>
          <w:sz w:val="24"/>
          <w:highlight w:val="none"/>
          <w:u w:val="single"/>
          <w:lang w:val="zh-CN"/>
          <w14:textFill>
            <w14:solidFill>
              <w14:schemeClr w14:val="tx1"/>
            </w14:solidFill>
          </w14:textFill>
        </w:rPr>
        <w:t>资金支付相关要求提交完整的资金支付申请材料，由发包人按本合同约定的支付方式向广州市南沙区财政局申请支付，即视为发包人已履行付款义务，因</w:t>
      </w:r>
      <w:r>
        <w:rPr>
          <w:rFonts w:hint="eastAsia"/>
          <w:color w:val="000000" w:themeColor="text1"/>
          <w:sz w:val="24"/>
          <w:highlight w:val="none"/>
          <w:lang w:val="zh-CN"/>
          <w14:textFill>
            <w14:solidFill>
              <w14:schemeClr w14:val="tx1"/>
            </w14:solidFill>
          </w14:textFill>
        </w:rPr>
        <w:t>广州市南沙区财政局</w:t>
      </w:r>
      <w:r>
        <w:rPr>
          <w:rFonts w:hint="eastAsia"/>
          <w:color w:val="000000" w:themeColor="text1"/>
          <w:sz w:val="24"/>
          <w:highlight w:val="none"/>
          <w:u w:val="single"/>
          <w:lang w:val="zh-CN"/>
          <w14:textFill>
            <w14:solidFill>
              <w14:schemeClr w14:val="tx1"/>
            </w14:solidFill>
          </w14:textFill>
        </w:rPr>
        <w:t>审核导致资金拨付延误，发包人无法按时支付给承包人的，不视为发包人违约。同时，承包人不得因此而停止工作。</w:t>
      </w:r>
      <w:bookmarkEnd w:id="106"/>
    </w:p>
    <w:p>
      <w:pPr>
        <w:pStyle w:val="50"/>
        <w:numPr>
          <w:ilvl w:val="0"/>
          <w:numId w:val="4"/>
        </w:numPr>
        <w:adjustRightInd w:val="0"/>
        <w:snapToGrid w:val="0"/>
        <w:spacing w:line="360" w:lineRule="auto"/>
        <w:ind w:firstLineChars="0"/>
        <w:rPr>
          <w:color w:val="000000" w:themeColor="text1"/>
          <w:sz w:val="24"/>
          <w:highlight w:val="none"/>
          <w:u w:val="single"/>
          <w:lang w:val="zh-CN"/>
          <w14:textFill>
            <w14:solidFill>
              <w14:schemeClr w14:val="tx1"/>
            </w14:solidFill>
          </w14:textFill>
        </w:rPr>
      </w:pPr>
      <w:bookmarkStart w:id="107" w:name="_Hlk145513729"/>
      <w:r>
        <w:rPr>
          <w:rFonts w:hint="eastAsia"/>
          <w:color w:val="000000" w:themeColor="text1"/>
          <w:sz w:val="24"/>
          <w:highlight w:val="none"/>
          <w:u w:val="single"/>
          <w:lang w:val="zh-CN"/>
          <w14:textFill>
            <w14:solidFill>
              <w14:schemeClr w14:val="tx1"/>
            </w14:solidFill>
          </w14:textFill>
        </w:rPr>
        <w:t>申请费用支付时，承包人需开具等值、合法、有效的增值税发票。各方委托银行代付代收有关费用，承包人的收款账号如下：</w:t>
      </w:r>
      <w:bookmarkEnd w:id="107"/>
    </w:p>
    <w:p>
      <w:pPr>
        <w:pStyle w:val="50"/>
        <w:numPr>
          <w:ilvl w:val="0"/>
          <w:numId w:val="5"/>
        </w:numPr>
        <w:adjustRightInd w:val="0"/>
        <w:snapToGrid w:val="0"/>
        <w:spacing w:line="360" w:lineRule="auto"/>
        <w:ind w:firstLineChars="0"/>
        <w:rPr>
          <w:color w:val="000000" w:themeColor="text1"/>
          <w:sz w:val="24"/>
          <w:szCs w:val="24"/>
          <w:highlight w:val="none"/>
          <w:u w:val="single"/>
          <w14:textFill>
            <w14:solidFill>
              <w14:schemeClr w14:val="tx1"/>
            </w14:solidFill>
          </w14:textFill>
        </w:rPr>
      </w:pPr>
      <w:bookmarkStart w:id="108" w:name="_Hlk145513739"/>
      <w:r>
        <w:rPr>
          <w:rFonts w:hint="eastAsia"/>
          <w:color w:val="000000" w:themeColor="text1"/>
          <w:sz w:val="24"/>
          <w:szCs w:val="24"/>
          <w:highlight w:val="none"/>
          <w14:textFill>
            <w14:solidFill>
              <w14:schemeClr w14:val="tx1"/>
            </w14:solidFill>
          </w14:textFill>
        </w:rPr>
        <w:t>开户名：</w:t>
      </w:r>
      <w:r>
        <w:rPr>
          <w:color w:val="000000" w:themeColor="text1"/>
          <w:sz w:val="24"/>
          <w:szCs w:val="24"/>
          <w:highlight w:val="none"/>
          <w:u w:val="single"/>
          <w14:textFill>
            <w14:solidFill>
              <w14:schemeClr w14:val="tx1"/>
            </w14:solidFill>
          </w14:textFill>
        </w:rPr>
        <w:t xml:space="preserve">                         </w:t>
      </w:r>
    </w:p>
    <w:p>
      <w:pPr>
        <w:pStyle w:val="50"/>
        <w:numPr>
          <w:ilvl w:val="0"/>
          <w:numId w:val="5"/>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开户行：</w:t>
      </w:r>
      <w:r>
        <w:rPr>
          <w:color w:val="000000" w:themeColor="text1"/>
          <w:sz w:val="24"/>
          <w:szCs w:val="24"/>
          <w:highlight w:val="none"/>
          <w:u w:val="single"/>
          <w14:textFill>
            <w14:solidFill>
              <w14:schemeClr w14:val="tx1"/>
            </w14:solidFill>
          </w14:textFill>
        </w:rPr>
        <w:t xml:space="preserve">                         </w:t>
      </w:r>
    </w:p>
    <w:p>
      <w:pPr>
        <w:pStyle w:val="50"/>
        <w:numPr>
          <w:ilvl w:val="0"/>
          <w:numId w:val="5"/>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账号：</w:t>
      </w:r>
      <w:r>
        <w:rPr>
          <w:color w:val="000000" w:themeColor="text1"/>
          <w:sz w:val="24"/>
          <w:szCs w:val="24"/>
          <w:highlight w:val="none"/>
          <w:u w:val="single"/>
          <w14:textFill>
            <w14:solidFill>
              <w14:schemeClr w14:val="tx1"/>
            </w14:solidFill>
          </w14:textFill>
        </w:rPr>
        <w:t xml:space="preserve">                            </w:t>
      </w:r>
    </w:p>
    <w:bookmarkEnd w:id="108"/>
    <w:p>
      <w:pPr>
        <w:pStyle w:val="4"/>
        <w:spacing w:before="240" w:after="120"/>
        <w:rPr>
          <w:color w:val="000000" w:themeColor="text1"/>
          <w:highlight w:val="none"/>
          <w14:textFill>
            <w14:solidFill>
              <w14:schemeClr w14:val="tx1"/>
            </w14:solidFill>
          </w14:textFill>
        </w:rPr>
      </w:pPr>
      <w:bookmarkStart w:id="109" w:name="_Toc27862"/>
      <w:bookmarkStart w:id="110" w:name="_Toc18799"/>
      <w:bookmarkStart w:id="111" w:name="_Toc2494"/>
      <w:bookmarkStart w:id="112" w:name="_Toc81930166"/>
      <w:bookmarkStart w:id="113" w:name="_Toc849"/>
      <w:bookmarkStart w:id="114" w:name="_Toc3668"/>
      <w:bookmarkStart w:id="115" w:name="_Toc29155"/>
      <w:bookmarkStart w:id="116" w:name="_Toc26175"/>
      <w:bookmarkStart w:id="117" w:name="_Toc32053"/>
      <w:bookmarkStart w:id="118" w:name="_Toc16566"/>
      <w:bookmarkStart w:id="119" w:name="_Toc20441"/>
      <w:bookmarkStart w:id="120" w:name="_Toc20552"/>
      <w:bookmarkStart w:id="121" w:name="_Toc8117"/>
      <w:bookmarkStart w:id="122" w:name="_Toc112071512"/>
      <w:bookmarkStart w:id="123" w:name="_Toc6372"/>
      <w:bookmarkStart w:id="124" w:name="_Toc27290"/>
      <w:bookmarkStart w:id="125" w:name="_Toc149656769"/>
      <w:r>
        <w:rPr>
          <w:rFonts w:hint="eastAsia"/>
          <w:color w:val="000000" w:themeColor="text1"/>
          <w:highlight w:val="none"/>
          <w14:textFill>
            <w14:solidFill>
              <w14:schemeClr w14:val="tx1"/>
            </w14:solidFill>
          </w14:textFill>
        </w:rPr>
        <w:t xml:space="preserve">第五条 </w:t>
      </w:r>
      <w:r>
        <w:rPr>
          <w:rFonts w:hint="eastAsia"/>
          <w:color w:val="000000" w:themeColor="text1"/>
          <w:highlight w:val="none"/>
          <w:lang w:eastAsia="zh-Hans"/>
          <w14:textFill>
            <w14:solidFill>
              <w14:schemeClr w14:val="tx1"/>
            </w14:solidFill>
          </w14:textFill>
        </w:rPr>
        <w:t>各</w:t>
      </w:r>
      <w:r>
        <w:rPr>
          <w:rFonts w:hint="eastAsia"/>
          <w:color w:val="000000" w:themeColor="text1"/>
          <w:highlight w:val="none"/>
          <w14:textFill>
            <w14:solidFill>
              <w14:schemeClr w14:val="tx1"/>
            </w14:solidFill>
          </w14:textFill>
        </w:rPr>
        <w:t>方责任和义务</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adjustRightInd w:val="0"/>
        <w:snapToGrid w:val="0"/>
        <w:spacing w:line="360" w:lineRule="auto"/>
        <w:ind w:firstLine="480" w:firstLineChars="20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（一）发包人</w:t>
      </w:r>
    </w:p>
    <w:p>
      <w:pPr>
        <w:pStyle w:val="50"/>
        <w:numPr>
          <w:ilvl w:val="0"/>
          <w:numId w:val="6"/>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按合同约定向承包人支付</w:t>
      </w:r>
      <w:r>
        <w:rPr>
          <w:rFonts w:hint="eastAsia" w:ascii="宋体" w:hAnsi="宋体"/>
          <w:color w:val="000000" w:themeColor="text1"/>
          <w:sz w:val="24"/>
          <w:highlight w:val="none"/>
          <w14:textFill>
            <w14:solidFill>
              <w14:schemeClr w14:val="tx1"/>
            </w14:solidFill>
          </w14:textFill>
        </w:rPr>
        <w:t>造价咨询</w:t>
      </w:r>
      <w:r>
        <w:rPr>
          <w:rFonts w:hint="eastAsia" w:ascii="宋体" w:hAnsi="宋体"/>
          <w:bCs/>
          <w:snapToGrid w:val="0"/>
          <w:color w:val="000000" w:themeColor="text1"/>
          <w:kern w:val="0"/>
          <w:sz w:val="24"/>
          <w:highlight w:val="none"/>
          <w14:textFill>
            <w14:solidFill>
              <w14:schemeClr w14:val="tx1"/>
            </w14:solidFill>
          </w14:textFill>
        </w:rPr>
        <w:t>的工作报酬</w:t>
      </w:r>
      <w:r>
        <w:rPr>
          <w:rFonts w:hint="eastAsia"/>
          <w:color w:val="000000" w:themeColor="text1"/>
          <w:sz w:val="24"/>
          <w:highlight w:val="none"/>
          <w:lang w:val="zh-CN"/>
          <w14:textFill>
            <w14:solidFill>
              <w14:schemeClr w14:val="tx1"/>
            </w14:solidFill>
          </w14:textFill>
        </w:rPr>
        <w:t>。</w:t>
      </w:r>
    </w:p>
    <w:p>
      <w:pPr>
        <w:pStyle w:val="50"/>
        <w:numPr>
          <w:ilvl w:val="0"/>
          <w:numId w:val="6"/>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向承包人提供相关的文件资料，包括但不限于：</w:t>
      </w:r>
      <w:r>
        <w:rPr>
          <w:rFonts w:hint="eastAsia" w:ascii="宋体" w:hAnsi="宋体"/>
          <w:bCs/>
          <w:snapToGrid w:val="0"/>
          <w:color w:val="000000" w:themeColor="text1"/>
          <w:kern w:val="0"/>
          <w:sz w:val="24"/>
          <w:highlight w:val="none"/>
          <w:u w:val="single"/>
          <w14:textFill>
            <w14:solidFill>
              <w14:schemeClr w14:val="tx1"/>
            </w14:solidFill>
          </w14:textFill>
        </w:rPr>
        <w:t>向承包人提供本工程造价咨询业务应具备的相关工程前期资料及资金落实情况资料；造价咨询业务所需的有关资料</w:t>
      </w:r>
      <w:r>
        <w:rPr>
          <w:rFonts w:hint="eastAsia" w:ascii="宋体" w:hAnsi="宋体"/>
          <w:bCs/>
          <w:snapToGrid w:val="0"/>
          <w:color w:val="000000" w:themeColor="text1"/>
          <w:kern w:val="0"/>
          <w:sz w:val="24"/>
          <w:highlight w:val="none"/>
          <w14:textFill>
            <w14:solidFill>
              <w14:schemeClr w14:val="tx1"/>
            </w14:solidFill>
          </w14:textFill>
        </w:rPr>
        <w:t>。</w:t>
      </w:r>
    </w:p>
    <w:p>
      <w:pPr>
        <w:pStyle w:val="50"/>
        <w:numPr>
          <w:ilvl w:val="0"/>
          <w:numId w:val="6"/>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为承包人开展工作提供便利条件，包括但不限于：</w:t>
      </w:r>
      <w:r>
        <w:rPr>
          <w:rFonts w:hint="eastAsia"/>
          <w:color w:val="000000" w:themeColor="text1"/>
          <w:sz w:val="24"/>
          <w:highlight w:val="none"/>
          <w:u w:val="single"/>
          <w:lang w:val="zh-CN"/>
          <w14:textFill>
            <w14:solidFill>
              <w14:schemeClr w14:val="tx1"/>
            </w14:solidFill>
          </w14:textFill>
        </w:rPr>
        <w:t>协助承包人与相关的部门沟通，提供驻场人员办公场地</w:t>
      </w:r>
      <w:r>
        <w:rPr>
          <w:rFonts w:hint="eastAsia"/>
          <w:color w:val="000000" w:themeColor="text1"/>
          <w:sz w:val="24"/>
          <w:highlight w:val="none"/>
          <w:lang w:val="zh-CN"/>
          <w14:textFill>
            <w14:solidFill>
              <w14:schemeClr w14:val="tx1"/>
            </w14:solidFill>
          </w14:textFill>
        </w:rPr>
        <w:t>。</w:t>
      </w:r>
    </w:p>
    <w:p>
      <w:pPr>
        <w:pStyle w:val="50"/>
        <w:numPr>
          <w:ilvl w:val="0"/>
          <w:numId w:val="6"/>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检查</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在本项目工作中的进度和质量情况，并提出合理改进意见。</w:t>
      </w:r>
    </w:p>
    <w:p>
      <w:pPr>
        <w:pStyle w:val="50"/>
        <w:adjustRightInd w:val="0"/>
        <w:snapToGrid w:val="0"/>
        <w:spacing w:line="360" w:lineRule="auto"/>
        <w:ind w:left="480" w:firstLine="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（二）承包人</w:t>
      </w:r>
    </w:p>
    <w:p>
      <w:pPr>
        <w:pStyle w:val="50"/>
        <w:numPr>
          <w:ilvl w:val="0"/>
          <w:numId w:val="7"/>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需具备完成本合同服务内容的相应资质、场所、人员、设备等全部能力条件，并确保的合同履行期间一直有效。</w:t>
      </w:r>
    </w:p>
    <w:p>
      <w:pPr>
        <w:pStyle w:val="50"/>
        <w:numPr>
          <w:ilvl w:val="0"/>
          <w:numId w:val="7"/>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承包人须按照下列进度进行造价咨询工作：</w:t>
      </w:r>
    </w:p>
    <w:p>
      <w:pPr>
        <w:pStyle w:val="50"/>
        <w:numPr>
          <w:ilvl w:val="0"/>
          <w:numId w:val="8"/>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开展造价咨询工作，具体开始日期以收到发包人的通知为准。</w:t>
      </w:r>
    </w:p>
    <w:p>
      <w:pPr>
        <w:pStyle w:val="50"/>
        <w:numPr>
          <w:ilvl w:val="0"/>
          <w:numId w:val="8"/>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发包人根据实际情况，有权对本项目造价咨询工作的履行期（包括关键节点日期和完成日期）进行适当调整，承包人必须采取一切有效措施保证完成造价咨询工作，不得延误；相关费用已包含在本合同约定的服务费用内，发包人无需为此额外支付任何费用。</w:t>
      </w:r>
    </w:p>
    <w:p>
      <w:pPr>
        <w:pStyle w:val="50"/>
        <w:numPr>
          <w:ilvl w:val="0"/>
          <w:numId w:val="8"/>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在概算、预算、招标限价、结算等关键节点审核时，应及时安排不少于</w:t>
      </w:r>
      <w:r>
        <w:rPr>
          <w:rFonts w:hint="eastAsia"/>
          <w:color w:val="000000" w:themeColor="text1"/>
          <w:sz w:val="24"/>
          <w:szCs w:val="24"/>
          <w:highlight w:val="none"/>
          <w:u w:val="single"/>
          <w14:textFill>
            <w14:solidFill>
              <w14:schemeClr w14:val="tx1"/>
            </w14:solidFill>
          </w14:textFill>
        </w:rPr>
        <w:t>16人</w:t>
      </w:r>
      <w:r>
        <w:rPr>
          <w:rFonts w:hint="eastAsia"/>
          <w:color w:val="000000" w:themeColor="text1"/>
          <w:sz w:val="24"/>
          <w:szCs w:val="24"/>
          <w:highlight w:val="none"/>
          <w14:textFill>
            <w14:solidFill>
              <w14:schemeClr w14:val="tx1"/>
            </w14:solidFill>
          </w14:textFill>
        </w:rPr>
        <w:t>造价专业配置齐全的技术人员组成造服务团队，确保在</w:t>
      </w:r>
      <w:r>
        <w:rPr>
          <w:rFonts w:hint="eastAsia"/>
          <w:color w:val="000000" w:themeColor="text1"/>
          <w:sz w:val="24"/>
          <w:szCs w:val="24"/>
          <w:highlight w:val="none"/>
          <w:u w:val="single"/>
          <w14:textFill>
            <w14:solidFill>
              <w14:schemeClr w14:val="tx1"/>
            </w14:solidFill>
          </w14:textFill>
        </w:rPr>
        <w:t>15</w:t>
      </w:r>
      <w:r>
        <w:rPr>
          <w:rFonts w:hint="eastAsia"/>
          <w:color w:val="000000" w:themeColor="text1"/>
          <w:sz w:val="24"/>
          <w:szCs w:val="24"/>
          <w:highlight w:val="none"/>
          <w14:textFill>
            <w14:solidFill>
              <w14:schemeClr w14:val="tx1"/>
            </w14:solidFill>
          </w14:textFill>
        </w:rPr>
        <w:t>个工作日内完成相关审核工作，出具审核报告。</w:t>
      </w:r>
    </w:p>
    <w:p>
      <w:pPr>
        <w:pStyle w:val="50"/>
        <w:numPr>
          <w:ilvl w:val="0"/>
          <w:numId w:val="7"/>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合同履行过程中，如承包人影响项目的正常实施的，发包人有权随时约见承包人的法定代表人，并要求法定代表人驻场协调工作。</w:t>
      </w:r>
    </w:p>
    <w:p>
      <w:pPr>
        <w:pStyle w:val="50"/>
        <w:numPr>
          <w:ilvl w:val="0"/>
          <w:numId w:val="7"/>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为实现项目的投资控制目标，由造价咨询单位作为派驻驻场造价人员组成项目组，拟派驻人员见</w:t>
      </w:r>
      <w:r>
        <w:rPr>
          <w:rFonts w:hint="eastAsia"/>
          <w:color w:val="000000" w:themeColor="text1"/>
          <w:sz w:val="24"/>
          <w:szCs w:val="24"/>
          <w:highlight w:val="none"/>
          <w:u w:val="single"/>
          <w14:textFill>
            <w14:solidFill>
              <w14:schemeClr w14:val="tx1"/>
            </w14:solidFill>
          </w14:textFill>
        </w:rPr>
        <w:t>合同附件</w:t>
      </w:r>
      <w:r>
        <w:rPr>
          <w:color w:val="000000" w:themeColor="text1"/>
          <w:sz w:val="24"/>
          <w:szCs w:val="24"/>
          <w:highlight w:val="none"/>
          <w:u w:val="single"/>
          <w14:textFill>
            <w14:solidFill>
              <w14:schemeClr w14:val="tx1"/>
            </w14:solidFill>
          </w14:textFill>
        </w:rPr>
        <w:t>7</w:t>
      </w:r>
      <w:r>
        <w:rPr>
          <w:rFonts w:hint="eastAsia"/>
          <w:color w:val="000000" w:themeColor="text1"/>
          <w:sz w:val="24"/>
          <w:szCs w:val="24"/>
          <w:highlight w:val="none"/>
          <w:u w:val="single"/>
          <w14:textFill>
            <w14:solidFill>
              <w14:schemeClr w14:val="tx1"/>
            </w14:solidFill>
          </w14:textFill>
        </w:rPr>
        <w:t>《拟投入本项目造价人员一览表及项目负责人资质证明》，如需更换人员需提前通知并取得发包人的同意。发包人仅提供驻场人员办公场地，其他如办公设备（如电脑、打印机、复印机、打印纸、造价软件等）、办公用品、就餐、住宿、现场踏勘、差旅费、驻场人员费、税费等一切支出由承包人自行解决，费用已包含在合同价款内。另外，承包人至少为本项目配备一辆7座商务车用于交通保障，专门用于项目现场勘察、评审协调会议等工作。该车辆使用时间从合同签订之日至工程施工项目竣工验收</w:t>
      </w:r>
      <w:r>
        <w:rPr>
          <w:rFonts w:hint="eastAsia"/>
          <w:color w:val="000000" w:themeColor="text1"/>
          <w:sz w:val="24"/>
          <w:highlight w:val="none"/>
          <w:lang w:val="zh-CN"/>
          <w14:textFill>
            <w14:solidFill>
              <w14:schemeClr w14:val="tx1"/>
            </w14:solidFill>
          </w14:textFill>
        </w:rPr>
        <w:t>（质量验收或交工/完工验收）</w:t>
      </w:r>
      <w:r>
        <w:rPr>
          <w:rFonts w:hint="eastAsia"/>
          <w:color w:val="000000" w:themeColor="text1"/>
          <w:sz w:val="24"/>
          <w:szCs w:val="24"/>
          <w:highlight w:val="none"/>
          <w:u w:val="single"/>
          <w14:textFill>
            <w14:solidFill>
              <w14:schemeClr w14:val="tx1"/>
            </w14:solidFill>
          </w14:textFill>
        </w:rPr>
        <w:t>合格之日止，相关费用均包括在合同价款中，发包人不另行支付</w:t>
      </w:r>
      <w:r>
        <w:rPr>
          <w:rFonts w:hint="eastAsia"/>
          <w:color w:val="000000" w:themeColor="text1"/>
          <w:sz w:val="24"/>
          <w:szCs w:val="24"/>
          <w:highlight w:val="none"/>
          <w14:textFill>
            <w14:solidFill>
              <w14:schemeClr w14:val="tx1"/>
            </w14:solidFill>
          </w14:textFill>
        </w:rPr>
        <w:t>。</w:t>
      </w:r>
    </w:p>
    <w:p>
      <w:pPr>
        <w:pStyle w:val="3"/>
        <w:adjustRightInd w:val="0"/>
        <w:snapToGrid w:val="0"/>
        <w:spacing w:before="0" w:beforeAutospacing="0"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承包人需承诺保证服从发包人管理，常驻发包人场地开展项目相关造价服务工作以及发包人安排的其他工作。</w:t>
      </w:r>
    </w:p>
    <w:p>
      <w:pPr>
        <w:pStyle w:val="50"/>
        <w:numPr>
          <w:ilvl w:val="0"/>
          <w:numId w:val="7"/>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应保证驻场人员的相对固定，并保证其工作时间和工作连贯性，更换人员需提前书面告知发包人，未经发包人事先书面同意，承包人不得更换人员；对于未达到发包人工作要求的派遣人员，承包人必须在收到发包人通知之日起的</w:t>
      </w:r>
      <w:r>
        <w:rPr>
          <w:rFonts w:hint="eastAsia"/>
          <w:color w:val="000000" w:themeColor="text1"/>
          <w:sz w:val="24"/>
          <w:szCs w:val="24"/>
          <w:highlight w:val="none"/>
          <w:u w:val="single"/>
          <w14:textFill>
            <w14:solidFill>
              <w14:schemeClr w14:val="tx1"/>
            </w14:solidFill>
          </w14:textFill>
        </w:rPr>
        <w:t>10个工作日</w:t>
      </w:r>
      <w:r>
        <w:rPr>
          <w:rFonts w:hint="eastAsia"/>
          <w:color w:val="000000" w:themeColor="text1"/>
          <w:sz w:val="24"/>
          <w:szCs w:val="24"/>
          <w:highlight w:val="none"/>
          <w14:textFill>
            <w14:solidFill>
              <w14:schemeClr w14:val="tx1"/>
            </w14:solidFill>
          </w14:textFill>
        </w:rPr>
        <w:t>内进行更换，更换的派遣人员应符合工作要求。</w:t>
      </w:r>
    </w:p>
    <w:p>
      <w:pPr>
        <w:pStyle w:val="50"/>
        <w:numPr>
          <w:ilvl w:val="0"/>
          <w:numId w:val="7"/>
        </w:numPr>
        <w:adjustRightInd w:val="0"/>
        <w:snapToGrid w:val="0"/>
        <w:spacing w:line="360" w:lineRule="auto"/>
        <w:ind w:firstLineChars="0"/>
        <w:rPr>
          <w:color w:val="000000" w:themeColor="text1"/>
          <w:sz w:val="24"/>
          <w:szCs w:val="24"/>
          <w:highlight w:val="none"/>
          <w14:textFill>
            <w14:solidFill>
              <w14:schemeClr w14:val="tx1"/>
            </w14:solidFill>
          </w14:textFill>
        </w:rPr>
      </w:pPr>
      <w:bookmarkStart w:id="126" w:name="_Hlk145584612"/>
      <w:r>
        <w:rPr>
          <w:rFonts w:hint="eastAsia"/>
          <w:color w:val="000000" w:themeColor="text1"/>
          <w:sz w:val="24"/>
          <w:szCs w:val="24"/>
          <w:highlight w:val="none"/>
          <w14:textFill>
            <w14:solidFill>
              <w14:schemeClr w14:val="tx1"/>
            </w14:solidFill>
          </w14:textFill>
        </w:rPr>
        <w:t>承包人（含承包人相关方和承包人为履行本合同所派出之人员）不因本合同与发包人构成代理、劳动或雇佣关系，</w:t>
      </w:r>
      <w:bookmarkEnd w:id="126"/>
      <w:r>
        <w:rPr>
          <w:rFonts w:hint="eastAsia"/>
          <w:color w:val="000000" w:themeColor="text1"/>
          <w:sz w:val="24"/>
          <w:szCs w:val="24"/>
          <w:highlight w:val="none"/>
          <w14:textFill>
            <w14:solidFill>
              <w14:schemeClr w14:val="tx1"/>
            </w14:solidFill>
          </w14:textFill>
        </w:rPr>
        <w:t>承包人提供服务过程中应采取必要的安全生产、保险、环境保护、正面舆情等措施，自行妥善处理与内部员工等其他主体关系，确保不发生违规作业、人身伤亡、财产损失、违法犯罪等负面事件，否则自行承担全部法律责任。承包人指派人员在执行本合同义务或上下班途中发生事故对发包人、第三方造成人身、财产损坏的，或承包人指派人员因自身疾病或其他意外原因造成伤亡的，承包人应及时处理，并承担相应的民事责任，发包人对此不承担责任</w:t>
      </w:r>
      <w:bookmarkStart w:id="127" w:name="_Hlk145584684"/>
      <w:r>
        <w:rPr>
          <w:rFonts w:hint="eastAsia"/>
          <w:color w:val="000000" w:themeColor="text1"/>
          <w:sz w:val="24"/>
          <w:szCs w:val="24"/>
          <w:highlight w:val="none"/>
          <w14:textFill>
            <w14:solidFill>
              <w14:schemeClr w14:val="tx1"/>
            </w14:solidFill>
          </w14:textFill>
        </w:rPr>
        <w:t>；因此导致发包人遭受任何损失的，承包人应承担全部赔偿责任</w:t>
      </w:r>
      <w:bookmarkEnd w:id="127"/>
      <w:r>
        <w:rPr>
          <w:rFonts w:hint="eastAsia"/>
          <w:color w:val="000000" w:themeColor="text1"/>
          <w:sz w:val="24"/>
          <w:szCs w:val="24"/>
          <w:highlight w:val="none"/>
          <w14:textFill>
            <w14:solidFill>
              <w14:schemeClr w14:val="tx1"/>
            </w14:solidFill>
          </w14:textFill>
        </w:rPr>
        <w:t>。承包人撤场时须及时清理场地。</w:t>
      </w:r>
    </w:p>
    <w:p>
      <w:pPr>
        <w:pStyle w:val="50"/>
        <w:numPr>
          <w:ilvl w:val="0"/>
          <w:numId w:val="7"/>
        </w:numPr>
        <w:adjustRightInd w:val="0"/>
        <w:snapToGrid w:val="0"/>
        <w:spacing w:line="360" w:lineRule="auto"/>
        <w:ind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发包人有权了解项目咨询进展情况，并对承包人提供的成果资料组织专家评审，相关评审费用包括在合同金额中，由承包人支付，发包人不另行支付。</w:t>
      </w:r>
    </w:p>
    <w:p>
      <w:pPr>
        <w:pStyle w:val="50"/>
        <w:numPr>
          <w:ilvl w:val="0"/>
          <w:numId w:val="7"/>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按本合同规定的时间和数量向发包人交付成果文件，并对其质量负责。资料装订规格必须符合档案归档规定。</w:t>
      </w:r>
    </w:p>
    <w:p>
      <w:pPr>
        <w:pStyle w:val="50"/>
        <w:numPr>
          <w:ilvl w:val="0"/>
          <w:numId w:val="7"/>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若提供的成果资料质量不符合国家技术规范、标准、规程及</w:t>
      </w:r>
      <w:r>
        <w:rPr>
          <w:color w:val="000000" w:themeColor="text1"/>
          <w:sz w:val="24"/>
          <w:highlight w:val="none"/>
          <w14:textFill>
            <w14:solidFill>
              <w14:schemeClr w14:val="tx1"/>
            </w14:solidFill>
          </w14:textFill>
        </w:rPr>
        <w:t>发包人</w:t>
      </w:r>
      <w:r>
        <w:rPr>
          <w:rFonts w:hint="eastAsia"/>
          <w:color w:val="000000" w:themeColor="text1"/>
          <w:sz w:val="24"/>
          <w:highlight w:val="none"/>
          <w:lang w:val="zh-CN"/>
          <w14:textFill>
            <w14:solidFill>
              <w14:schemeClr w14:val="tx1"/>
            </w14:solidFill>
          </w14:textFill>
        </w:rPr>
        <w:t>的有关要求，</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应负责无偿给予补充完善使其达到质量合格。</w:t>
      </w:r>
    </w:p>
    <w:p>
      <w:pPr>
        <w:pStyle w:val="50"/>
        <w:numPr>
          <w:ilvl w:val="0"/>
          <w:numId w:val="7"/>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承诺遵守发包人制订的关于工程建设管理的各项制度、规定和管理办法等。合同生效后，承包人应履行合同义务及职责，并视为接受及认同发包人制订的关于工程建设管理的各项制度、规定和管理办法，包括但不限于管理制度、工作指引（或作业指导书）、工作流程等。如承包人违反发包人相关制度、规定和管理办法等的，发包人有权依据相关制度、规定和管理办法等要求承包人承担违约责任及赔偿损失。</w:t>
      </w:r>
    </w:p>
    <w:p>
      <w:pPr>
        <w:pStyle w:val="50"/>
        <w:numPr>
          <w:ilvl w:val="0"/>
          <w:numId w:val="7"/>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发包人根据项目服务情况要求约谈承包人法定代表人的，承包人法定代表人应积极配合。</w:t>
      </w:r>
    </w:p>
    <w:p>
      <w:pPr>
        <w:pStyle w:val="50"/>
        <w:numPr>
          <w:ilvl w:val="0"/>
          <w:numId w:val="7"/>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因承包人原因未能有效履行合同约定或未能按发包人要求严格把关、认真履职的，经行政部门发现或提出问题经发包人确认后，发包人有权要求承包人承担相应违约责任，承包人对此无异议。</w:t>
      </w:r>
    </w:p>
    <w:p>
      <w:pPr>
        <w:pStyle w:val="50"/>
        <w:numPr>
          <w:ilvl w:val="0"/>
          <w:numId w:val="7"/>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承包人按发包人要求提供其他相关服务。</w:t>
      </w:r>
    </w:p>
    <w:p>
      <w:pPr>
        <w:pStyle w:val="50"/>
        <w:numPr>
          <w:ilvl w:val="0"/>
          <w:numId w:val="7"/>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本合同有关条款和补充合同中规定承包人应负的其它责任。</w:t>
      </w:r>
    </w:p>
    <w:p>
      <w:pPr>
        <w:pStyle w:val="4"/>
        <w:spacing w:before="240" w:after="120"/>
        <w:rPr>
          <w:color w:val="000000" w:themeColor="text1"/>
          <w:highlight w:val="none"/>
          <w14:textFill>
            <w14:solidFill>
              <w14:schemeClr w14:val="tx1"/>
            </w14:solidFill>
          </w14:textFill>
        </w:rPr>
      </w:pPr>
      <w:bookmarkStart w:id="128" w:name="_Toc1752"/>
      <w:bookmarkStart w:id="129" w:name="_Toc1010"/>
      <w:bookmarkStart w:id="130" w:name="_Toc30170"/>
      <w:bookmarkStart w:id="131" w:name="_Toc11444"/>
      <w:bookmarkStart w:id="132" w:name="_Toc23011"/>
      <w:bookmarkStart w:id="133" w:name="_Toc16508"/>
      <w:bookmarkStart w:id="134" w:name="_Toc3326"/>
      <w:bookmarkStart w:id="135" w:name="_Toc81930167"/>
      <w:bookmarkStart w:id="136" w:name="_Toc13852"/>
      <w:bookmarkStart w:id="137" w:name="_Toc8083"/>
      <w:bookmarkStart w:id="138" w:name="_Toc29545"/>
      <w:bookmarkStart w:id="139" w:name="_Toc9864"/>
      <w:bookmarkStart w:id="140" w:name="_Toc112071513"/>
      <w:bookmarkStart w:id="141" w:name="_Toc2498"/>
      <w:bookmarkStart w:id="142" w:name="_Toc3694"/>
      <w:bookmarkStart w:id="143" w:name="_Toc13543"/>
      <w:bookmarkStart w:id="144" w:name="_Toc149656770"/>
      <w:r>
        <w:rPr>
          <w:rFonts w:hint="eastAsia"/>
          <w:color w:val="000000" w:themeColor="text1"/>
          <w:highlight w:val="none"/>
          <w14:textFill>
            <w14:solidFill>
              <w14:schemeClr w14:val="tx1"/>
            </w14:solidFill>
          </w14:textFill>
        </w:rPr>
        <w:t>第六条 违约</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hint="eastAsia"/>
          <w:color w:val="000000" w:themeColor="text1"/>
          <w:highlight w:val="none"/>
          <w14:textFill>
            <w14:solidFill>
              <w14:schemeClr w14:val="tx1"/>
            </w14:solidFill>
          </w14:textFill>
        </w:rPr>
        <w:t>责任</w:t>
      </w:r>
      <w:bookmarkEnd w:id="144"/>
    </w:p>
    <w:p>
      <w:pPr>
        <w:pStyle w:val="50"/>
        <w:numPr>
          <w:ilvl w:val="0"/>
          <w:numId w:val="9"/>
        </w:numPr>
        <w:adjustRightInd w:val="0"/>
        <w:snapToGrid w:val="0"/>
        <w:spacing w:line="360" w:lineRule="auto"/>
        <w:ind w:firstLine="48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本合同生效后，发包人提前终止或解除合同，且承包人未实际开展服务工作的，则承包人无权收取任何费用，如已收取则应全额退还；承包人已开始服务工作的，发包人应根据经审核之实际工作量支付服务费用。</w:t>
      </w:r>
    </w:p>
    <w:p>
      <w:pPr>
        <w:pStyle w:val="50"/>
        <w:numPr>
          <w:ilvl w:val="0"/>
          <w:numId w:val="9"/>
        </w:numPr>
        <w:adjustRightInd w:val="0"/>
        <w:snapToGrid w:val="0"/>
        <w:spacing w:line="360" w:lineRule="auto"/>
        <w:ind w:firstLine="48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若发包人未按合同约定及时提供承包人开展编制工作所需要准确有效的技术资料、基础资料等相关资料，或者由于发包人变更计划，致使承包人不能按本合同约定时间完成造价咨询工作的，发包人应按承包人的实际情况顺延时间</w:t>
      </w:r>
      <w:r>
        <w:rPr>
          <w:rFonts w:hint="eastAsia"/>
          <w:color w:val="000000" w:themeColor="text1"/>
          <w:sz w:val="24"/>
          <w:highlight w:val="none"/>
          <w:lang w:val="zh-CN"/>
          <w14:textFill>
            <w14:solidFill>
              <w14:schemeClr w14:val="tx1"/>
            </w14:solidFill>
          </w14:textFill>
        </w:rPr>
        <w:t>，但本合同另有约定的除外</w:t>
      </w:r>
      <w:r>
        <w:rPr>
          <w:rFonts w:hint="eastAsia"/>
          <w:color w:val="000000" w:themeColor="text1"/>
          <w:sz w:val="24"/>
          <w:highlight w:val="none"/>
          <w:lang w:val="zh-CN"/>
          <w14:textFill>
            <w14:solidFill>
              <w14:schemeClr w14:val="tx1"/>
            </w14:solidFill>
          </w14:textFill>
        </w:rPr>
        <w:t>。</w:t>
      </w:r>
    </w:p>
    <w:p>
      <w:pPr>
        <w:pStyle w:val="50"/>
        <w:numPr>
          <w:ilvl w:val="0"/>
          <w:numId w:val="9"/>
        </w:numPr>
        <w:adjustRightInd w:val="0"/>
        <w:snapToGrid w:val="0"/>
        <w:spacing w:line="360" w:lineRule="auto"/>
        <w:ind w:firstLine="480" w:firstLineChars="0"/>
        <w:rPr>
          <w:color w:val="000000" w:themeColor="text1"/>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应采用一切合理有效措施保证造价编审的真实性、准确性、合法性、有效性、全面性，如出现编审质量问题，正式成果文件的偏差率或核减率超过一定范围时需承相应违约责任，具体违约责任约定详见合同附件6。</w:t>
      </w:r>
    </w:p>
    <w:p>
      <w:pPr>
        <w:pStyle w:val="50"/>
        <w:numPr>
          <w:ilvl w:val="0"/>
          <w:numId w:val="9"/>
        </w:numPr>
        <w:adjustRightInd w:val="0"/>
        <w:snapToGrid w:val="0"/>
        <w:spacing w:line="360" w:lineRule="auto"/>
        <w:ind w:firstLine="480" w:firstLineChars="0"/>
        <w:rPr>
          <w:color w:val="000000" w:themeColor="text1"/>
          <w:sz w:val="24"/>
          <w:highlight w:val="none"/>
          <w:lang w:val="zh-CN"/>
          <w14:textFill>
            <w14:solidFill>
              <w14:schemeClr w14:val="tx1"/>
            </w14:solidFill>
          </w14:textFill>
        </w:rPr>
      </w:pP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应按合同要求提供质量合格、符合国家规范要求的成果文件，并对成果文件负责。如需返工，</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必须在</w:t>
      </w:r>
      <w:r>
        <w:rPr>
          <w:color w:val="000000" w:themeColor="text1"/>
          <w:sz w:val="24"/>
          <w:highlight w:val="none"/>
          <w14:textFill>
            <w14:solidFill>
              <w14:schemeClr w14:val="tx1"/>
            </w14:solidFill>
          </w14:textFill>
        </w:rPr>
        <w:t>发包人</w:t>
      </w:r>
      <w:r>
        <w:rPr>
          <w:rFonts w:hint="eastAsia"/>
          <w:color w:val="000000" w:themeColor="text1"/>
          <w:sz w:val="24"/>
          <w:highlight w:val="none"/>
          <w:lang w:val="zh-CN"/>
          <w14:textFill>
            <w14:solidFill>
              <w14:schemeClr w14:val="tx1"/>
            </w14:solidFill>
          </w14:textFill>
        </w:rPr>
        <w:t>要求的时间内无偿返工，并符合约定条件；因此导致承包人未能按照本合同约定的时间交付成果文件的，视为承包人违约，并且承包人应当按照本合同约定承担相应的违约责任。</w:t>
      </w:r>
    </w:p>
    <w:p>
      <w:pPr>
        <w:pStyle w:val="50"/>
        <w:numPr>
          <w:ilvl w:val="0"/>
          <w:numId w:val="9"/>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由于承包人原因，承包人未能按合同约定的时间或发包人的要求完成造价咨询工作，发包人将书面告知限期整改；承包人未在期限内改正的，每逾期</w:t>
      </w:r>
      <w:r>
        <w:rPr>
          <w:color w:val="000000" w:themeColor="text1"/>
          <w:sz w:val="24"/>
          <w:highlight w:val="none"/>
          <w:u w:val="single"/>
          <w:lang w:val="zh-CN"/>
          <w14:textFill>
            <w14:solidFill>
              <w14:schemeClr w14:val="tx1"/>
            </w14:solidFill>
          </w14:textFill>
        </w:rPr>
        <w:t>3</w:t>
      </w:r>
      <w:r>
        <w:rPr>
          <w:rFonts w:hint="eastAsia"/>
          <w:color w:val="000000" w:themeColor="text1"/>
          <w:sz w:val="24"/>
          <w:highlight w:val="none"/>
          <w:u w:val="single"/>
          <w:lang w:val="zh-CN"/>
          <w14:textFill>
            <w14:solidFill>
              <w14:schemeClr w14:val="tx1"/>
            </w14:solidFill>
          </w14:textFill>
        </w:rPr>
        <w:t>日</w:t>
      </w:r>
      <w:r>
        <w:rPr>
          <w:rFonts w:hint="eastAsia"/>
          <w:color w:val="000000" w:themeColor="text1"/>
          <w:sz w:val="24"/>
          <w:highlight w:val="none"/>
          <w:lang w:val="zh-CN"/>
          <w14:textFill>
            <w14:solidFill>
              <w14:schemeClr w14:val="tx1"/>
            </w14:solidFill>
          </w14:textFill>
        </w:rPr>
        <w:t>，应按合同暂定总额的</w:t>
      </w:r>
      <w:r>
        <w:rPr>
          <w:rFonts w:hint="eastAsia"/>
          <w:color w:val="000000" w:themeColor="text1"/>
          <w:sz w:val="24"/>
          <w:highlight w:val="none"/>
          <w:u w:val="single"/>
          <w:lang w:val="zh-CN"/>
          <w14:textFill>
            <w14:solidFill>
              <w14:schemeClr w14:val="tx1"/>
            </w14:solidFill>
          </w14:textFill>
        </w:rPr>
        <w:t>2‰</w:t>
      </w:r>
      <w:r>
        <w:rPr>
          <w:rFonts w:hint="eastAsia"/>
          <w:color w:val="000000" w:themeColor="text1"/>
          <w:sz w:val="24"/>
          <w:highlight w:val="none"/>
          <w:lang w:val="zh-CN"/>
          <w14:textFill>
            <w14:solidFill>
              <w14:schemeClr w14:val="tx1"/>
            </w14:solidFill>
          </w14:textFill>
        </w:rPr>
        <w:t>向</w:t>
      </w:r>
      <w:r>
        <w:rPr>
          <w:color w:val="000000" w:themeColor="text1"/>
          <w:sz w:val="24"/>
          <w:highlight w:val="none"/>
          <w14:textFill>
            <w14:solidFill>
              <w14:schemeClr w14:val="tx1"/>
            </w14:solidFill>
          </w14:textFill>
        </w:rPr>
        <w:t>发包人</w:t>
      </w:r>
      <w:r>
        <w:rPr>
          <w:rFonts w:hint="eastAsia"/>
          <w:color w:val="000000" w:themeColor="text1"/>
          <w:sz w:val="24"/>
          <w:highlight w:val="none"/>
          <w:lang w:val="zh-CN"/>
          <w14:textFill>
            <w14:solidFill>
              <w14:schemeClr w14:val="tx1"/>
            </w14:solidFill>
          </w14:textFill>
        </w:rPr>
        <w:t>支付违约金；由于承包人不配合、不整改或屡次整改不到位等违约行为影响项目推进的，发包人视其严重程度有权保留进一步追究承包人违约责任的权利。如承包人实际工作人员在审核（编制）概算、预算、招标限价、工程进度款、工程变更、结算等阶段能力不足或工作中出现重大错漏，发包人有权扣减且不予支付相应的咨询费，并将该阶段审核（编制）任务另行委托有资质的社会机构承担，相关费用全部由承包人承担，承包人对此完全清楚知悉且没有异议。</w:t>
      </w:r>
    </w:p>
    <w:p>
      <w:pPr>
        <w:pStyle w:val="50"/>
        <w:numPr>
          <w:ilvl w:val="0"/>
          <w:numId w:val="9"/>
        </w:numPr>
        <w:adjustRightInd w:val="0"/>
        <w:snapToGrid w:val="0"/>
        <w:spacing w:line="360" w:lineRule="auto"/>
        <w:ind w:firstLine="48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应当对造价咨询成果质量负相应的咨询责任，但不代替设计单位承担设计质量责任。对玩忽职守、徇私舞弊、贪污受贿的咨询人员和机构，由建设行政主管部门依法给予暂停或者吊销其咨询审查资格，并处以相应的经济处罚；同时造成发包人损失的，由承包人承担赔偿责任。构成犯罪的，依法追究其刑事责任。</w:t>
      </w:r>
    </w:p>
    <w:p>
      <w:pPr>
        <w:pStyle w:val="50"/>
        <w:numPr>
          <w:ilvl w:val="0"/>
          <w:numId w:val="9"/>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在履行合同过程中，对发包人提供的一切资料严格保密、妥善保管，不得对发包人的资料及文件用于本合同外的其它用途，不得外泄或丢失，非经发包人书面同意，不得变动任何材料信息。否则，承包人需向发包人支付合同暂定总额20%的违约金并按照发包人要求进行整改。</w:t>
      </w:r>
    </w:p>
    <w:p>
      <w:pPr>
        <w:pStyle w:val="50"/>
        <w:numPr>
          <w:ilvl w:val="0"/>
          <w:numId w:val="9"/>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承包人未按合同约定全面履行的，发包人有权书面要求其进行整改，且承包人应按合同暂定总额的</w:t>
      </w:r>
      <w:r>
        <w:rPr>
          <w:rFonts w:hint="eastAsia"/>
          <w:color w:val="000000" w:themeColor="text1"/>
          <w:sz w:val="24"/>
          <w:highlight w:val="none"/>
          <w:u w:val="single"/>
          <w:lang w:val="zh-CN"/>
          <w14:textFill>
            <w14:solidFill>
              <w14:schemeClr w14:val="tx1"/>
            </w14:solidFill>
          </w14:textFill>
        </w:rPr>
        <w:t>2‰/次</w:t>
      </w:r>
      <w:r>
        <w:rPr>
          <w:rFonts w:hint="eastAsia"/>
          <w:color w:val="000000" w:themeColor="text1"/>
          <w:sz w:val="24"/>
          <w:highlight w:val="none"/>
          <w:lang w:val="zh-CN"/>
          <w14:textFill>
            <w14:solidFill>
              <w14:schemeClr w14:val="tx1"/>
            </w14:solidFill>
          </w14:textFill>
        </w:rPr>
        <w:t>向守约方支付违约金。合同对具体违约行为另有约定的，从其约定。</w:t>
      </w:r>
    </w:p>
    <w:p>
      <w:pPr>
        <w:pStyle w:val="50"/>
        <w:numPr>
          <w:ilvl w:val="0"/>
          <w:numId w:val="9"/>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合同履行过程中，发包人有权随时发函约见承包人的法定代表人，承包人的法定代表人无正当理由拒绝约见的，每次承包人应按本合同约定工作报酬总额的5%向发包人支付违约金。承包人的法定代表人无正当理由拒绝约见累计3次及以上的，发包人有权单方解除合同，将本工程另行发包，并不免除承包人的违约赔偿责任，发包人有权书面通知承包人或者在相关网站上公示并抄送行政监督部门，拒绝承包人参与以后发包人所负责的工程系统内投标资格。</w:t>
      </w:r>
    </w:p>
    <w:p>
      <w:pPr>
        <w:pStyle w:val="50"/>
        <w:numPr>
          <w:ilvl w:val="0"/>
          <w:numId w:val="9"/>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若项目造价咨询过程中承包人达不到发包人的要求，发包人有权随时要求承包人撤换工作不力及不合格的项目负责人和专业技术人员，并有权要求承包人每人每次支付本合同暂定价的5%作为违约金。若承包人经更换人员三次或三次以上仍未达到发包人要求的，发包人有权单方解除本合同，并不须向承包人支付任何费用，发包人有权书面通知承包人或者在相关网站上公示并抄送行政监督部门，拒绝承包人参与以后发包人所负责的工程系统内投标资格。</w:t>
      </w:r>
    </w:p>
    <w:p>
      <w:pPr>
        <w:pStyle w:val="50"/>
        <w:numPr>
          <w:ilvl w:val="0"/>
          <w:numId w:val="9"/>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违法转包或分包工程造价咨询任务，发包人有权立即解除合同，承包人应返还已收取的全部造价咨询费，且发包人有权暂停或取消承包人一段时间内参与由发包人负责组织实施项目的投标资格。因承包人转包工程或者违法分包工程给发包人造成损失的，发包人有权要求承包人赔偿全部损失。本合同针对该种违约情形约定其他违约责任的，应当一并适用。</w:t>
      </w:r>
    </w:p>
    <w:p>
      <w:pPr>
        <w:pStyle w:val="50"/>
        <w:numPr>
          <w:ilvl w:val="0"/>
          <w:numId w:val="9"/>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本合同履行期间，因承包人原因造成合同提前终止或解除的，承包人除退还发包人已付的全部款项外，还应向发包人支付合同暂定总额20%的违约金。</w:t>
      </w:r>
    </w:p>
    <w:p>
      <w:pPr>
        <w:pStyle w:val="50"/>
        <w:numPr>
          <w:ilvl w:val="0"/>
          <w:numId w:val="9"/>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如因政策调整或政府部门工作部署调整，导致本项目建设主体发生变化时，发包人不再负责本项目建设时，发包人有权单方面解除本合同或通过主体变更协议形式由新的项目建设主体继承发包人在本合同的所有权利义务，承包人需无条件接受，发包人无须给予承包人任何补偿或赔偿。</w:t>
      </w:r>
    </w:p>
    <w:p>
      <w:pPr>
        <w:pStyle w:val="50"/>
        <w:numPr>
          <w:ilvl w:val="0"/>
          <w:numId w:val="9"/>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如承包人有以下行为之一的，发包人有权立即单方面解除本合同，承包人应向发包人按合同暂定总额20%支付违约金，在收到解除通知之日起15日内退还发包人已支付的全部款项：</w:t>
      </w:r>
    </w:p>
    <w:p>
      <w:pPr>
        <w:pStyle w:val="50"/>
        <w:numPr>
          <w:ilvl w:val="0"/>
          <w:numId w:val="10"/>
        </w:numPr>
        <w:adjustRightInd w:val="0"/>
        <w:snapToGrid w:val="0"/>
        <w:spacing w:line="360" w:lineRule="auto"/>
        <w:ind w:firstLineChars="0"/>
        <w:rPr>
          <w:color w:val="000000" w:themeColor="text1"/>
          <w:sz w:val="24"/>
          <w:highlight w:val="none"/>
          <w:lang w:eastAsia="zh-Hans"/>
          <w14:textFill>
            <w14:solidFill>
              <w14:schemeClr w14:val="tx1"/>
            </w14:solidFill>
          </w14:textFill>
        </w:rPr>
      </w:pPr>
      <w:r>
        <w:rPr>
          <w:rFonts w:hint="eastAsia"/>
          <w:color w:val="000000" w:themeColor="text1"/>
          <w:sz w:val="24"/>
          <w:highlight w:val="none"/>
          <w:lang w:eastAsia="zh-Hans"/>
          <w14:textFill>
            <w14:solidFill>
              <w14:schemeClr w14:val="tx1"/>
            </w14:solidFill>
          </w14:textFill>
        </w:rPr>
        <w:t>承包人将本合同的全部或擅自将本合同部分分包给第三方，或让第三方借用其资质实际承担本合同的工作；</w:t>
      </w:r>
    </w:p>
    <w:p>
      <w:pPr>
        <w:pStyle w:val="50"/>
        <w:numPr>
          <w:ilvl w:val="0"/>
          <w:numId w:val="10"/>
        </w:numPr>
        <w:adjustRightInd w:val="0"/>
        <w:snapToGrid w:val="0"/>
        <w:spacing w:line="360" w:lineRule="auto"/>
        <w:ind w:firstLineChars="0"/>
        <w:rPr>
          <w:color w:val="000000" w:themeColor="text1"/>
          <w:sz w:val="24"/>
          <w:highlight w:val="none"/>
          <w:lang w:eastAsia="zh-Hans"/>
          <w14:textFill>
            <w14:solidFill>
              <w14:schemeClr w14:val="tx1"/>
            </w14:solidFill>
          </w14:textFill>
        </w:rPr>
      </w:pPr>
      <w:r>
        <w:rPr>
          <w:rFonts w:hint="eastAsia"/>
          <w:color w:val="000000" w:themeColor="text1"/>
          <w:sz w:val="24"/>
          <w:highlight w:val="none"/>
          <w:lang w:eastAsia="zh-Hans"/>
          <w14:textFill>
            <w14:solidFill>
              <w14:schemeClr w14:val="tx1"/>
            </w14:solidFill>
          </w14:textFill>
        </w:rPr>
        <w:t>承包人提供伪造、变造工作成果或资料文件的；</w:t>
      </w:r>
    </w:p>
    <w:p>
      <w:pPr>
        <w:pStyle w:val="50"/>
        <w:numPr>
          <w:ilvl w:val="0"/>
          <w:numId w:val="10"/>
        </w:numPr>
        <w:adjustRightInd w:val="0"/>
        <w:snapToGrid w:val="0"/>
        <w:spacing w:line="360" w:lineRule="auto"/>
        <w:ind w:firstLineChars="0"/>
        <w:rPr>
          <w:color w:val="000000" w:themeColor="text1"/>
          <w:sz w:val="24"/>
          <w:highlight w:val="none"/>
          <w:lang w:eastAsia="zh-Hans"/>
          <w14:textFill>
            <w14:solidFill>
              <w14:schemeClr w14:val="tx1"/>
            </w14:solidFill>
          </w14:textFill>
        </w:rPr>
      </w:pPr>
      <w:r>
        <w:rPr>
          <w:rFonts w:hint="eastAsia"/>
          <w:color w:val="000000" w:themeColor="text1"/>
          <w:sz w:val="24"/>
          <w:highlight w:val="none"/>
          <w:lang w:eastAsia="zh-Hans"/>
          <w14:textFill>
            <w14:solidFill>
              <w14:schemeClr w14:val="tx1"/>
            </w14:solidFill>
          </w14:textFill>
        </w:rPr>
        <w:t>承包人不具备履行本合同约定事项的相关资质，或在合同存续期间存在缺少相关资质的情况；</w:t>
      </w:r>
    </w:p>
    <w:p>
      <w:pPr>
        <w:pStyle w:val="50"/>
        <w:numPr>
          <w:ilvl w:val="0"/>
          <w:numId w:val="10"/>
        </w:numPr>
        <w:adjustRightInd w:val="0"/>
        <w:snapToGrid w:val="0"/>
        <w:spacing w:line="360" w:lineRule="auto"/>
        <w:ind w:firstLineChars="0"/>
        <w:rPr>
          <w:color w:val="000000" w:themeColor="text1"/>
          <w:sz w:val="24"/>
          <w:highlight w:val="none"/>
          <w:lang w:eastAsia="zh-Hans"/>
          <w14:textFill>
            <w14:solidFill>
              <w14:schemeClr w14:val="tx1"/>
            </w14:solidFill>
          </w14:textFill>
        </w:rPr>
      </w:pPr>
      <w:r>
        <w:rPr>
          <w:rFonts w:hint="eastAsia"/>
          <w:color w:val="000000" w:themeColor="text1"/>
          <w:sz w:val="24"/>
          <w:highlight w:val="none"/>
          <w:lang w:eastAsia="zh-Hans"/>
          <w14:textFill>
            <w14:solidFill>
              <w14:schemeClr w14:val="tx1"/>
            </w14:solidFill>
          </w14:textFill>
        </w:rPr>
        <w:t>承包人不按合同约定全面履行的，发包人要求承包人整改，承包人拒绝整改或整改仍未达到发包人要求的；</w:t>
      </w:r>
    </w:p>
    <w:p>
      <w:pPr>
        <w:pStyle w:val="50"/>
        <w:numPr>
          <w:ilvl w:val="0"/>
          <w:numId w:val="10"/>
        </w:numPr>
        <w:adjustRightInd w:val="0"/>
        <w:snapToGrid w:val="0"/>
        <w:spacing w:line="360" w:lineRule="auto"/>
        <w:ind w:firstLineChars="0"/>
        <w:rPr>
          <w:color w:val="000000" w:themeColor="text1"/>
          <w:sz w:val="24"/>
          <w:highlight w:val="none"/>
          <w:lang w:eastAsia="zh-Hans"/>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承包人法定代表人无正当理由拒绝约谈累计3次及以上；</w:t>
      </w:r>
    </w:p>
    <w:p>
      <w:pPr>
        <w:pStyle w:val="50"/>
        <w:numPr>
          <w:ilvl w:val="0"/>
          <w:numId w:val="10"/>
        </w:numPr>
        <w:adjustRightInd w:val="0"/>
        <w:snapToGrid w:val="0"/>
        <w:spacing w:line="360" w:lineRule="auto"/>
        <w:ind w:firstLineChars="0"/>
        <w:rPr>
          <w:color w:val="000000" w:themeColor="text1"/>
          <w:sz w:val="24"/>
          <w:highlight w:val="none"/>
          <w:lang w:eastAsia="zh-Hans"/>
          <w14:textFill>
            <w14:solidFill>
              <w14:schemeClr w14:val="tx1"/>
            </w14:solidFill>
          </w14:textFill>
        </w:rPr>
      </w:pPr>
      <w:r>
        <w:rPr>
          <w:rFonts w:hint="eastAsia"/>
          <w:color w:val="000000" w:themeColor="text1"/>
          <w:sz w:val="24"/>
          <w:highlight w:val="none"/>
          <w:lang w:eastAsia="zh-Hans"/>
          <w14:textFill>
            <w14:solidFill>
              <w14:schemeClr w14:val="tx1"/>
            </w14:solidFill>
          </w14:textFill>
        </w:rPr>
        <w:t>未按合同要求承包人义务完成造价咨询工作，且逾期满</w:t>
      </w:r>
      <w:r>
        <w:rPr>
          <w:rFonts w:hint="eastAsia"/>
          <w:color w:val="000000" w:themeColor="text1"/>
          <w:sz w:val="24"/>
          <w:highlight w:val="none"/>
          <w:u w:val="single"/>
          <w:lang w:eastAsia="zh-Hans"/>
          <w14:textFill>
            <w14:solidFill>
              <w14:schemeClr w14:val="tx1"/>
            </w14:solidFill>
          </w14:textFill>
        </w:rPr>
        <w:t>15个日历天</w:t>
      </w:r>
      <w:r>
        <w:rPr>
          <w:rFonts w:hint="eastAsia"/>
          <w:color w:val="000000" w:themeColor="text1"/>
          <w:sz w:val="24"/>
          <w:highlight w:val="none"/>
          <w:lang w:eastAsia="zh-Hans"/>
          <w14:textFill>
            <w14:solidFill>
              <w14:schemeClr w14:val="tx1"/>
            </w14:solidFill>
          </w14:textFill>
        </w:rPr>
        <w:t>或是承包人实际工作进度滞后合同规定进度要求的</w:t>
      </w:r>
      <w:r>
        <w:rPr>
          <w:rFonts w:hint="eastAsia"/>
          <w:color w:val="000000" w:themeColor="text1"/>
          <w:sz w:val="24"/>
          <w:highlight w:val="none"/>
          <w:u w:val="single"/>
          <w:lang w:eastAsia="zh-Hans"/>
          <w14:textFill>
            <w14:solidFill>
              <w14:schemeClr w14:val="tx1"/>
            </w14:solidFill>
          </w14:textFill>
        </w:rPr>
        <w:t>50%</w:t>
      </w:r>
      <w:r>
        <w:rPr>
          <w:rFonts w:hint="eastAsia"/>
          <w:color w:val="000000" w:themeColor="text1"/>
          <w:sz w:val="24"/>
          <w:highlight w:val="none"/>
          <w:lang w:eastAsia="zh-Hans"/>
          <w14:textFill>
            <w14:solidFill>
              <w14:schemeClr w14:val="tx1"/>
            </w14:solidFill>
          </w14:textFill>
        </w:rPr>
        <w:t>时；</w:t>
      </w:r>
    </w:p>
    <w:p>
      <w:pPr>
        <w:pStyle w:val="50"/>
        <w:numPr>
          <w:ilvl w:val="0"/>
          <w:numId w:val="10"/>
        </w:numPr>
        <w:adjustRightInd w:val="0"/>
        <w:snapToGrid w:val="0"/>
        <w:spacing w:line="360" w:lineRule="auto"/>
        <w:ind w:firstLineChars="0"/>
        <w:rPr>
          <w:color w:val="000000" w:themeColor="text1"/>
          <w:sz w:val="24"/>
          <w:highlight w:val="none"/>
          <w:lang w:eastAsia="zh-Hans"/>
          <w14:textFill>
            <w14:solidFill>
              <w14:schemeClr w14:val="tx1"/>
            </w14:solidFill>
          </w14:textFill>
        </w:rPr>
      </w:pPr>
      <w:r>
        <w:rPr>
          <w:rFonts w:hint="eastAsia"/>
          <w:color w:val="000000" w:themeColor="text1"/>
          <w:sz w:val="24"/>
          <w:highlight w:val="none"/>
          <w:lang w:eastAsia="zh-Hans"/>
          <w14:textFill>
            <w14:solidFill>
              <w14:schemeClr w14:val="tx1"/>
            </w14:solidFill>
          </w14:textFill>
        </w:rPr>
        <w:t>承包人提交成果未能通过相关行政部门审批（如需）；</w:t>
      </w:r>
    </w:p>
    <w:p>
      <w:pPr>
        <w:pStyle w:val="50"/>
        <w:numPr>
          <w:ilvl w:val="0"/>
          <w:numId w:val="10"/>
        </w:numPr>
        <w:adjustRightInd w:val="0"/>
        <w:snapToGrid w:val="0"/>
        <w:spacing w:line="360" w:lineRule="auto"/>
        <w:ind w:firstLineChars="0"/>
        <w:rPr>
          <w:color w:val="000000" w:themeColor="text1"/>
          <w:sz w:val="24"/>
          <w:highlight w:val="none"/>
          <w:lang w:eastAsia="zh-Hans"/>
          <w14:textFill>
            <w14:solidFill>
              <w14:schemeClr w14:val="tx1"/>
            </w14:solidFill>
          </w14:textFill>
        </w:rPr>
      </w:pPr>
      <w:r>
        <w:rPr>
          <w:rFonts w:hint="eastAsia"/>
          <w:color w:val="000000" w:themeColor="text1"/>
          <w:sz w:val="24"/>
          <w:highlight w:val="none"/>
          <w:lang w:val="zh-CN"/>
          <w14:textFill>
            <w14:solidFill>
              <w14:schemeClr w14:val="tx1"/>
            </w14:solidFill>
          </w14:textFill>
        </w:rPr>
        <w:t>利用其造价咨询的身份进行不正当活动；</w:t>
      </w:r>
    </w:p>
    <w:p>
      <w:pPr>
        <w:pStyle w:val="50"/>
        <w:numPr>
          <w:ilvl w:val="0"/>
          <w:numId w:val="10"/>
        </w:numPr>
        <w:adjustRightInd w:val="0"/>
        <w:snapToGrid w:val="0"/>
        <w:spacing w:line="360" w:lineRule="auto"/>
        <w:ind w:firstLineChars="0"/>
        <w:rPr>
          <w:color w:val="000000" w:themeColor="text1"/>
          <w:sz w:val="24"/>
          <w:highlight w:val="none"/>
          <w:lang w:eastAsia="zh-Hans"/>
          <w14:textFill>
            <w14:solidFill>
              <w14:schemeClr w14:val="tx1"/>
            </w14:solidFill>
          </w14:textFill>
        </w:rPr>
      </w:pPr>
      <w:r>
        <w:rPr>
          <w:rFonts w:hint="eastAsia"/>
          <w:color w:val="000000" w:themeColor="text1"/>
          <w:sz w:val="24"/>
          <w:highlight w:val="none"/>
          <w:lang w:eastAsia="zh-Hans"/>
          <w14:textFill>
            <w14:solidFill>
              <w14:schemeClr w14:val="tx1"/>
            </w14:solidFill>
          </w14:textFill>
        </w:rPr>
        <w:t>对发包人及财政评审相关部门所提出的问题不能及时核对或答复，导致合同不能全部或部分履行；</w:t>
      </w:r>
    </w:p>
    <w:p>
      <w:pPr>
        <w:pStyle w:val="50"/>
        <w:numPr>
          <w:ilvl w:val="0"/>
          <w:numId w:val="10"/>
        </w:numPr>
        <w:adjustRightInd w:val="0"/>
        <w:snapToGrid w:val="0"/>
        <w:spacing w:line="360" w:lineRule="auto"/>
        <w:ind w:firstLineChars="0"/>
        <w:rPr>
          <w:color w:val="000000" w:themeColor="text1"/>
          <w:sz w:val="24"/>
          <w:highlight w:val="none"/>
          <w:lang w:eastAsia="zh-Hans"/>
          <w14:textFill>
            <w14:solidFill>
              <w14:schemeClr w14:val="tx1"/>
            </w14:solidFill>
          </w14:textFill>
        </w:rPr>
      </w:pPr>
      <w:r>
        <w:rPr>
          <w:rFonts w:hint="eastAsia"/>
          <w:color w:val="000000" w:themeColor="text1"/>
          <w:sz w:val="24"/>
          <w:highlight w:val="none"/>
          <w:lang w:eastAsia="zh-Hans"/>
          <w14:textFill>
            <w14:solidFill>
              <w14:schemeClr w14:val="tx1"/>
            </w14:solidFill>
          </w14:textFill>
        </w:rPr>
        <w:t>承包人或其指派人员玩忽职守、徇私舞弊、贪污受贿的；</w:t>
      </w:r>
    </w:p>
    <w:p>
      <w:pPr>
        <w:pStyle w:val="50"/>
        <w:numPr>
          <w:ilvl w:val="0"/>
          <w:numId w:val="10"/>
        </w:numPr>
        <w:adjustRightInd w:val="0"/>
        <w:snapToGrid w:val="0"/>
        <w:spacing w:line="360" w:lineRule="auto"/>
        <w:ind w:firstLineChars="0"/>
        <w:rPr>
          <w:color w:val="000000" w:themeColor="text1"/>
          <w:sz w:val="24"/>
          <w:highlight w:val="none"/>
          <w:lang w:eastAsia="zh-Hans"/>
          <w14:textFill>
            <w14:solidFill>
              <w14:schemeClr w14:val="tx1"/>
            </w14:solidFill>
          </w14:textFill>
        </w:rPr>
      </w:pPr>
      <w:r>
        <w:rPr>
          <w:rFonts w:hint="eastAsia"/>
          <w:color w:val="000000" w:themeColor="text1"/>
          <w:sz w:val="24"/>
          <w:highlight w:val="none"/>
          <w:lang w:eastAsia="zh-Hans"/>
          <w14:textFill>
            <w14:solidFill>
              <w14:schemeClr w14:val="tx1"/>
            </w14:solidFill>
          </w14:textFill>
        </w:rPr>
        <w:t>违反本合同约定的保密及知识产权归属条款约定，未经发包人事先书面同意，泄露发包人秘密或将发包人提供的资料与本合同项下工作成果用于本项目以外的其他用途的；</w:t>
      </w:r>
    </w:p>
    <w:p>
      <w:pPr>
        <w:pStyle w:val="50"/>
        <w:numPr>
          <w:ilvl w:val="0"/>
          <w:numId w:val="10"/>
        </w:numPr>
        <w:adjustRightInd w:val="0"/>
        <w:snapToGrid w:val="0"/>
        <w:spacing w:line="360" w:lineRule="auto"/>
        <w:ind w:firstLineChars="0"/>
        <w:rPr>
          <w:color w:val="000000" w:themeColor="text1"/>
          <w:sz w:val="24"/>
          <w:highlight w:val="none"/>
          <w:lang w:eastAsia="zh-Hans"/>
          <w14:textFill>
            <w14:solidFill>
              <w14:schemeClr w14:val="tx1"/>
            </w14:solidFill>
          </w14:textFill>
        </w:rPr>
      </w:pPr>
      <w:r>
        <w:rPr>
          <w:rFonts w:hint="eastAsia"/>
          <w:color w:val="000000" w:themeColor="text1"/>
          <w:sz w:val="24"/>
          <w:highlight w:val="none"/>
          <w:lang w:eastAsia="zh-Hans"/>
          <w14:textFill>
            <w14:solidFill>
              <w14:schemeClr w14:val="tx1"/>
            </w14:solidFill>
          </w14:textFill>
        </w:rPr>
        <w:t>其它违反法律法规、部门规章、行业性规范规定的行为。</w:t>
      </w:r>
    </w:p>
    <w:p>
      <w:pPr>
        <w:pStyle w:val="50"/>
        <w:numPr>
          <w:ilvl w:val="0"/>
          <w:numId w:val="9"/>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发包人向承包人发出解除或部分解除合同的通知后，合同解除或部分解除即生效，承包人必须在3日内停止被解除部分的工作，5日内配合发包人完成工作和有关资料的移交，所交接资料必须完整</w:t>
      </w:r>
      <w:r>
        <w:rPr>
          <w:rFonts w:hint="eastAsia"/>
          <w:color w:val="000000" w:themeColor="text1"/>
          <w:sz w:val="24"/>
          <w:highlight w:val="none"/>
          <w:lang w:val="zh-CN"/>
          <w14:textFill>
            <w14:solidFill>
              <w14:schemeClr w14:val="tx1"/>
            </w14:solidFill>
          </w14:textFill>
        </w:rPr>
        <w:t>且不存在遗漏</w:t>
      </w:r>
      <w:r>
        <w:rPr>
          <w:rFonts w:hint="eastAsia"/>
          <w:color w:val="000000" w:themeColor="text1"/>
          <w:sz w:val="24"/>
          <w:highlight w:val="none"/>
          <w:lang w:val="zh-CN"/>
          <w14:textFill>
            <w14:solidFill>
              <w14:schemeClr w14:val="tx1"/>
            </w14:solidFill>
          </w14:textFill>
        </w:rPr>
        <w:t>。承包人无特殊原因未在规定期限内完成移交和撤出，或交接资料不完整的，发包人有权处理其留在现场的材料、设备和其他物件</w:t>
      </w:r>
      <w:r>
        <w:rPr>
          <w:rFonts w:hint="eastAsia"/>
          <w:color w:val="000000" w:themeColor="text1"/>
          <w:sz w:val="24"/>
          <w:highlight w:val="none"/>
          <w:lang w:val="zh-CN"/>
          <w14:textFill>
            <w14:solidFill>
              <w14:schemeClr w14:val="tx1"/>
            </w14:solidFill>
          </w14:textFill>
        </w:rPr>
        <w:t>而无需提前通知承包人</w:t>
      </w:r>
      <w:r>
        <w:rPr>
          <w:rFonts w:hint="eastAsia"/>
          <w:color w:val="000000" w:themeColor="text1"/>
          <w:sz w:val="24"/>
          <w:highlight w:val="none"/>
          <w:lang w:val="zh-CN"/>
          <w14:textFill>
            <w14:solidFill>
              <w14:schemeClr w14:val="tx1"/>
            </w14:solidFill>
          </w14:textFill>
        </w:rPr>
        <w:t>，处理费用由承包人承担。因承包人拒交或延误交接现场工作和有关资料而引致发包人现场秩序受扰及其他方面的损失，发包人有权要求承包人赔偿有关损失。发包人在发出解除或部分解除合同的通知后，发包人即可委托新的服务方承接被解除部分的工作，承包人不得影响或阻碍新的服务方办理进场手续和相关工作。</w:t>
      </w:r>
    </w:p>
    <w:p>
      <w:pPr>
        <w:pStyle w:val="50"/>
        <w:numPr>
          <w:ilvl w:val="0"/>
          <w:numId w:val="9"/>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w:t>
      </w:r>
      <w:r>
        <w:rPr>
          <w:color w:val="000000" w:themeColor="text1"/>
          <w:sz w:val="24"/>
          <w:highlight w:val="none"/>
          <w14:textFill>
            <w14:solidFill>
              <w14:schemeClr w14:val="tx1"/>
            </w14:solidFill>
          </w14:textFill>
        </w:rPr>
        <w:t>承包人</w:t>
      </w:r>
      <w:r>
        <w:rPr>
          <w:rFonts w:hint="eastAsia"/>
          <w:color w:val="000000" w:themeColor="text1"/>
          <w:sz w:val="24"/>
          <w:highlight w:val="none"/>
          <w:lang w:val="zh-CN"/>
          <w14:textFill>
            <w14:solidFill>
              <w14:schemeClr w14:val="tx1"/>
            </w14:solidFill>
          </w14:textFill>
        </w:rPr>
        <w:t>需赔偿给</w:t>
      </w:r>
      <w:r>
        <w:rPr>
          <w:color w:val="000000" w:themeColor="text1"/>
          <w:sz w:val="24"/>
          <w:highlight w:val="none"/>
          <w14:textFill>
            <w14:solidFill>
              <w14:schemeClr w14:val="tx1"/>
            </w14:solidFill>
          </w14:textFill>
        </w:rPr>
        <w:t>发包人</w:t>
      </w:r>
      <w:r>
        <w:rPr>
          <w:rFonts w:hint="eastAsia"/>
          <w:color w:val="000000" w:themeColor="text1"/>
          <w:sz w:val="24"/>
          <w:highlight w:val="none"/>
          <w:lang w:val="zh-CN"/>
          <w14:textFill>
            <w14:solidFill>
              <w14:schemeClr w14:val="tx1"/>
            </w14:solidFill>
          </w14:textFill>
        </w:rPr>
        <w:t>造成的全部经济损失，包括但不限于违约金、赔偿金、律师费、诉讼费、仲裁费、调查费、公证费、鉴定费、财产保全费、执行费、差旅费、交通费、食宿费等</w:t>
      </w:r>
      <w:r>
        <w:rPr>
          <w:color w:val="000000" w:themeColor="text1"/>
          <w:sz w:val="24"/>
          <w:highlight w:val="none"/>
          <w14:textFill>
            <w14:solidFill>
              <w14:schemeClr w14:val="tx1"/>
            </w14:solidFill>
          </w14:textFill>
        </w:rPr>
        <w:t>发包人</w:t>
      </w:r>
      <w:r>
        <w:rPr>
          <w:rFonts w:hint="eastAsia"/>
          <w:color w:val="000000" w:themeColor="text1"/>
          <w:sz w:val="24"/>
          <w:highlight w:val="none"/>
          <w:lang w:val="zh-CN"/>
          <w14:textFill>
            <w14:solidFill>
              <w14:schemeClr w14:val="tx1"/>
            </w14:solidFill>
          </w14:textFill>
        </w:rPr>
        <w:t>实现债权的一切费用。</w:t>
      </w:r>
    </w:p>
    <w:p>
      <w:pPr>
        <w:pStyle w:val="50"/>
        <w:numPr>
          <w:ilvl w:val="0"/>
          <w:numId w:val="9"/>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若任意一方发生违约行为，守约方为维护自身合法权益而支出的诉讼费、保全费、律师费、差旅费等合理费用，应由违约方一并承担。</w:t>
      </w:r>
    </w:p>
    <w:p>
      <w:pPr>
        <w:pStyle w:val="50"/>
        <w:numPr>
          <w:ilvl w:val="0"/>
          <w:numId w:val="9"/>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上述所有需承包人赔付、退还的金额，承包人须在收到发包人书面通知1</w:t>
      </w:r>
      <w:r>
        <w:rPr>
          <w:color w:val="000000" w:themeColor="text1"/>
          <w:sz w:val="24"/>
          <w:highlight w:val="none"/>
          <w:lang w:val="zh-CN"/>
          <w14:textFill>
            <w14:solidFill>
              <w14:schemeClr w14:val="tx1"/>
            </w14:solidFill>
          </w14:textFill>
        </w:rPr>
        <w:t>0</w:t>
      </w:r>
      <w:r>
        <w:rPr>
          <w:rFonts w:hint="eastAsia"/>
          <w:color w:val="000000" w:themeColor="text1"/>
          <w:sz w:val="24"/>
          <w:highlight w:val="none"/>
          <w:lang w:val="zh-CN"/>
          <w14:textFill>
            <w14:solidFill>
              <w14:schemeClr w14:val="tx1"/>
            </w14:solidFill>
          </w14:textFill>
        </w:rPr>
        <w:t>天内完成赔付、退还工作，承包人不予赔付、返还或者无款可扣的，发包人有权按照本合同约定向承包人进行索赔并要求承包人同时支付该款项的逾期利息（按同期全国银行间同业拆借中心公布的贷款市场报价利率计算）。</w:t>
      </w:r>
    </w:p>
    <w:p>
      <w:pPr>
        <w:pStyle w:val="50"/>
        <w:numPr>
          <w:ilvl w:val="0"/>
          <w:numId w:val="9"/>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违约金不足以补偿守约方损失的，违约方应承担全部经济责任和法律责任。</w:t>
      </w:r>
    </w:p>
    <w:p>
      <w:pPr>
        <w:pStyle w:val="50"/>
        <w:numPr>
          <w:ilvl w:val="0"/>
          <w:numId w:val="9"/>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承包人违约责任的认定方式及送达程序</w:t>
      </w:r>
    </w:p>
    <w:p>
      <w:pPr>
        <w:pStyle w:val="50"/>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认定方式：发包人依据整改通知单、督办通知单、通知、通报、会议纪要等书面文件，向承包人发出《违约处理决定书》，违约处理决定以发包人出具的《违约处理决定书》确定的内容为准。</w:t>
      </w:r>
    </w:p>
    <w:p>
      <w:pPr>
        <w:pStyle w:val="50"/>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送达程序：发包人以下列方式之一将书面违约处理决定书送达承包人。</w:t>
      </w:r>
    </w:p>
    <w:p>
      <w:pPr>
        <w:pStyle w:val="50"/>
        <w:numPr>
          <w:ilvl w:val="0"/>
          <w:numId w:val="12"/>
        </w:numPr>
        <w:adjustRightInd w:val="0"/>
        <w:snapToGrid w:val="0"/>
        <w:spacing w:line="360" w:lineRule="auto"/>
        <w:ind w:left="1260" w:firstLine="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承包人现场管理机构工作人员签收；</w:t>
      </w:r>
    </w:p>
    <w:p>
      <w:pPr>
        <w:pStyle w:val="50"/>
        <w:numPr>
          <w:ilvl w:val="0"/>
          <w:numId w:val="12"/>
        </w:numPr>
        <w:adjustRightInd w:val="0"/>
        <w:snapToGrid w:val="0"/>
        <w:spacing w:line="360" w:lineRule="auto"/>
        <w:ind w:left="1260" w:firstLine="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承包人其他工作人员签收；</w:t>
      </w:r>
    </w:p>
    <w:p>
      <w:pPr>
        <w:pStyle w:val="50"/>
        <w:numPr>
          <w:ilvl w:val="0"/>
          <w:numId w:val="12"/>
        </w:numPr>
        <w:adjustRightInd w:val="0"/>
        <w:snapToGrid w:val="0"/>
        <w:spacing w:line="360" w:lineRule="auto"/>
        <w:ind w:left="1260" w:firstLine="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发包人邮寄送达；</w:t>
      </w:r>
    </w:p>
    <w:p>
      <w:pPr>
        <w:pStyle w:val="50"/>
        <w:numPr>
          <w:ilvl w:val="0"/>
          <w:numId w:val="12"/>
        </w:numPr>
        <w:adjustRightInd w:val="0"/>
        <w:snapToGrid w:val="0"/>
        <w:spacing w:line="360" w:lineRule="auto"/>
        <w:ind w:left="1260" w:firstLine="0"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电子邮箱、其他即时通讯工具或其他可以为承包人接收的电子送达方式。</w:t>
      </w:r>
    </w:p>
    <w:p>
      <w:pPr>
        <w:pStyle w:val="50"/>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发包人发出的《违约处理决定书》一经送达承包人立即生效。承包人如有证据证明不应由其承担违约责任的，应在收到违约处理决定后3天内以书面形式向发包人提出异议并附上有关证据；发包人在收到承包人的异议后15个工作日内审核完毕且作出书面决定并通知承包人。承包人未在上述期限内提出异议的，视为同意《违约处理决定书》</w:t>
      </w:r>
      <w:r>
        <w:rPr>
          <w:rFonts w:hint="eastAsia"/>
          <w:color w:val="000000" w:themeColor="text1"/>
          <w:sz w:val="24"/>
          <w:highlight w:val="none"/>
          <w:lang w:val="zh-CN"/>
          <w14:textFill>
            <w14:solidFill>
              <w14:schemeClr w14:val="tx1"/>
            </w14:solidFill>
          </w14:textFill>
        </w:rPr>
        <w:t>，并应严格按照该决定书与本合同约定立即承担相应的违约责任</w:t>
      </w:r>
      <w:r>
        <w:rPr>
          <w:rFonts w:hint="eastAsia"/>
          <w:color w:val="000000" w:themeColor="text1"/>
          <w:sz w:val="24"/>
          <w:highlight w:val="none"/>
          <w:lang w:val="zh-CN"/>
          <w14:textFill>
            <w14:solidFill>
              <w14:schemeClr w14:val="tx1"/>
            </w14:solidFill>
          </w14:textFill>
        </w:rPr>
        <w:t>。</w:t>
      </w:r>
    </w:p>
    <w:p>
      <w:pPr>
        <w:pStyle w:val="50"/>
        <w:numPr>
          <w:ilvl w:val="0"/>
          <w:numId w:val="11"/>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在任何索赔和争议期间，不论索赔是否有据，均不能免除承包人按合同约定履行义务，承包人不得以此拒不履行或拖延合同的履行，否则，导致发包人实际损失的，发包人有权单方解除合同并保留向承包人的追索权。</w:t>
      </w:r>
    </w:p>
    <w:p>
      <w:pPr>
        <w:pStyle w:val="4"/>
        <w:spacing w:before="240" w:after="120"/>
        <w:rPr>
          <w:color w:val="000000" w:themeColor="text1"/>
          <w:highlight w:val="none"/>
          <w14:textFill>
            <w14:solidFill>
              <w14:schemeClr w14:val="tx1"/>
            </w14:solidFill>
          </w14:textFill>
        </w:rPr>
      </w:pPr>
      <w:bookmarkStart w:id="145" w:name="_Toc149656771"/>
      <w:r>
        <w:rPr>
          <w:rFonts w:hint="eastAsia"/>
          <w:color w:val="000000" w:themeColor="text1"/>
          <w:highlight w:val="none"/>
          <w14:textFill>
            <w14:solidFill>
              <w14:schemeClr w14:val="tx1"/>
            </w14:solidFill>
          </w14:textFill>
        </w:rPr>
        <w:t>第</w:t>
      </w:r>
      <w:r>
        <w:rPr>
          <w:rFonts w:hint="eastAsia"/>
          <w:color w:val="000000" w:themeColor="text1"/>
          <w:highlight w:val="none"/>
          <w:lang w:eastAsia="zh-Hans"/>
          <w14:textFill>
            <w14:solidFill>
              <w14:schemeClr w14:val="tx1"/>
            </w14:solidFill>
          </w14:textFill>
        </w:rPr>
        <w:t>七</w:t>
      </w:r>
      <w:r>
        <w:rPr>
          <w:rFonts w:hint="eastAsia"/>
          <w:color w:val="000000" w:themeColor="text1"/>
          <w:highlight w:val="none"/>
          <w14:textFill>
            <w14:solidFill>
              <w14:schemeClr w14:val="tx1"/>
            </w14:solidFill>
          </w14:textFill>
        </w:rPr>
        <w:t xml:space="preserve">条 </w:t>
      </w:r>
      <w:r>
        <w:rPr>
          <w:color w:val="000000" w:themeColor="text1"/>
          <w:highlight w:val="none"/>
          <w14:textFill>
            <w14:solidFill>
              <w14:schemeClr w14:val="tx1"/>
            </w14:solidFill>
          </w14:textFill>
        </w:rPr>
        <w:t>履约</w:t>
      </w:r>
      <w:r>
        <w:rPr>
          <w:rFonts w:hint="eastAsia"/>
          <w:color w:val="000000" w:themeColor="text1"/>
          <w:highlight w:val="none"/>
          <w14:textFill>
            <w14:solidFill>
              <w14:schemeClr w14:val="tx1"/>
            </w14:solidFill>
          </w14:textFill>
        </w:rPr>
        <w:t>担保</w:t>
      </w:r>
      <w:bookmarkEnd w:id="145"/>
    </w:p>
    <w:p>
      <w:pPr>
        <w:tabs>
          <w:tab w:val="left" w:pos="420"/>
          <w:tab w:val="left" w:pos="1120"/>
        </w:tabs>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□本合同不需要提供履约担保。</w:t>
      </w:r>
    </w:p>
    <w:p>
      <w:pPr>
        <w:tabs>
          <w:tab w:val="left" w:pos="420"/>
          <w:tab w:val="left" w:pos="1120"/>
        </w:tabs>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sym w:font="Wingdings 2" w:char="F052"/>
      </w:r>
      <w:r>
        <w:rPr>
          <w:rFonts w:hint="eastAsia"/>
          <w:color w:val="000000" w:themeColor="text1"/>
          <w:sz w:val="24"/>
          <w:szCs w:val="24"/>
          <w:highlight w:val="none"/>
          <w14:textFill>
            <w14:solidFill>
              <w14:schemeClr w14:val="tx1"/>
            </w14:solidFill>
          </w14:textFill>
        </w:rPr>
        <w:t>本合同需提供履约担保并满足以下要求：</w:t>
      </w:r>
    </w:p>
    <w:p>
      <w:pPr>
        <w:pStyle w:val="50"/>
        <w:numPr>
          <w:ilvl w:val="0"/>
          <w:numId w:val="13"/>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承包人应按中标价的10%向发包人递交履约担保；如果承包人的履约担保是以银行保函的形式提供，则该银行保函应由在中国注册的国有商业银行开具</w:t>
      </w:r>
      <w:r>
        <w:rPr>
          <w:rFonts w:hint="eastAsia"/>
          <w:color w:val="000000" w:themeColor="text1"/>
          <w:sz w:val="24"/>
          <w:highlight w:val="none"/>
          <w:lang w:val="zh-CN"/>
          <w14:textFill>
            <w14:solidFill>
              <w14:schemeClr w14:val="tx1"/>
            </w14:solidFill>
          </w14:textFill>
        </w:rPr>
        <w:t>的不可撤销银行保函</w:t>
      </w:r>
      <w:r>
        <w:rPr>
          <w:color w:val="000000" w:themeColor="text1"/>
          <w:sz w:val="24"/>
          <w:highlight w:val="none"/>
          <w:lang w:val="zh-CN"/>
          <w14:textFill>
            <w14:solidFill>
              <w14:schemeClr w14:val="tx1"/>
            </w14:solidFill>
          </w14:textFill>
        </w:rPr>
        <w:t>并符合要求，如承包人提供虚假银行保函或未经发包人同意前提下不符合前述要求，</w:t>
      </w:r>
      <w:r>
        <w:rPr>
          <w:rFonts w:hint="eastAsia"/>
          <w:color w:val="000000" w:themeColor="text1"/>
          <w:sz w:val="24"/>
          <w:highlight w:val="none"/>
          <w:lang w:val="zh-CN"/>
          <w14:textFill>
            <w14:solidFill>
              <w14:schemeClr w14:val="tx1"/>
            </w14:solidFill>
          </w14:textFill>
        </w:rPr>
        <w:t>发包人有权取消其中标资格，并</w:t>
      </w:r>
      <w:r>
        <w:rPr>
          <w:color w:val="000000" w:themeColor="text1"/>
          <w:sz w:val="24"/>
          <w:highlight w:val="none"/>
          <w:lang w:val="zh-CN"/>
          <w14:textFill>
            <w14:solidFill>
              <w14:schemeClr w14:val="tx1"/>
            </w14:solidFill>
          </w14:textFill>
        </w:rPr>
        <w:t>追究</w:t>
      </w:r>
      <w:r>
        <w:rPr>
          <w:rFonts w:hint="eastAsia"/>
          <w:color w:val="000000" w:themeColor="text1"/>
          <w:sz w:val="24"/>
          <w:highlight w:val="none"/>
          <w:lang w:val="zh-CN"/>
          <w14:textFill>
            <w14:solidFill>
              <w14:schemeClr w14:val="tx1"/>
            </w14:solidFill>
          </w14:textFill>
        </w:rPr>
        <w:t>其</w:t>
      </w:r>
      <w:r>
        <w:rPr>
          <w:color w:val="000000" w:themeColor="text1"/>
          <w:sz w:val="24"/>
          <w:highlight w:val="none"/>
          <w:lang w:val="zh-CN"/>
          <w14:textFill>
            <w14:solidFill>
              <w14:schemeClr w14:val="tx1"/>
            </w14:solidFill>
          </w14:textFill>
        </w:rPr>
        <w:t>法律责任。</w:t>
      </w:r>
    </w:p>
    <w:p>
      <w:pPr>
        <w:pStyle w:val="50"/>
        <w:numPr>
          <w:ilvl w:val="0"/>
          <w:numId w:val="13"/>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应在合同签订当天提交《承诺函》，承诺最晚不超过合同签订之日起60天内向发包人提交满足要求的不可撤销及见索即付《银行履约保函》，否则承包人同意每延误1天，按5000元/天向发包人支付违约金，发包人有权从应支付的费用中直接扣除。</w:t>
      </w:r>
    </w:p>
    <w:p>
      <w:pPr>
        <w:pStyle w:val="50"/>
        <w:numPr>
          <w:ilvl w:val="0"/>
          <w:numId w:val="13"/>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履约</w:t>
      </w:r>
      <w:r>
        <w:rPr>
          <w:rFonts w:hint="eastAsia"/>
          <w:color w:val="000000" w:themeColor="text1"/>
          <w:sz w:val="24"/>
          <w:highlight w:val="none"/>
          <w:lang w:val="zh-CN"/>
          <w14:textFill>
            <w14:solidFill>
              <w14:schemeClr w14:val="tx1"/>
            </w14:solidFill>
          </w14:textFill>
        </w:rPr>
        <w:t>担保</w:t>
      </w:r>
      <w:r>
        <w:rPr>
          <w:color w:val="000000" w:themeColor="text1"/>
          <w:sz w:val="24"/>
          <w:highlight w:val="none"/>
          <w:lang w:val="zh-CN"/>
          <w14:textFill>
            <w14:solidFill>
              <w14:schemeClr w14:val="tx1"/>
            </w14:solidFill>
          </w14:textFill>
        </w:rPr>
        <w:t>的有效期限从合同</w:t>
      </w:r>
      <w:r>
        <w:rPr>
          <w:rFonts w:hint="eastAsia"/>
          <w:color w:val="000000" w:themeColor="text1"/>
          <w:sz w:val="24"/>
          <w:highlight w:val="none"/>
          <w:lang w:val="zh-CN"/>
          <w14:textFill>
            <w14:solidFill>
              <w14:schemeClr w14:val="tx1"/>
            </w14:solidFill>
          </w14:textFill>
        </w:rPr>
        <w:t>生效之日起</w:t>
      </w:r>
      <w:r>
        <w:rPr>
          <w:color w:val="000000" w:themeColor="text1"/>
          <w:sz w:val="24"/>
          <w:highlight w:val="none"/>
          <w:lang w:val="zh-CN"/>
          <w14:textFill>
            <w14:solidFill>
              <w14:schemeClr w14:val="tx1"/>
            </w14:solidFill>
          </w14:textFill>
        </w:rPr>
        <w:t>直至项目竣工验收</w:t>
      </w:r>
      <w:r>
        <w:rPr>
          <w:rFonts w:hint="eastAsia"/>
          <w:color w:val="000000" w:themeColor="text1"/>
          <w:sz w:val="24"/>
          <w:highlight w:val="none"/>
          <w:lang w:val="zh-CN"/>
          <w14:textFill>
            <w14:solidFill>
              <w14:schemeClr w14:val="tx1"/>
            </w14:solidFill>
          </w14:textFill>
        </w:rPr>
        <w:t>（质量验收或交工/完工验收）</w:t>
      </w:r>
      <w:r>
        <w:rPr>
          <w:color w:val="000000" w:themeColor="text1"/>
          <w:sz w:val="24"/>
          <w:highlight w:val="none"/>
          <w:lang w:val="zh-CN"/>
          <w14:textFill>
            <w14:solidFill>
              <w14:schemeClr w14:val="tx1"/>
            </w14:solidFill>
          </w14:textFill>
        </w:rPr>
        <w:t>合格之日止</w:t>
      </w:r>
      <w:r>
        <w:rPr>
          <w:rFonts w:hint="eastAsia"/>
          <w:color w:val="000000" w:themeColor="text1"/>
          <w:sz w:val="24"/>
          <w:highlight w:val="none"/>
          <w:lang w:val="zh-CN"/>
          <w14:textFill>
            <w14:solidFill>
              <w14:schemeClr w14:val="tx1"/>
            </w14:solidFill>
          </w14:textFill>
        </w:rPr>
        <w:t>，其中，如本合同在该项目竣工验收（质量验收或交工/完工验收）合格前完成结算的，该履约保证金有效期至完成本合同结算止。</w:t>
      </w:r>
      <w:r>
        <w:rPr>
          <w:color w:val="000000" w:themeColor="text1"/>
          <w:sz w:val="24"/>
          <w:highlight w:val="none"/>
          <w:lang w:val="zh-CN"/>
          <w14:textFill>
            <w14:solidFill>
              <w14:schemeClr w14:val="tx1"/>
            </w14:solidFill>
          </w14:textFill>
        </w:rPr>
        <w:t>如</w:t>
      </w:r>
      <w:r>
        <w:rPr>
          <w:rFonts w:hint="eastAsia"/>
          <w:color w:val="000000" w:themeColor="text1"/>
          <w:sz w:val="24"/>
          <w:highlight w:val="none"/>
          <w:lang w:val="zh-CN"/>
          <w14:textFill>
            <w14:solidFill>
              <w14:schemeClr w14:val="tx1"/>
            </w14:solidFill>
          </w14:textFill>
        </w:rPr>
        <w:t>承包人</w:t>
      </w:r>
      <w:r>
        <w:rPr>
          <w:color w:val="000000" w:themeColor="text1"/>
          <w:sz w:val="24"/>
          <w:highlight w:val="none"/>
          <w:lang w:val="zh-CN"/>
          <w14:textFill>
            <w14:solidFill>
              <w14:schemeClr w14:val="tx1"/>
            </w14:solidFill>
          </w14:textFill>
        </w:rPr>
        <w:t>所提交的履约保函期限不能满足前述规定，承包人须在履约保函到期前一个月提前办理续保手续，发包人不为此支付任何费用。</w:t>
      </w:r>
      <w:r>
        <w:rPr>
          <w:rFonts w:hint="eastAsia"/>
          <w:color w:val="000000" w:themeColor="text1"/>
          <w:sz w:val="24"/>
          <w:highlight w:val="none"/>
          <w:lang w:val="zh-CN"/>
          <w14:textFill>
            <w14:solidFill>
              <w14:schemeClr w14:val="tx1"/>
            </w14:solidFill>
          </w14:textFill>
        </w:rPr>
        <w:t>如承包人未按要求按期对银行保函续保，发包人有权暂停批准承包人的所有支付申请，直至承包人向发包人提交新的合法有效的银行保函时止。</w:t>
      </w:r>
    </w:p>
    <w:p>
      <w:pPr>
        <w:pStyle w:val="50"/>
        <w:numPr>
          <w:ilvl w:val="0"/>
          <w:numId w:val="13"/>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承包人未按</w:t>
      </w:r>
      <w:r>
        <w:rPr>
          <w:rFonts w:hint="eastAsia"/>
          <w:color w:val="000000" w:themeColor="text1"/>
          <w:sz w:val="24"/>
          <w:highlight w:val="none"/>
          <w:lang w:val="zh-CN"/>
          <w14:textFill>
            <w14:solidFill>
              <w14:schemeClr w14:val="tx1"/>
            </w14:solidFill>
          </w14:textFill>
        </w:rPr>
        <w:t>上述</w:t>
      </w:r>
      <w:r>
        <w:rPr>
          <w:color w:val="000000" w:themeColor="text1"/>
          <w:sz w:val="24"/>
          <w:highlight w:val="none"/>
          <w:lang w:val="zh-CN"/>
          <w14:textFill>
            <w14:solidFill>
              <w14:schemeClr w14:val="tx1"/>
            </w14:solidFill>
          </w14:textFill>
        </w:rPr>
        <w:t>规定递交</w:t>
      </w:r>
      <w:r>
        <w:rPr>
          <w:rFonts w:hint="eastAsia"/>
          <w:color w:val="000000" w:themeColor="text1"/>
          <w:sz w:val="24"/>
          <w:highlight w:val="none"/>
          <w:lang w:val="zh-CN"/>
          <w14:textFill>
            <w14:solidFill>
              <w14:schemeClr w14:val="tx1"/>
            </w14:solidFill>
          </w14:textFill>
        </w:rPr>
        <w:t>符合要求的</w:t>
      </w:r>
      <w:r>
        <w:rPr>
          <w:color w:val="000000" w:themeColor="text1"/>
          <w:sz w:val="24"/>
          <w:highlight w:val="none"/>
          <w:lang w:val="zh-CN"/>
          <w14:textFill>
            <w14:solidFill>
              <w14:schemeClr w14:val="tx1"/>
            </w14:solidFill>
          </w14:textFill>
        </w:rPr>
        <w:t>履约担保且未经发包人同意，发包人将有权</w:t>
      </w:r>
      <w:r>
        <w:rPr>
          <w:rFonts w:hint="eastAsia"/>
          <w:color w:val="000000" w:themeColor="text1"/>
          <w:sz w:val="24"/>
          <w:highlight w:val="none"/>
          <w:lang w:val="zh-CN"/>
          <w14:textFill>
            <w14:solidFill>
              <w14:schemeClr w14:val="tx1"/>
            </w14:solidFill>
          </w14:textFill>
        </w:rPr>
        <w:t>单方</w:t>
      </w:r>
      <w:r>
        <w:rPr>
          <w:color w:val="000000" w:themeColor="text1"/>
          <w:sz w:val="24"/>
          <w:highlight w:val="none"/>
          <w:lang w:val="zh-CN"/>
          <w14:textFill>
            <w14:solidFill>
              <w14:schemeClr w14:val="tx1"/>
            </w14:solidFill>
          </w14:textFill>
        </w:rPr>
        <w:t>解除合同，承包人的投标担保不予退还</w:t>
      </w:r>
      <w:r>
        <w:rPr>
          <w:rFonts w:hint="eastAsia"/>
          <w:color w:val="000000" w:themeColor="text1"/>
          <w:sz w:val="24"/>
          <w:highlight w:val="none"/>
          <w:lang w:val="zh-CN"/>
          <w14:textFill>
            <w14:solidFill>
              <w14:schemeClr w14:val="tx1"/>
            </w14:solidFill>
          </w14:textFill>
        </w:rPr>
        <w:t>而且承包人仍需按照本条约定的标准支付相应的违约金</w:t>
      </w:r>
      <w:r>
        <w:rPr>
          <w:color w:val="000000" w:themeColor="text1"/>
          <w:sz w:val="24"/>
          <w:highlight w:val="none"/>
          <w:lang w:val="zh-CN"/>
          <w14:textFill>
            <w14:solidFill>
              <w14:schemeClr w14:val="tx1"/>
            </w14:solidFill>
          </w14:textFill>
        </w:rPr>
        <w:t>，且依法承担相应法律责任。承包人给发包人造成的损失超过投标担保数额的，还应当对超过部分予以赔偿。承包人有异议的，可以向工程所在地向人民法院起诉。</w:t>
      </w:r>
    </w:p>
    <w:p>
      <w:pPr>
        <w:pStyle w:val="50"/>
        <w:numPr>
          <w:ilvl w:val="0"/>
          <w:numId w:val="13"/>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履约保证金管理具体按照南沙开发区有关规定执行，如有最新的按照最新的规定执行。</w:t>
      </w:r>
    </w:p>
    <w:p>
      <w:pPr>
        <w:pStyle w:val="4"/>
        <w:spacing w:before="240" w:after="120"/>
        <w:rPr>
          <w:color w:val="000000" w:themeColor="text1"/>
          <w:highlight w:val="none"/>
          <w14:textFill>
            <w14:solidFill>
              <w14:schemeClr w14:val="tx1"/>
            </w14:solidFill>
          </w14:textFill>
        </w:rPr>
      </w:pPr>
      <w:bookmarkStart w:id="146" w:name="_Toc149656772"/>
      <w:r>
        <w:rPr>
          <w:rFonts w:hint="eastAsia"/>
          <w:color w:val="000000" w:themeColor="text1"/>
          <w:highlight w:val="none"/>
          <w14:textFill>
            <w14:solidFill>
              <w14:schemeClr w14:val="tx1"/>
            </w14:solidFill>
          </w14:textFill>
        </w:rPr>
        <w:t>第</w:t>
      </w:r>
      <w:r>
        <w:rPr>
          <w:rFonts w:hint="eastAsia"/>
          <w:color w:val="000000" w:themeColor="text1"/>
          <w:highlight w:val="none"/>
          <w:lang w:eastAsia="zh-Hans"/>
          <w14:textFill>
            <w14:solidFill>
              <w14:schemeClr w14:val="tx1"/>
            </w14:solidFill>
          </w14:textFill>
        </w:rPr>
        <w:t>八</w:t>
      </w:r>
      <w:r>
        <w:rPr>
          <w:rFonts w:hint="eastAsia"/>
          <w:color w:val="000000" w:themeColor="text1"/>
          <w:highlight w:val="none"/>
          <w14:textFill>
            <w14:solidFill>
              <w14:schemeClr w14:val="tx1"/>
            </w14:solidFill>
          </w14:textFill>
        </w:rPr>
        <w:t xml:space="preserve">条 </w:t>
      </w:r>
      <w:r>
        <w:rPr>
          <w:color w:val="000000" w:themeColor="text1"/>
          <w:highlight w:val="none"/>
          <w14:textFill>
            <w14:solidFill>
              <w14:schemeClr w14:val="tx1"/>
            </w14:solidFill>
          </w14:textFill>
        </w:rPr>
        <w:t>保密条款及知识产权归属</w:t>
      </w:r>
      <w:bookmarkEnd w:id="146"/>
    </w:p>
    <w:p>
      <w:pPr>
        <w:pStyle w:val="50"/>
        <w:numPr>
          <w:ilvl w:val="0"/>
          <w:numId w:val="14"/>
        </w:numPr>
        <w:adjustRightInd w:val="0"/>
        <w:snapToGrid w:val="0"/>
        <w:spacing w:line="360" w:lineRule="auto"/>
        <w:ind w:firstLineChars="0"/>
        <w:rPr>
          <w:color w:val="000000" w:themeColor="text1"/>
          <w:sz w:val="24"/>
          <w:highlight w:val="none"/>
          <w:lang w:val="zh-CN"/>
          <w14:textFill>
            <w14:solidFill>
              <w14:schemeClr w14:val="tx1"/>
            </w14:solidFill>
          </w14:textFill>
        </w:rPr>
      </w:pPr>
      <w:bookmarkStart w:id="147" w:name="_Hlk145583352"/>
      <w:r>
        <w:rPr>
          <w:rFonts w:hint="eastAsia"/>
          <w:color w:val="000000" w:themeColor="text1"/>
          <w:sz w:val="24"/>
          <w:highlight w:val="none"/>
          <w:lang w:val="zh-CN"/>
          <w14:textFill>
            <w14:solidFill>
              <w14:schemeClr w14:val="tx1"/>
            </w14:solidFill>
          </w14:textFill>
        </w:rPr>
        <w:t>承包人及其工作人员（包括但不限于项目小组人员及承包人内部有关人员）将严守发包人秘密，对发包人提供的资料负责保密，不得泄露与本合同工程相关的任何不应泄露的招标资料和情况，不得公开发表和交流。如有违反，承包人保证承担其相应的法律责任。不论本合同是否变更、解除、终止，本条款长期有效。</w:t>
      </w:r>
    </w:p>
    <w:bookmarkEnd w:id="147"/>
    <w:p>
      <w:pPr>
        <w:pStyle w:val="50"/>
        <w:numPr>
          <w:ilvl w:val="0"/>
          <w:numId w:val="14"/>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发包人对提供的资料和承包人提交的成果</w:t>
      </w:r>
      <w:r>
        <w:rPr>
          <w:rFonts w:hint="eastAsia"/>
          <w:color w:val="000000" w:themeColor="text1"/>
          <w:sz w:val="24"/>
          <w:highlight w:val="none"/>
          <w:lang w:val="zh-CN"/>
          <w14:textFill>
            <w14:solidFill>
              <w14:schemeClr w14:val="tx1"/>
            </w14:solidFill>
          </w14:textFill>
        </w:rPr>
        <w:t>均</w:t>
      </w:r>
      <w:r>
        <w:rPr>
          <w:color w:val="000000" w:themeColor="text1"/>
          <w:sz w:val="24"/>
          <w:highlight w:val="none"/>
          <w:lang w:val="zh-CN"/>
          <w14:textFill>
            <w14:solidFill>
              <w14:schemeClr w14:val="tx1"/>
            </w14:solidFill>
          </w14:textFill>
        </w:rPr>
        <w:t>拥有知识产权和所有权</w:t>
      </w:r>
      <w:r>
        <w:rPr>
          <w:rFonts w:hint="eastAsia"/>
          <w:color w:val="000000" w:themeColor="text1"/>
          <w:sz w:val="24"/>
          <w:highlight w:val="none"/>
          <w:lang w:val="zh-CN"/>
          <w14:textFill>
            <w14:solidFill>
              <w14:schemeClr w14:val="tx1"/>
            </w14:solidFill>
          </w14:textFill>
        </w:rPr>
        <w:t>，且相应费用已在签约合同价综合考虑，发包人无需为此另行支付费用</w:t>
      </w:r>
      <w:r>
        <w:rPr>
          <w:color w:val="000000" w:themeColor="text1"/>
          <w:sz w:val="24"/>
          <w:highlight w:val="none"/>
          <w:lang w:val="zh-CN"/>
          <w14:textFill>
            <w14:solidFill>
              <w14:schemeClr w14:val="tx1"/>
            </w14:solidFill>
          </w14:textFill>
        </w:rPr>
        <w:t>。未经发包人书面同意，承包人不得将有关资料及成果向第三人转让或用于其他项目。如发生以上情况，承包人除承担由此给发包人造成的经济损失外，还应</w:t>
      </w:r>
      <w:bookmarkStart w:id="148" w:name="_Hlk145583647"/>
      <w:r>
        <w:rPr>
          <w:rFonts w:hint="eastAsia"/>
          <w:color w:val="000000" w:themeColor="text1"/>
          <w:sz w:val="24"/>
          <w:highlight w:val="none"/>
          <w:lang w:val="zh-CN"/>
          <w14:textFill>
            <w14:solidFill>
              <w14:schemeClr w14:val="tx1"/>
            </w14:solidFill>
          </w14:textFill>
        </w:rPr>
        <w:t>按照本合同第六条约定承担相应的违约责任以及其他</w:t>
      </w:r>
      <w:bookmarkEnd w:id="148"/>
      <w:r>
        <w:rPr>
          <w:color w:val="000000" w:themeColor="text1"/>
          <w:sz w:val="24"/>
          <w:highlight w:val="none"/>
          <w:lang w:val="zh-CN"/>
          <w14:textFill>
            <w14:solidFill>
              <w14:schemeClr w14:val="tx1"/>
            </w14:solidFill>
          </w14:textFill>
        </w:rPr>
        <w:t>相应法律责任。</w:t>
      </w:r>
    </w:p>
    <w:p>
      <w:pPr>
        <w:pStyle w:val="50"/>
        <w:numPr>
          <w:ilvl w:val="0"/>
          <w:numId w:val="14"/>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承诺，向发包人提供的内容、资料、服务等不会侵犯任何第三方的权利；若发生侵犯第三方的情况，由承包人承担全部的责任并自行处理相关纠纷，消除对发包人的影响。如发包人因此已向第三方承担任何形式的违约金、赔偿金或履行相应责任的</w:t>
      </w:r>
      <w:r>
        <w:rPr>
          <w:rFonts w:hint="eastAsia"/>
          <w:color w:val="000000" w:themeColor="text1"/>
          <w:sz w:val="24"/>
          <w:highlight w:val="none"/>
          <w:lang w:val="zh-CN"/>
          <w14:textFill>
            <w14:solidFill>
              <w14:schemeClr w14:val="tx1"/>
            </w14:solidFill>
          </w14:textFill>
        </w:rPr>
        <w:t>，发包人在支付相应款项或履行相应责任后，可凭支付违约金、赔偿金或履行责任的证明直接向承包人追偿，承包人对此应予以认可。</w:t>
      </w:r>
    </w:p>
    <w:p>
      <w:pPr>
        <w:pStyle w:val="50"/>
        <w:numPr>
          <w:ilvl w:val="0"/>
          <w:numId w:val="14"/>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在本合同有效期内，发包人利用承包人提交的技术咨询工作成果所完成的新的技术成果，归发包人所有。</w:t>
      </w:r>
    </w:p>
    <w:p>
      <w:pPr>
        <w:pStyle w:val="50"/>
        <w:numPr>
          <w:ilvl w:val="0"/>
          <w:numId w:val="14"/>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在本合同有效期内，承包人利用发包人提供的技术资料和工作条件所完成的新的技术成果，归发包人所有。</w:t>
      </w:r>
      <w:r>
        <w:rPr>
          <w:rFonts w:hint="eastAsia"/>
          <w:color w:val="000000" w:themeColor="text1"/>
          <w:sz w:val="24"/>
          <w:highlight w:val="none"/>
          <w:lang w:val="zh-CN"/>
          <w14:textFill>
            <w14:solidFill>
              <w14:schemeClr w14:val="tx1"/>
            </w14:solidFill>
          </w14:textFill>
        </w:rPr>
        <w:t xml:space="preserve"> </w:t>
      </w:r>
    </w:p>
    <w:p>
      <w:pPr>
        <w:pStyle w:val="50"/>
        <w:numPr>
          <w:ilvl w:val="0"/>
          <w:numId w:val="14"/>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在合同履行过程中及终止后，未经发包人的书面同意，承包人不得向外泄漏与本合同项目、本合同及发包人的业务和经营有关资料。</w:t>
      </w:r>
    </w:p>
    <w:p>
      <w:pPr>
        <w:pStyle w:val="50"/>
        <w:numPr>
          <w:ilvl w:val="0"/>
          <w:numId w:val="14"/>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双方将履行本合同形成的有关成果文件用于企业宣传、申报奖项以及接受上级主管部门的检查须遵守以下约定：须征得发包人书面同意方能出版。</w:t>
      </w:r>
    </w:p>
    <w:p>
      <w:pPr>
        <w:pStyle w:val="4"/>
        <w:spacing w:before="240" w:after="120"/>
        <w:rPr>
          <w:color w:val="000000" w:themeColor="text1"/>
          <w:highlight w:val="none"/>
          <w14:textFill>
            <w14:solidFill>
              <w14:schemeClr w14:val="tx1"/>
            </w14:solidFill>
          </w14:textFill>
        </w:rPr>
      </w:pPr>
      <w:bookmarkStart w:id="149" w:name="_Toc149656773"/>
      <w:r>
        <w:rPr>
          <w:rFonts w:hint="eastAsia"/>
          <w:color w:val="000000" w:themeColor="text1"/>
          <w:highlight w:val="none"/>
          <w14:textFill>
            <w14:solidFill>
              <w14:schemeClr w14:val="tx1"/>
            </w14:solidFill>
          </w14:textFill>
        </w:rPr>
        <w:t xml:space="preserve">第九条 </w:t>
      </w:r>
      <w:r>
        <w:rPr>
          <w:color w:val="000000" w:themeColor="text1"/>
          <w:highlight w:val="none"/>
          <w14:textFill>
            <w14:solidFill>
              <w14:schemeClr w14:val="tx1"/>
            </w14:solidFill>
          </w14:textFill>
        </w:rPr>
        <w:t>技术责任和经济责任</w:t>
      </w:r>
      <w:bookmarkEnd w:id="149"/>
    </w:p>
    <w:p>
      <w:pPr>
        <w:pStyle w:val="50"/>
        <w:numPr>
          <w:ilvl w:val="0"/>
          <w:numId w:val="15"/>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承包人对本合同项下负有全部的最终技术责任和经济责任。在本合同执行过程中，不因发包人对承包人工作的任何接触、检查、确认与批准而减轻或免除承包人的任何责任。</w:t>
      </w:r>
    </w:p>
    <w:p>
      <w:pPr>
        <w:pStyle w:val="50"/>
        <w:numPr>
          <w:ilvl w:val="0"/>
          <w:numId w:val="15"/>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确认，其已对合同生效之前发包人提供的全部资料和技术文件进行了仔细的检查、研究和考虑，也对合同生效后发包人将要提供和/或可能提供的资料进行了评估和考虑。在此基础上，承包人已经完全了解、预计和接受了发包人已提供和/或将要提供的全部资料和技术文件存在和/或可能存在的瑕疵，并将自费进行补救。</w:t>
      </w:r>
    </w:p>
    <w:p>
      <w:pPr>
        <w:pStyle w:val="50"/>
        <w:numPr>
          <w:ilvl w:val="0"/>
          <w:numId w:val="15"/>
        </w:numPr>
        <w:adjustRightInd w:val="0"/>
        <w:snapToGrid w:val="0"/>
        <w:spacing w:line="360" w:lineRule="auto"/>
        <w:ind w:firstLine="480"/>
        <w:rPr>
          <w:color w:val="000000" w:themeColor="text1"/>
          <w:sz w:val="24"/>
          <w:highlight w:val="none"/>
          <w:lang w:val="zh-CN"/>
          <w14:textFill>
            <w14:solidFill>
              <w14:schemeClr w14:val="tx1"/>
            </w14:solidFill>
          </w14:textFill>
        </w:rPr>
      </w:pPr>
      <w:r>
        <w:rPr>
          <w:color w:val="000000" w:themeColor="text1"/>
          <w:sz w:val="24"/>
          <w:highlight w:val="none"/>
          <w:lang w:val="zh-CN"/>
          <w14:textFill>
            <w14:solidFill>
              <w14:schemeClr w14:val="tx1"/>
            </w14:solidFill>
          </w14:textFill>
        </w:rPr>
        <w:t>承包人在查阅协议文件或在本合同执行过程中，有责任对发包人提供的任何资料进行审核。如发现其中有任何缺陷，应第一时间通知发包人。如承包人未发现对于有经验的承包人应能发现的上述缺陷，并给发包人造成损失的，承包人应承担赔偿责任。</w:t>
      </w:r>
    </w:p>
    <w:p>
      <w:pPr>
        <w:pStyle w:val="4"/>
        <w:spacing w:before="240" w:after="120"/>
        <w:rPr>
          <w:color w:val="000000" w:themeColor="text1"/>
          <w:highlight w:val="none"/>
          <w14:textFill>
            <w14:solidFill>
              <w14:schemeClr w14:val="tx1"/>
            </w14:solidFill>
          </w14:textFill>
        </w:rPr>
      </w:pPr>
      <w:bookmarkStart w:id="150" w:name="_Toc24115"/>
      <w:bookmarkStart w:id="151" w:name="_Toc1934"/>
      <w:bookmarkStart w:id="152" w:name="_Toc32345"/>
      <w:bookmarkStart w:id="153" w:name="_Toc81930169"/>
      <w:bookmarkStart w:id="154" w:name="_Toc25153"/>
      <w:bookmarkStart w:id="155" w:name="_Toc112071515"/>
      <w:bookmarkStart w:id="156" w:name="_Toc15283"/>
      <w:bookmarkStart w:id="157" w:name="_Toc24343"/>
      <w:bookmarkStart w:id="158" w:name="_Toc4022"/>
      <w:bookmarkStart w:id="159" w:name="_Toc29400"/>
      <w:bookmarkStart w:id="160" w:name="_Toc3623"/>
      <w:bookmarkStart w:id="161" w:name="_Toc14868"/>
      <w:bookmarkStart w:id="162" w:name="_Toc1928"/>
      <w:bookmarkStart w:id="163" w:name="_Toc26610"/>
      <w:bookmarkStart w:id="164" w:name="_Toc4987"/>
      <w:bookmarkStart w:id="165" w:name="_Toc11738"/>
      <w:bookmarkStart w:id="166" w:name="_Toc149656774"/>
      <w:r>
        <w:rPr>
          <w:rFonts w:hint="eastAsia"/>
          <w:color w:val="000000" w:themeColor="text1"/>
          <w:highlight w:val="none"/>
          <w14:textFill>
            <w14:solidFill>
              <w14:schemeClr w14:val="tx1"/>
            </w14:solidFill>
          </w14:textFill>
        </w:rPr>
        <w:t>第十条 其他</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hint="eastAsia"/>
          <w:color w:val="000000" w:themeColor="text1"/>
          <w:highlight w:val="none"/>
          <w14:textFill>
            <w14:solidFill>
              <w14:schemeClr w14:val="tx1"/>
            </w14:solidFill>
          </w14:textFill>
        </w:rPr>
        <w:t>事项</w:t>
      </w:r>
      <w:bookmarkEnd w:id="166"/>
    </w:p>
    <w:p>
      <w:pPr>
        <w:pStyle w:val="50"/>
        <w:numPr>
          <w:ilvl w:val="0"/>
          <w:numId w:val="16"/>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发包人指派</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（联系电话：</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u w:val="single"/>
          <w:lang w:val="zh-CN"/>
          <w14:textFill>
            <w14:solidFill>
              <w14:schemeClr w14:val="tx1"/>
            </w14:solidFill>
          </w14:textFill>
        </w:rPr>
        <w:t>）</w:t>
      </w:r>
      <w:r>
        <w:rPr>
          <w:rFonts w:hint="eastAsia"/>
          <w:color w:val="000000" w:themeColor="text1"/>
          <w:sz w:val="24"/>
          <w:highlight w:val="none"/>
          <w:lang w:val="zh-CN"/>
          <w14:textFill>
            <w14:solidFill>
              <w14:schemeClr w14:val="tx1"/>
            </w14:solidFill>
          </w14:textFill>
        </w:rPr>
        <w:t>为项目联系人，承包人指定</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（身份证号码：</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，手机号码</w:t>
      </w:r>
      <w:r>
        <w:rPr>
          <w:rFonts w:hint="eastAsia"/>
          <w:color w:val="000000" w:themeColor="text1"/>
          <w:sz w:val="24"/>
          <w:highlight w:val="none"/>
          <w:u w:val="single"/>
          <w:lang w:val="zh-CN"/>
          <w14:textFill>
            <w14:solidFill>
              <w14:schemeClr w14:val="tx1"/>
            </w14:solidFill>
          </w14:textFill>
        </w:rPr>
        <w:t>：</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，邮箱：</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，微信号：</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）为项目联系人，负责本项目有关工作事项，并对双方往来文件进行签收。（备注：请务必填妥本款中的相关信息）</w:t>
      </w:r>
    </w:p>
    <w:p>
      <w:pPr>
        <w:pStyle w:val="50"/>
        <w:numPr>
          <w:ilvl w:val="0"/>
          <w:numId w:val="16"/>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各方确认本合同中约定的联系方式真实有效，各方依此向对方发出的所有通知、文件、资料均视为送达。承包人变更项目联系人的，应当及时以书面形式通知发包人。未及时通知并影响本合同履行或造成损失的，应承担相应的责任。</w:t>
      </w:r>
    </w:p>
    <w:p>
      <w:pPr>
        <w:pStyle w:val="50"/>
        <w:numPr>
          <w:ilvl w:val="0"/>
          <w:numId w:val="16"/>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合同各方因履行本合同而相互发出或者提供的所有通知、文件、资料，均需当面交付或以在本合同中列明的地址、传真或电子邮箱送达。任何一方当事人向对方所发出的信件，邮政特快专递交邮后的第3日视为送达；发出的短信/传真/微信/电子邮件，自前述电子文件内容在发送方正确填写地址且未被系统退回的情况下，视为进入对方数据电文接收系统即视为送达。若送达日为非工作日,则视为在下一工作日送达。一方当事人变更名称、地址、联系人或通信终端的，应当在变更后3个工作日内及时书面通知本合同其它主体，本合同其他主体实际收到变更通知前的送达仍为有效送达，电子送达与书面送达具有同等法律效力。</w:t>
      </w:r>
    </w:p>
    <w:p>
      <w:pPr>
        <w:pStyle w:val="50"/>
        <w:numPr>
          <w:ilvl w:val="0"/>
          <w:numId w:val="16"/>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由于不能预见、不能避免和不能克服的自然原因或社会原因，致使本合同不能履行或者不能完全履行时，遇到上述不可抗力事件的一方，应立即书面通知合同另一方，并应在不可抗力事件发生后十五天内，向合同另一方提供经不可抗力事件发生地区公证机构出具的证明合同不能履行或需要延期履行、部分履行的有效证明文件。由合同各方按事件对履行合同影响的程度协商决定是否解除合同、或者部分或全部免除履行合同的责任、或者延期履行合同。遭受不可抗力的一方未履行上述义务的，不能免除其违约责任。</w:t>
      </w:r>
    </w:p>
    <w:p>
      <w:pPr>
        <w:pStyle w:val="4"/>
        <w:spacing w:before="240" w:after="120"/>
        <w:rPr>
          <w:color w:val="000000" w:themeColor="text1"/>
          <w:highlight w:val="none"/>
          <w14:textFill>
            <w14:solidFill>
              <w14:schemeClr w14:val="tx1"/>
            </w14:solidFill>
          </w14:textFill>
        </w:rPr>
      </w:pPr>
      <w:bookmarkStart w:id="167" w:name="_Toc149656775"/>
      <w:r>
        <w:rPr>
          <w:rFonts w:hint="eastAsia"/>
          <w:color w:val="000000" w:themeColor="text1"/>
          <w:highlight w:val="none"/>
          <w14:textFill>
            <w14:solidFill>
              <w14:schemeClr w14:val="tx1"/>
            </w14:solidFill>
          </w14:textFill>
        </w:rPr>
        <w:t>第十</w:t>
      </w:r>
      <w:r>
        <w:rPr>
          <w:rFonts w:hint="eastAsia"/>
          <w:color w:val="000000" w:themeColor="text1"/>
          <w:highlight w:val="none"/>
          <w:lang w:eastAsia="zh-Hans"/>
          <w14:textFill>
            <w14:solidFill>
              <w14:schemeClr w14:val="tx1"/>
            </w14:solidFill>
          </w14:textFill>
        </w:rPr>
        <w:t>一</w:t>
      </w:r>
      <w:r>
        <w:rPr>
          <w:rFonts w:hint="eastAsia"/>
          <w:color w:val="000000" w:themeColor="text1"/>
          <w:highlight w:val="none"/>
          <w14:textFill>
            <w14:solidFill>
              <w14:schemeClr w14:val="tx1"/>
            </w14:solidFill>
          </w14:textFill>
        </w:rPr>
        <w:t>条 争议的解决</w:t>
      </w:r>
      <w:bookmarkEnd w:id="167"/>
    </w:p>
    <w:p>
      <w:pPr>
        <w:pStyle w:val="50"/>
        <w:numPr>
          <w:ilvl w:val="0"/>
          <w:numId w:val="17"/>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本合同发生争议时，发包人、承包人应及时协商解决，也可由当地建设行政主管部门调解，协商或调解不成时，任何一方均有权向工程项目所在地人民法院起诉。</w:t>
      </w:r>
    </w:p>
    <w:p>
      <w:pPr>
        <w:pStyle w:val="50"/>
        <w:numPr>
          <w:ilvl w:val="0"/>
          <w:numId w:val="17"/>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在争议的协商、调解、起诉过程中，双方仍应继续承担合同约定的各自的责任和义务，保证本合同工作和工程建设的正常进行。</w:t>
      </w:r>
    </w:p>
    <w:p>
      <w:pPr>
        <w:pStyle w:val="4"/>
        <w:spacing w:before="240" w:after="120"/>
        <w:rPr>
          <w:color w:val="000000" w:themeColor="text1"/>
          <w:highlight w:val="none"/>
          <w14:textFill>
            <w14:solidFill>
              <w14:schemeClr w14:val="tx1"/>
            </w14:solidFill>
          </w14:textFill>
        </w:rPr>
      </w:pPr>
      <w:bookmarkStart w:id="168" w:name="_Toc9429046"/>
      <w:bookmarkEnd w:id="168"/>
      <w:bookmarkStart w:id="169" w:name="_Toc9429045"/>
      <w:bookmarkEnd w:id="169"/>
      <w:bookmarkStart w:id="170" w:name="_Toc9429044"/>
      <w:bookmarkEnd w:id="170"/>
      <w:bookmarkStart w:id="171" w:name="_Toc149656776"/>
      <w:r>
        <w:rPr>
          <w:rFonts w:hint="eastAsia"/>
          <w:color w:val="000000" w:themeColor="text1"/>
          <w:highlight w:val="none"/>
          <w:lang w:eastAsia="zh-Hans"/>
          <w14:textFill>
            <w14:solidFill>
              <w14:schemeClr w14:val="tx1"/>
            </w14:solidFill>
          </w14:textFill>
        </w:rPr>
        <w:t>第十二条</w:t>
      </w:r>
      <w:r>
        <w:rPr>
          <w:color w:val="000000" w:themeColor="text1"/>
          <w:highlight w:val="none"/>
          <w:lang w:eastAsia="zh-Hans"/>
          <w14:textFill>
            <w14:solidFill>
              <w14:schemeClr w14:val="tx1"/>
            </w14:solidFill>
          </w14:textFill>
        </w:rPr>
        <w:t xml:space="preserve"> </w:t>
      </w:r>
      <w:r>
        <w:rPr>
          <w:rFonts w:hint="eastAsia"/>
          <w:color w:val="000000" w:themeColor="text1"/>
          <w:highlight w:val="none"/>
          <w14:textFill>
            <w14:solidFill>
              <w14:schemeClr w14:val="tx1"/>
            </w14:solidFill>
          </w14:textFill>
        </w:rPr>
        <w:t>合同变更、解除与终止</w:t>
      </w:r>
      <w:bookmarkEnd w:id="171"/>
    </w:p>
    <w:p>
      <w:pPr>
        <w:pStyle w:val="50"/>
        <w:numPr>
          <w:ilvl w:val="0"/>
          <w:numId w:val="18"/>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本合同如有未尽事宜，合同当事人协商解决，必要时可签订与本合同具同等法律效力的补充协议。</w:t>
      </w:r>
    </w:p>
    <w:p>
      <w:pPr>
        <w:pStyle w:val="50"/>
        <w:numPr>
          <w:ilvl w:val="0"/>
          <w:numId w:val="18"/>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本合同的变更必须由各方协商一致，并以书面形式确定。涉及调整合同价款的，严格按照广州市南沙区印发的工程变更管理办法或相关文件等规定执行。</w:t>
      </w:r>
    </w:p>
    <w:p>
      <w:pPr>
        <w:pStyle w:val="50"/>
        <w:numPr>
          <w:ilvl w:val="0"/>
          <w:numId w:val="18"/>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除法定或本合同另有约定外，任何一方不得单方解除协议。</w:t>
      </w:r>
    </w:p>
    <w:p>
      <w:pPr>
        <w:pStyle w:val="50"/>
        <w:numPr>
          <w:ilvl w:val="0"/>
          <w:numId w:val="18"/>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除法定和合同约定外，有下列情形之一的，合同当事人可以解除合同：</w:t>
      </w:r>
    </w:p>
    <w:p>
      <w:pPr>
        <w:numPr>
          <w:ilvl w:val="2"/>
          <w:numId w:val="19"/>
        </w:numPr>
        <w:tabs>
          <w:tab w:val="left" w:pos="420"/>
        </w:tabs>
        <w:adjustRightInd w:val="0"/>
        <w:snapToGrid w:val="0"/>
        <w:spacing w:line="360" w:lineRule="auto"/>
        <w:rPr>
          <w:color w:val="000000" w:themeColor="text1"/>
          <w:sz w:val="24"/>
          <w:szCs w:val="24"/>
          <w:highlight w:val="none"/>
          <w:lang w:val="zh-CN"/>
          <w14:textFill>
            <w14:solidFill>
              <w14:schemeClr w14:val="tx1"/>
            </w14:solidFill>
          </w14:textFill>
        </w:rPr>
      </w:pPr>
      <w:r>
        <w:rPr>
          <w:rFonts w:hint="eastAsia"/>
          <w:color w:val="000000" w:themeColor="text1"/>
          <w:sz w:val="24"/>
          <w:szCs w:val="24"/>
          <w:highlight w:val="none"/>
          <w:lang w:val="zh-CN"/>
          <w14:textFill>
            <w14:solidFill>
              <w14:schemeClr w14:val="tx1"/>
            </w14:solidFill>
          </w14:textFill>
        </w:rPr>
        <w:t>因不可抗力致使合同无法履行；</w:t>
      </w:r>
    </w:p>
    <w:p>
      <w:pPr>
        <w:numPr>
          <w:ilvl w:val="2"/>
          <w:numId w:val="19"/>
        </w:numPr>
        <w:tabs>
          <w:tab w:val="left" w:pos="420"/>
        </w:tabs>
        <w:adjustRightInd w:val="0"/>
        <w:snapToGrid w:val="0"/>
        <w:spacing w:line="360" w:lineRule="auto"/>
        <w:rPr>
          <w:color w:val="000000" w:themeColor="text1"/>
          <w:sz w:val="24"/>
          <w:szCs w:val="24"/>
          <w:highlight w:val="none"/>
          <w:lang w:val="zh-CN"/>
          <w14:textFill>
            <w14:solidFill>
              <w14:schemeClr w14:val="tx1"/>
            </w14:solidFill>
          </w14:textFill>
        </w:rPr>
      </w:pPr>
      <w:r>
        <w:rPr>
          <w:rFonts w:hint="eastAsia"/>
          <w:color w:val="000000" w:themeColor="text1"/>
          <w:sz w:val="24"/>
          <w:szCs w:val="24"/>
          <w:highlight w:val="none"/>
          <w:lang w:val="zh-CN"/>
          <w14:textFill>
            <w14:solidFill>
              <w14:schemeClr w14:val="tx1"/>
            </w14:solidFill>
          </w14:textFill>
        </w:rPr>
        <w:t>因一方严重违约致使合同目的无法履行或实际履行已无必要；</w:t>
      </w:r>
    </w:p>
    <w:p>
      <w:pPr>
        <w:numPr>
          <w:ilvl w:val="2"/>
          <w:numId w:val="19"/>
        </w:numPr>
        <w:tabs>
          <w:tab w:val="left" w:pos="420"/>
        </w:tabs>
        <w:adjustRightInd w:val="0"/>
        <w:snapToGrid w:val="0"/>
        <w:spacing w:line="360" w:lineRule="auto"/>
        <w:rPr>
          <w:color w:val="000000" w:themeColor="text1"/>
          <w:sz w:val="24"/>
          <w:szCs w:val="24"/>
          <w:highlight w:val="none"/>
          <w:lang w:val="zh-CN"/>
          <w14:textFill>
            <w14:solidFill>
              <w14:schemeClr w14:val="tx1"/>
            </w14:solidFill>
          </w14:textFill>
        </w:rPr>
      </w:pPr>
      <w:r>
        <w:rPr>
          <w:rFonts w:hint="eastAsia"/>
          <w:color w:val="000000" w:themeColor="text1"/>
          <w:sz w:val="24"/>
          <w:szCs w:val="24"/>
          <w:highlight w:val="none"/>
          <w:lang w:val="zh-CN"/>
          <w14:textFill>
            <w14:solidFill>
              <w14:schemeClr w14:val="tx1"/>
            </w14:solidFill>
          </w14:textFill>
        </w:rPr>
        <w:t>因一方违约致使合同目的无法实现。</w:t>
      </w:r>
    </w:p>
    <w:p>
      <w:pPr>
        <w:numPr>
          <w:ilvl w:val="2"/>
          <w:numId w:val="19"/>
        </w:numPr>
        <w:tabs>
          <w:tab w:val="left" w:pos="420"/>
        </w:tabs>
        <w:adjustRightInd w:val="0"/>
        <w:snapToGrid w:val="0"/>
        <w:spacing w:line="360" w:lineRule="auto"/>
        <w:rPr>
          <w:color w:val="000000" w:themeColor="text1"/>
          <w:sz w:val="24"/>
          <w:szCs w:val="24"/>
          <w:highlight w:val="none"/>
          <w:lang w:val="zh-CN"/>
          <w14:textFill>
            <w14:solidFill>
              <w14:schemeClr w14:val="tx1"/>
            </w14:solidFill>
          </w14:textFill>
        </w:rPr>
      </w:pPr>
      <w:r>
        <w:rPr>
          <w:rFonts w:hint="eastAsia"/>
          <w:color w:val="000000" w:themeColor="text1"/>
          <w:sz w:val="24"/>
          <w:szCs w:val="24"/>
          <w:highlight w:val="none"/>
          <w:lang w:val="zh-CN"/>
          <w14:textFill>
            <w14:solidFill>
              <w14:schemeClr w14:val="tx1"/>
            </w14:solidFill>
          </w14:textFill>
        </w:rPr>
        <w:t>因政策调整或规划调整或征地拆迁等客观原因造成本工程项目条件发生重大变化，使合同无法继续履行的，发包人有权单方解除合同，并免除发包人违约责任，发包人无需就此对承包人给予赔偿，由发包人与承包人协商签订书面协议明确清算原则进行结算；</w:t>
      </w:r>
    </w:p>
    <w:p>
      <w:pPr>
        <w:numPr>
          <w:ilvl w:val="2"/>
          <w:numId w:val="19"/>
        </w:numPr>
        <w:tabs>
          <w:tab w:val="left" w:pos="420"/>
        </w:tabs>
        <w:adjustRightInd w:val="0"/>
        <w:snapToGrid w:val="0"/>
        <w:spacing w:line="360" w:lineRule="auto"/>
        <w:rPr>
          <w:color w:val="000000" w:themeColor="text1"/>
          <w:highlight w:val="none"/>
          <w:lang w:val="zh-CN"/>
          <w14:textFill>
            <w14:solidFill>
              <w14:schemeClr w14:val="tx1"/>
            </w14:solidFill>
          </w14:textFill>
        </w:rPr>
      </w:pPr>
      <w:r>
        <w:rPr>
          <w:rFonts w:hint="eastAsia"/>
          <w:color w:val="000000" w:themeColor="text1"/>
          <w:sz w:val="24"/>
          <w:szCs w:val="24"/>
          <w:highlight w:val="none"/>
          <w:lang w:val="zh-CN"/>
          <w14:textFill>
            <w14:solidFill>
              <w14:schemeClr w14:val="tx1"/>
            </w14:solidFill>
          </w14:textFill>
        </w:rPr>
        <w:t>因国家政策变化或受到相关主管部门处罚，承包人丧失履行合同能力的；</w:t>
      </w:r>
    </w:p>
    <w:p>
      <w:pPr>
        <w:pStyle w:val="50"/>
        <w:numPr>
          <w:ilvl w:val="0"/>
          <w:numId w:val="18"/>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各方就本合同解除协商一致的，可以解除合同。</w:t>
      </w:r>
    </w:p>
    <w:p>
      <w:pPr>
        <w:pStyle w:val="50"/>
        <w:numPr>
          <w:ilvl w:val="0"/>
          <w:numId w:val="18"/>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本合同当事人一方依法律规定或本合同约定要求解除合同的，应当书面通知对方。</w:t>
      </w:r>
    </w:p>
    <w:p>
      <w:pPr>
        <w:pStyle w:val="50"/>
        <w:numPr>
          <w:ilvl w:val="0"/>
          <w:numId w:val="18"/>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本合同的权利和义务终止后，各方应当遵循诚实信用原则，履行通知、协助等义务。</w:t>
      </w:r>
    </w:p>
    <w:p>
      <w:pPr>
        <w:pStyle w:val="50"/>
        <w:numPr>
          <w:ilvl w:val="0"/>
          <w:numId w:val="18"/>
        </w:numPr>
        <w:adjustRightInd w:val="0"/>
        <w:snapToGrid w:val="0"/>
        <w:spacing w:line="360" w:lineRule="auto"/>
        <w:ind w:firstLine="48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本合同的终止并不影响本合同项下未完成的其他在终止日前已产生的义务或权利。</w:t>
      </w:r>
    </w:p>
    <w:p>
      <w:pPr>
        <w:pStyle w:val="4"/>
        <w:spacing w:before="240" w:after="120"/>
        <w:rPr>
          <w:color w:val="000000" w:themeColor="text1"/>
          <w:sz w:val="24"/>
          <w:highlight w:val="none"/>
          <w:lang w:val="zh-CN"/>
          <w14:textFill>
            <w14:solidFill>
              <w14:schemeClr w14:val="tx1"/>
            </w14:solidFill>
          </w14:textFill>
        </w:rPr>
      </w:pPr>
      <w:bookmarkStart w:id="172" w:name="_Toc149656777"/>
      <w:r>
        <w:rPr>
          <w:rFonts w:hint="eastAsia"/>
          <w:color w:val="000000" w:themeColor="text1"/>
          <w:highlight w:val="none"/>
          <w14:textFill>
            <w14:solidFill>
              <w14:schemeClr w14:val="tx1"/>
            </w14:solidFill>
          </w14:textFill>
        </w:rPr>
        <w:t>第十</w:t>
      </w:r>
      <w:r>
        <w:rPr>
          <w:rFonts w:hint="eastAsia"/>
          <w:color w:val="000000" w:themeColor="text1"/>
          <w:highlight w:val="none"/>
          <w:lang w:eastAsia="zh-Hans"/>
          <w14:textFill>
            <w14:solidFill>
              <w14:schemeClr w14:val="tx1"/>
            </w14:solidFill>
          </w14:textFill>
        </w:rPr>
        <w:t>三</w:t>
      </w:r>
      <w:r>
        <w:rPr>
          <w:rFonts w:hint="eastAsia"/>
          <w:color w:val="000000" w:themeColor="text1"/>
          <w:highlight w:val="none"/>
          <w14:textFill>
            <w14:solidFill>
              <w14:schemeClr w14:val="tx1"/>
            </w14:solidFill>
          </w14:textFill>
        </w:rPr>
        <w:t>条 合同签订与生效</w:t>
      </w:r>
      <w:bookmarkEnd w:id="172"/>
    </w:p>
    <w:p>
      <w:pPr>
        <w:pStyle w:val="50"/>
        <w:numPr>
          <w:ilvl w:val="0"/>
          <w:numId w:val="20"/>
        </w:numPr>
        <w:adjustRightInd w:val="0"/>
        <w:snapToGrid w:val="0"/>
        <w:spacing w:line="360" w:lineRule="auto"/>
        <w:ind w:firstLineChars="0"/>
        <w:rPr>
          <w:color w:val="000000" w:themeColor="text1"/>
          <w:sz w:val="24"/>
          <w:highlight w:val="none"/>
          <w:lang w:val="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合同经合同签署各方法定代表人或委托代理人签字或盖章并加盖单位公章（或合同章）后生效。合同生效之后，双方一致同意就中标通知书/直接委托通知书/其他：（备注：填写确定委托事项的书面文件）发出之日起至合同生效之日期间按合同约定的履约行为予以追认。合同各方履行完成本合同规定的义务后，本合同自行终止。</w:t>
      </w:r>
    </w:p>
    <w:p>
      <w:pPr>
        <w:pStyle w:val="50"/>
        <w:widowControl/>
        <w:numPr>
          <w:ilvl w:val="0"/>
          <w:numId w:val="20"/>
        </w:numPr>
        <w:adjustRightInd w:val="0"/>
        <w:snapToGrid w:val="0"/>
        <w:spacing w:line="360" w:lineRule="auto"/>
        <w:ind w:firstLine="480"/>
        <w:jc w:val="left"/>
        <w:rPr>
          <w:color w:val="000000" w:themeColor="text1"/>
          <w:sz w:val="24"/>
          <w:szCs w:val="24"/>
          <w:highlight w:val="none"/>
          <w14:textFill>
            <w14:solidFill>
              <w14:schemeClr w14:val="tx1"/>
            </w14:solidFill>
          </w14:textFill>
        </w:rPr>
      </w:pPr>
      <w:bookmarkStart w:id="173" w:name="_Hlk114667068"/>
      <w:r>
        <w:rPr>
          <w:rFonts w:hint="eastAsia"/>
          <w:color w:val="000000" w:themeColor="text1"/>
          <w:sz w:val="24"/>
          <w:highlight w:val="none"/>
          <w:lang w:val="zh-CN"/>
          <w14:textFill>
            <w14:solidFill>
              <w14:schemeClr w14:val="tx1"/>
            </w14:solidFill>
          </w14:textFill>
        </w:rPr>
        <w:t>正本一式</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份，各方各执壹份；副本一式</w:t>
      </w:r>
      <w:r>
        <w:rPr>
          <w:color w:val="000000" w:themeColor="text1"/>
          <w:sz w:val="24"/>
          <w:highlight w:val="none"/>
          <w:u w:val="single"/>
          <w:lang w:val="zh-CN"/>
          <w14:textFill>
            <w14:solidFill>
              <w14:schemeClr w14:val="tx1"/>
            </w14:solidFill>
          </w14:textFill>
        </w:rPr>
        <w:t xml:space="preserve">   </w:t>
      </w:r>
      <w:r>
        <w:rPr>
          <w:rFonts w:hint="eastAsia"/>
          <w:color w:val="000000" w:themeColor="text1"/>
          <w:sz w:val="24"/>
          <w:highlight w:val="none"/>
          <w:lang w:val="zh-CN"/>
          <w14:textFill>
            <w14:solidFill>
              <w14:schemeClr w14:val="tx1"/>
            </w14:solidFill>
          </w14:textFill>
        </w:rPr>
        <w:t>份，各方各执肆份，正副本具同等法律效力。</w:t>
      </w:r>
      <w:bookmarkEnd w:id="173"/>
      <w:r>
        <w:rPr>
          <w:color w:val="000000" w:themeColor="text1"/>
          <w:sz w:val="24"/>
          <w:szCs w:val="24"/>
          <w:highlight w:val="none"/>
          <w14:textFill>
            <w14:solidFill>
              <w14:schemeClr w14:val="tx1"/>
            </w14:solidFill>
          </w14:textFill>
        </w:rPr>
        <w:br w:type="page"/>
      </w:r>
    </w:p>
    <w:p>
      <w:pPr>
        <w:adjustRightInd w:val="0"/>
        <w:snapToGrid w:val="0"/>
        <w:spacing w:line="276"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（此页为签署页）</w:t>
      </w:r>
    </w:p>
    <w:p>
      <w:pPr>
        <w:adjustRightInd w:val="0"/>
        <w:snapToGrid w:val="0"/>
        <w:spacing w:line="276" w:lineRule="auto"/>
        <w:ind w:right="-525" w:rightChars="-250"/>
        <w:jc w:val="left"/>
        <w:rPr>
          <w:color w:val="000000" w:themeColor="text1"/>
          <w:sz w:val="24"/>
          <w:szCs w:val="24"/>
          <w:highlight w:val="none"/>
          <w:u w:val="single"/>
          <w14:textFill>
            <w14:solidFill>
              <w14:schemeClr w14:val="tx1"/>
            </w14:solidFill>
          </w14:textFill>
        </w:rPr>
      </w:pPr>
      <w:r>
        <w:rPr>
          <w:rFonts w:hint="eastAsia"/>
          <w:color w:val="000000" w:themeColor="text1"/>
          <w:sz w:val="24"/>
          <w:szCs w:val="24"/>
          <w:highlight w:val="none"/>
          <w14:textFill>
            <w14:solidFill>
              <w14:schemeClr w14:val="tx1"/>
            </w14:solidFill>
          </w14:textFill>
        </w:rPr>
        <w:t>发包人：广州南沙交通投资集团有限公司（项目监管单位）</w:t>
      </w:r>
    </w:p>
    <w:p>
      <w:pPr>
        <w:adjustRightInd w:val="0"/>
        <w:snapToGrid w:val="0"/>
        <w:spacing w:line="276" w:lineRule="auto"/>
        <w:ind w:right="-525" w:rightChars="-250" w:firstLine="2160" w:firstLineChars="9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（盖章）</w:t>
      </w:r>
    </w:p>
    <w:p>
      <w:pPr>
        <w:adjustRightInd w:val="0"/>
        <w:snapToGrid w:val="0"/>
        <w:spacing w:line="276"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法定代表人：</w:t>
      </w:r>
    </w:p>
    <w:p>
      <w:pPr>
        <w:pStyle w:val="15"/>
        <w:adjustRightInd w:val="0"/>
        <w:snapToGrid w:val="0"/>
        <w:spacing w:line="276" w:lineRule="auto"/>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委托代理人：</w:t>
      </w:r>
    </w:p>
    <w:p>
      <w:pPr>
        <w:adjustRightInd w:val="0"/>
        <w:snapToGrid w:val="0"/>
        <w:spacing w:line="276"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地    址：</w:t>
      </w:r>
      <w:r>
        <w:rPr>
          <w:rFonts w:hint="eastAsia"/>
          <w:color w:val="000000" w:themeColor="text1"/>
          <w:sz w:val="24"/>
          <w:highlight w:val="none"/>
          <w14:textFill>
            <w14:solidFill>
              <w14:schemeClr w14:val="tx1"/>
            </w14:solidFill>
          </w14:textFill>
        </w:rPr>
        <w:t>广东省广州市南沙区黄阁镇蕉西路115号融通大厦1</w:t>
      </w:r>
      <w:r>
        <w:rPr>
          <w:color w:val="000000" w:themeColor="text1"/>
          <w:sz w:val="24"/>
          <w:highlight w:val="none"/>
          <w14:textFill>
            <w14:solidFill>
              <w14:schemeClr w14:val="tx1"/>
            </w14:solidFill>
          </w14:textFill>
        </w:rPr>
        <w:t>3</w:t>
      </w:r>
      <w:r>
        <w:rPr>
          <w:rFonts w:hint="eastAsia"/>
          <w:color w:val="000000" w:themeColor="text1"/>
          <w:sz w:val="24"/>
          <w:highlight w:val="none"/>
          <w14:textFill>
            <w14:solidFill>
              <w14:schemeClr w14:val="tx1"/>
            </w14:solidFill>
          </w14:textFill>
        </w:rPr>
        <w:t>楼</w:t>
      </w:r>
    </w:p>
    <w:p>
      <w:pPr>
        <w:pStyle w:val="15"/>
        <w:adjustRightInd w:val="0"/>
        <w:snapToGrid w:val="0"/>
        <w:spacing w:line="276" w:lineRule="auto"/>
        <w:rPr>
          <w:rFonts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签订日期</w:t>
      </w:r>
      <w:r>
        <w:rPr>
          <w:rFonts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详见合同封面。</w:t>
      </w:r>
    </w:p>
    <w:p>
      <w:pPr>
        <w:adjustRightInd w:val="0"/>
        <w:snapToGrid w:val="0"/>
        <w:spacing w:line="276" w:lineRule="auto"/>
        <w:ind w:right="-525" w:rightChars="-250"/>
        <w:jc w:val="left"/>
        <w:rPr>
          <w:color w:val="000000" w:themeColor="text1"/>
          <w:sz w:val="24"/>
          <w:szCs w:val="24"/>
          <w:highlight w:val="none"/>
          <w14:textFill>
            <w14:solidFill>
              <w14:schemeClr w14:val="tx1"/>
            </w14:solidFill>
          </w14:textFill>
        </w:rPr>
      </w:pPr>
    </w:p>
    <w:p>
      <w:pPr>
        <w:adjustRightInd w:val="0"/>
        <w:snapToGrid w:val="0"/>
        <w:spacing w:line="276" w:lineRule="auto"/>
        <w:ind w:right="-525" w:rightChars="-250"/>
        <w:jc w:val="left"/>
        <w:rPr>
          <w:color w:val="000000" w:themeColor="text1"/>
          <w:sz w:val="24"/>
          <w:szCs w:val="24"/>
          <w:highlight w:val="none"/>
          <w14:textFill>
            <w14:solidFill>
              <w14:schemeClr w14:val="tx1"/>
            </w14:solidFill>
          </w14:textFill>
        </w:rPr>
      </w:pPr>
    </w:p>
    <w:p>
      <w:pPr>
        <w:pStyle w:val="15"/>
        <w:adjustRightInd w:val="0"/>
        <w:snapToGrid w:val="0"/>
        <w:spacing w:line="276" w:lineRule="auto"/>
        <w:rPr>
          <w:rFonts w:ascii="Times New Roman" w:hAnsi="Times New Roman" w:eastAsia="宋体"/>
          <w:color w:val="000000" w:themeColor="text1"/>
          <w:highlight w:val="none"/>
          <w14:textFill>
            <w14:solidFill>
              <w14:schemeClr w14:val="tx1"/>
            </w14:solidFill>
          </w14:textFill>
        </w:rPr>
      </w:pPr>
    </w:p>
    <w:p>
      <w:pPr>
        <w:adjustRightInd w:val="0"/>
        <w:snapToGrid w:val="0"/>
        <w:spacing w:line="276"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w:t>
      </w:r>
      <w:r>
        <w:rPr>
          <w:color w:val="000000" w:themeColor="text1"/>
          <w:sz w:val="24"/>
          <w:szCs w:val="24"/>
          <w:highlight w:val="none"/>
          <w14:textFill>
            <w14:solidFill>
              <w14:schemeClr w14:val="tx1"/>
            </w14:solidFill>
          </w14:textFill>
        </w:rPr>
        <w:t xml:space="preserve">       </w:t>
      </w:r>
    </w:p>
    <w:p>
      <w:pPr>
        <w:pStyle w:val="15"/>
        <w:adjustRightInd w:val="0"/>
        <w:snapToGrid w:val="0"/>
        <w:spacing w:line="276" w:lineRule="auto"/>
        <w:ind w:right="-525" w:rightChars="-250" w:firstLine="2160" w:firstLineChars="900"/>
        <w:jc w:val="left"/>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14:textFill>
            <w14:solidFill>
              <w14:schemeClr w14:val="tx1"/>
            </w14:solidFill>
          </w14:textFill>
        </w:rPr>
        <w:t>盖</w:t>
      </w:r>
      <w:r>
        <w:rPr>
          <w:rFonts w:ascii="Times New Roman" w:hAnsi="Times New Roman" w:eastAsia="宋体"/>
          <w:color w:val="000000" w:themeColor="text1"/>
          <w:sz w:val="24"/>
          <w:highlight w:val="none"/>
          <w14:textFill>
            <w14:solidFill>
              <w14:schemeClr w14:val="tx1"/>
            </w14:solidFill>
          </w14:textFill>
        </w:rPr>
        <w:t>章）</w:t>
      </w:r>
    </w:p>
    <w:p>
      <w:pPr>
        <w:adjustRightInd w:val="0"/>
        <w:snapToGrid w:val="0"/>
        <w:spacing w:line="276"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法定代表人：</w:t>
      </w:r>
    </w:p>
    <w:p>
      <w:pPr>
        <w:adjustRightInd w:val="0"/>
        <w:snapToGrid w:val="0"/>
        <w:spacing w:line="276"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委托代理人：</w:t>
      </w:r>
    </w:p>
    <w:p>
      <w:pPr>
        <w:adjustRightInd w:val="0"/>
        <w:snapToGrid w:val="0"/>
        <w:spacing w:line="276"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地    址： </w:t>
      </w:r>
      <w:r>
        <w:rPr>
          <w:color w:val="000000" w:themeColor="text1"/>
          <w:sz w:val="24"/>
          <w:szCs w:val="24"/>
          <w:highlight w:val="none"/>
          <w14:textFill>
            <w14:solidFill>
              <w14:schemeClr w14:val="tx1"/>
            </w14:solidFill>
          </w14:textFill>
        </w:rPr>
        <w:t xml:space="preserve">      </w:t>
      </w:r>
    </w:p>
    <w:p>
      <w:pPr>
        <w:adjustRightInd w:val="0"/>
        <w:snapToGrid w:val="0"/>
        <w:spacing w:line="276"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邮政编码：</w:t>
      </w:r>
      <w:r>
        <w:rPr>
          <w:color w:val="000000" w:themeColor="text1"/>
          <w:sz w:val="24"/>
          <w:szCs w:val="24"/>
          <w:highlight w:val="none"/>
          <w14:textFill>
            <w14:solidFill>
              <w14:schemeClr w14:val="tx1"/>
            </w14:solidFill>
          </w14:textFill>
        </w:rPr>
        <w:t xml:space="preserve">       </w:t>
      </w:r>
    </w:p>
    <w:p>
      <w:pPr>
        <w:adjustRightInd w:val="0"/>
        <w:snapToGrid w:val="0"/>
        <w:spacing w:line="276"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电    话：</w:t>
      </w:r>
      <w:r>
        <w:rPr>
          <w:color w:val="000000" w:themeColor="text1"/>
          <w:sz w:val="24"/>
          <w:szCs w:val="24"/>
          <w:highlight w:val="none"/>
          <w14:textFill>
            <w14:solidFill>
              <w14:schemeClr w14:val="tx1"/>
            </w14:solidFill>
          </w14:textFill>
        </w:rPr>
        <w:t xml:space="preserve">       </w:t>
      </w:r>
    </w:p>
    <w:p>
      <w:pPr>
        <w:adjustRightInd w:val="0"/>
        <w:snapToGrid w:val="0"/>
        <w:spacing w:line="276" w:lineRule="auto"/>
        <w:ind w:right="-525" w:rightChars="-25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传    真：</w:t>
      </w:r>
      <w:r>
        <w:rPr>
          <w:color w:val="000000" w:themeColor="text1"/>
          <w:sz w:val="24"/>
          <w:szCs w:val="24"/>
          <w:highlight w:val="none"/>
          <w14:textFill>
            <w14:solidFill>
              <w14:schemeClr w14:val="tx1"/>
            </w14:solidFill>
          </w14:textFill>
        </w:rPr>
        <w:t xml:space="preserve">       </w:t>
      </w:r>
    </w:p>
    <w:p>
      <w:pPr>
        <w:adjustRightInd w:val="0"/>
        <w:snapToGrid w:val="0"/>
        <w:spacing w:line="276" w:lineRule="auto"/>
        <w:ind w:right="-237" w:rightChars="-113"/>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签订日期：详见合同封面。</w:t>
      </w:r>
    </w:p>
    <w:p>
      <w:pPr>
        <w:pStyle w:val="15"/>
        <w:rPr>
          <w:rFonts w:ascii="Times New Roman" w:hAnsi="Times New Roman" w:eastAsia="宋体"/>
          <w:color w:val="000000" w:themeColor="text1"/>
          <w:sz w:val="24"/>
          <w:szCs w:val="24"/>
          <w:highlight w:val="none"/>
          <w14:textFill>
            <w14:solidFill>
              <w14:schemeClr w14:val="tx1"/>
            </w14:solidFill>
          </w14:textFill>
        </w:rPr>
      </w:pPr>
    </w:p>
    <w:p>
      <w:pPr>
        <w:pStyle w:val="15"/>
        <w:rPr>
          <w:rFonts w:ascii="Times New Roman" w:hAnsi="Times New Roman" w:eastAsia="宋体"/>
          <w:color w:val="000000" w:themeColor="text1"/>
          <w:sz w:val="24"/>
          <w:szCs w:val="24"/>
          <w:highlight w:val="none"/>
          <w14:textFill>
            <w14:solidFill>
              <w14:schemeClr w14:val="tx1"/>
            </w14:solidFill>
          </w14:textFill>
        </w:rPr>
      </w:pPr>
    </w:p>
    <w:p>
      <w:pPr>
        <w:pStyle w:val="15"/>
        <w:rPr>
          <w:rFonts w:ascii="Times New Roman" w:hAnsi="Times New Roman" w:eastAsia="宋体"/>
          <w:color w:val="000000" w:themeColor="text1"/>
          <w:sz w:val="24"/>
          <w:szCs w:val="24"/>
          <w:highlight w:val="none"/>
          <w:lang w:eastAsia="zh-Hans"/>
          <w14:textFill>
            <w14:solidFill>
              <w14:schemeClr w14:val="tx1"/>
            </w14:solidFill>
          </w14:textFill>
        </w:rPr>
      </w:pPr>
      <w:r>
        <w:rPr>
          <w:rFonts w:hint="eastAsia" w:ascii="Times New Roman" w:hAnsi="Times New Roman" w:eastAsia="宋体"/>
          <w:color w:val="000000" w:themeColor="text1"/>
          <w:sz w:val="24"/>
          <w:szCs w:val="24"/>
          <w:highlight w:val="none"/>
          <w:lang w:eastAsia="zh-Hans"/>
          <w14:textFill>
            <w14:solidFill>
              <w14:schemeClr w14:val="tx1"/>
            </w14:solidFill>
          </w14:textFill>
        </w:rPr>
        <w:t>（备注：如</w:t>
      </w:r>
      <w:r>
        <w:rPr>
          <w:rFonts w:ascii="Times New Roman" w:hAnsi="Times New Roman" w:eastAsia="宋体"/>
          <w:color w:val="000000" w:themeColor="text1"/>
          <w:sz w:val="24"/>
          <w:szCs w:val="24"/>
          <w:highlight w:val="none"/>
          <w:lang w:eastAsia="zh-Hans"/>
          <w14:textFill>
            <w14:solidFill>
              <w14:schemeClr w14:val="tx1"/>
            </w14:solidFill>
          </w14:textFill>
        </w:rPr>
        <w:t>承包人</w:t>
      </w:r>
      <w:r>
        <w:rPr>
          <w:rFonts w:hint="eastAsia" w:ascii="Times New Roman" w:hAnsi="Times New Roman" w:eastAsia="宋体"/>
          <w:color w:val="000000" w:themeColor="text1"/>
          <w:sz w:val="24"/>
          <w:szCs w:val="24"/>
          <w:highlight w:val="none"/>
          <w:lang w:eastAsia="zh-Hans"/>
          <w14:textFill>
            <w14:solidFill>
              <w14:schemeClr w14:val="tx1"/>
            </w14:solidFill>
          </w14:textFill>
        </w:rPr>
        <w:t>有多个主体，则按实际情况增加）</w:t>
      </w:r>
    </w:p>
    <w:p>
      <w:pPr>
        <w:adjustRightInd w:val="0"/>
        <w:snapToGrid w:val="0"/>
        <w:spacing w:line="360" w:lineRule="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br w:type="page"/>
      </w:r>
    </w:p>
    <w:p>
      <w:pPr>
        <w:pStyle w:val="27"/>
        <w:rPr>
          <w:color w:val="000000" w:themeColor="text1"/>
          <w:highlight w:val="none"/>
          <w14:textFill>
            <w14:solidFill>
              <w14:schemeClr w14:val="tx1"/>
            </w14:solidFill>
          </w14:textFill>
        </w:rPr>
      </w:pPr>
      <w:bookmarkStart w:id="174" w:name="_Toc32251"/>
      <w:bookmarkStart w:id="175" w:name="_Toc4679"/>
      <w:bookmarkStart w:id="176" w:name="_Toc1377"/>
      <w:bookmarkStart w:id="177" w:name="_Toc81930170"/>
      <w:bookmarkStart w:id="178" w:name="_Toc14767"/>
      <w:bookmarkStart w:id="179" w:name="_Toc24964"/>
      <w:bookmarkStart w:id="180" w:name="_Toc30545"/>
      <w:bookmarkStart w:id="181" w:name="_Toc29518"/>
      <w:bookmarkStart w:id="182" w:name="_Toc11681"/>
      <w:bookmarkStart w:id="183" w:name="_Toc29648"/>
      <w:bookmarkStart w:id="184" w:name="_Toc26669"/>
      <w:bookmarkStart w:id="185" w:name="_Toc6539"/>
      <w:bookmarkStart w:id="186" w:name="_Toc24974"/>
      <w:bookmarkStart w:id="187" w:name="_Toc8717_WPSOffice_Level1"/>
      <w:r>
        <w:rPr>
          <w:rFonts w:hint="eastAsia"/>
          <w:color w:val="000000" w:themeColor="text1"/>
          <w:highlight w:val="none"/>
          <w14:textFill>
            <w14:solidFill>
              <w14:schemeClr w14:val="tx1"/>
            </w14:solidFill>
          </w14:textFill>
        </w:rPr>
        <w:t>第二部分 合同附件</w:t>
      </w:r>
      <w:bookmarkEnd w:id="174"/>
      <w:bookmarkEnd w:id="175"/>
      <w:bookmarkEnd w:id="176"/>
      <w:bookmarkEnd w:id="177"/>
      <w:bookmarkEnd w:id="178"/>
      <w:bookmarkEnd w:id="179"/>
      <w:bookmarkEnd w:id="180"/>
      <w:bookmarkEnd w:id="181"/>
      <w:bookmarkEnd w:id="182"/>
      <w:bookmarkEnd w:id="183"/>
      <w:bookmarkEnd w:id="184"/>
      <w:bookmarkEnd w:id="185"/>
      <w:bookmarkEnd w:id="186"/>
    </w:p>
    <w:bookmarkEnd w:id="187"/>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w:t>
      </w:r>
      <w:r>
        <w:rPr>
          <w:color w:val="000000" w:themeColor="text1"/>
          <w:sz w:val="24"/>
          <w:szCs w:val="24"/>
          <w:highlight w:val="none"/>
          <w14:textFill>
            <w14:solidFill>
              <w14:schemeClr w14:val="tx1"/>
            </w14:solidFill>
          </w14:textFill>
        </w:rPr>
        <w:t>1</w:t>
      </w:r>
      <w:r>
        <w:rPr>
          <w:rFonts w:hint="eastAsia"/>
          <w:color w:val="000000" w:themeColor="text1"/>
          <w:sz w:val="24"/>
          <w:szCs w:val="24"/>
          <w:highlight w:val="none"/>
          <w14:textFill>
            <w14:solidFill>
              <w14:schemeClr w14:val="tx1"/>
            </w14:solidFill>
          </w14:textFill>
        </w:rPr>
        <w:t>：南沙区建设工程项目廉洁责任合同</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bookmarkStart w:id="188" w:name="_Toc24879_WPSOffice_Level1"/>
      <w:r>
        <w:rPr>
          <w:rFonts w:hint="eastAsia"/>
          <w:color w:val="000000" w:themeColor="text1"/>
          <w:sz w:val="24"/>
          <w:szCs w:val="24"/>
          <w:highlight w:val="none"/>
          <w14:textFill>
            <w14:solidFill>
              <w14:schemeClr w14:val="tx1"/>
            </w14:solidFill>
          </w14:textFill>
        </w:rPr>
        <w:t>附件</w:t>
      </w:r>
      <w:r>
        <w:rPr>
          <w:color w:val="000000" w:themeColor="text1"/>
          <w:sz w:val="24"/>
          <w:szCs w:val="24"/>
          <w:highlight w:val="none"/>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bookmarkEnd w:id="188"/>
      <w:r>
        <w:rPr>
          <w:rFonts w:hint="eastAsia"/>
          <w:color w:val="000000" w:themeColor="text1"/>
          <w:sz w:val="24"/>
          <w:szCs w:val="24"/>
          <w:highlight w:val="none"/>
          <w14:textFill>
            <w14:solidFill>
              <w14:schemeClr w14:val="tx1"/>
            </w14:solidFill>
          </w14:textFill>
        </w:rPr>
        <w:t>中标通知书/直接委托通知书/会议纪要</w:t>
      </w:r>
      <w:r>
        <w:rPr>
          <w:rFonts w:hint="eastAsia"/>
          <w:color w:val="000000" w:themeColor="text1"/>
          <w:sz w:val="24"/>
          <w:szCs w:val="24"/>
          <w:highlight w:val="none"/>
          <w:lang w:eastAsia="zh-Hans"/>
          <w14:textFill>
            <w14:solidFill>
              <w14:schemeClr w14:val="tx1"/>
            </w14:solidFill>
          </w14:textFill>
        </w:rPr>
        <w:t>等确定委托事项的书面文件</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bookmarkStart w:id="189" w:name="_Toc3930_WPSOffice_Level1"/>
      <w:r>
        <w:rPr>
          <w:rFonts w:hint="eastAsia"/>
          <w:color w:val="000000" w:themeColor="text1"/>
          <w:sz w:val="24"/>
          <w:szCs w:val="24"/>
          <w:highlight w:val="none"/>
          <w14:textFill>
            <w14:solidFill>
              <w14:schemeClr w14:val="tx1"/>
            </w14:solidFill>
          </w14:textFill>
        </w:rPr>
        <w:t>附件</w:t>
      </w:r>
      <w:r>
        <w:rPr>
          <w:color w:val="000000" w:themeColor="text1"/>
          <w:sz w:val="24"/>
          <w:szCs w:val="24"/>
          <w:highlight w:val="none"/>
          <w14:textFill>
            <w14:solidFill>
              <w14:schemeClr w14:val="tx1"/>
            </w14:solidFill>
          </w14:textFill>
        </w:rPr>
        <w:t>3</w:t>
      </w:r>
      <w:r>
        <w:rPr>
          <w:rFonts w:hint="eastAsia"/>
          <w:color w:val="000000" w:themeColor="text1"/>
          <w:sz w:val="24"/>
          <w:szCs w:val="24"/>
          <w:highlight w:val="none"/>
          <w14:textFill>
            <w14:solidFill>
              <w14:schemeClr w14:val="tx1"/>
            </w14:solidFill>
          </w14:textFill>
        </w:rPr>
        <w:t>：法定代表人证明书及法定代表人身份证复印件</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w:t>
      </w:r>
      <w:r>
        <w:rPr>
          <w:color w:val="000000" w:themeColor="text1"/>
          <w:sz w:val="24"/>
          <w:szCs w:val="24"/>
          <w:highlight w:val="none"/>
          <w14:textFill>
            <w14:solidFill>
              <w14:schemeClr w14:val="tx1"/>
            </w14:solidFill>
          </w14:textFill>
        </w:rPr>
        <w:t>4</w:t>
      </w:r>
      <w:r>
        <w:rPr>
          <w:rFonts w:hint="eastAsia"/>
          <w:color w:val="000000" w:themeColor="text1"/>
          <w:sz w:val="24"/>
          <w:szCs w:val="24"/>
          <w:highlight w:val="none"/>
          <w14:textFill>
            <w14:solidFill>
              <w14:schemeClr w14:val="tx1"/>
            </w14:solidFill>
          </w14:textFill>
        </w:rPr>
        <w:t>：</w:t>
      </w:r>
      <w:bookmarkEnd w:id="189"/>
      <w:r>
        <w:rPr>
          <w:rFonts w:hint="eastAsia"/>
          <w:color w:val="000000" w:themeColor="text1"/>
          <w:sz w:val="24"/>
          <w:szCs w:val="24"/>
          <w:highlight w:val="none"/>
          <w14:textFill>
            <w14:solidFill>
              <w14:schemeClr w14:val="tx1"/>
            </w14:solidFill>
          </w14:textFill>
        </w:rPr>
        <w:t>投标报价文件（如有）/合同费用计算书</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bookmarkStart w:id="190" w:name="_Toc1238_WPSOffice_Level1"/>
      <w:r>
        <w:rPr>
          <w:rFonts w:hint="eastAsia"/>
          <w:color w:val="000000" w:themeColor="text1"/>
          <w:sz w:val="24"/>
          <w:szCs w:val="24"/>
          <w:highlight w:val="none"/>
          <w14:textFill>
            <w14:solidFill>
              <w14:schemeClr w14:val="tx1"/>
            </w14:solidFill>
          </w14:textFill>
        </w:rPr>
        <w:t>附件</w:t>
      </w:r>
      <w:r>
        <w:rPr>
          <w:color w:val="000000" w:themeColor="text1"/>
          <w:sz w:val="24"/>
          <w:szCs w:val="24"/>
          <w:highlight w:val="none"/>
          <w14:textFill>
            <w14:solidFill>
              <w14:schemeClr w14:val="tx1"/>
            </w14:solidFill>
          </w14:textFill>
        </w:rPr>
        <w:t>5</w:t>
      </w:r>
      <w:r>
        <w:rPr>
          <w:rFonts w:hint="eastAsia"/>
          <w:color w:val="000000" w:themeColor="text1"/>
          <w:sz w:val="24"/>
          <w:szCs w:val="24"/>
          <w:highlight w:val="none"/>
          <w14:textFill>
            <w14:solidFill>
              <w14:schemeClr w14:val="tx1"/>
            </w14:solidFill>
          </w14:textFill>
        </w:rPr>
        <w:t>：</w:t>
      </w:r>
      <w:bookmarkEnd w:id="190"/>
      <w:r>
        <w:rPr>
          <w:rFonts w:hint="eastAsia"/>
          <w:color w:val="000000" w:themeColor="text1"/>
          <w:sz w:val="24"/>
          <w:szCs w:val="24"/>
          <w:highlight w:val="none"/>
          <w14:textFill>
            <w14:solidFill>
              <w14:schemeClr w14:val="tx1"/>
            </w14:solidFill>
          </w14:textFill>
        </w:rPr>
        <w:t>承诺书、履约银行保函</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附件6：造价编审咨询工作违约责任附表</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bookmarkStart w:id="191" w:name="_Toc12157_WPSOffice_Level1"/>
      <w:r>
        <w:rPr>
          <w:rFonts w:hint="eastAsia"/>
          <w:color w:val="000000" w:themeColor="text1"/>
          <w:sz w:val="24"/>
          <w:szCs w:val="24"/>
          <w:highlight w:val="none"/>
          <w14:textFill>
            <w14:solidFill>
              <w14:schemeClr w14:val="tx1"/>
            </w14:solidFill>
          </w14:textFill>
        </w:rPr>
        <w:t>附件</w:t>
      </w:r>
      <w:bookmarkEnd w:id="191"/>
      <w:r>
        <w:rPr>
          <w:color w:val="000000" w:themeColor="text1"/>
          <w:sz w:val="24"/>
          <w:szCs w:val="24"/>
          <w:highlight w:val="none"/>
          <w14:textFill>
            <w14:solidFill>
              <w14:schemeClr w14:val="tx1"/>
            </w14:solidFill>
          </w14:textFill>
        </w:rPr>
        <w:t>7</w:t>
      </w:r>
      <w:r>
        <w:rPr>
          <w:rFonts w:hint="eastAsia"/>
          <w:color w:val="000000" w:themeColor="text1"/>
          <w:sz w:val="24"/>
          <w:szCs w:val="24"/>
          <w:highlight w:val="none"/>
          <w14:textFill>
            <w14:solidFill>
              <w14:schemeClr w14:val="tx1"/>
            </w14:solidFill>
          </w14:textFill>
        </w:rPr>
        <w:t>：招投标文件关键页（备注：如答疑纪要、拟投入人员表及负责人资质、拟投入设备、联合体协议书、工期计划等）</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w:t>
      </w:r>
      <w:r>
        <w:rPr>
          <w:color w:val="000000" w:themeColor="text1"/>
          <w:sz w:val="24"/>
          <w:szCs w:val="24"/>
          <w:highlight w:val="none"/>
          <w14:textFill>
            <w14:solidFill>
              <w14:schemeClr w14:val="tx1"/>
            </w14:solidFill>
          </w14:textFill>
        </w:rPr>
        <w:t>8</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Hans"/>
          <w14:textFill>
            <w14:solidFill>
              <w14:schemeClr w14:val="tx1"/>
            </w14:solidFill>
          </w14:textFill>
        </w:rPr>
        <w:t>相关会议纪要</w:t>
      </w:r>
      <w:r>
        <w:rPr>
          <w:rFonts w:hint="eastAsia"/>
          <w:color w:val="000000" w:themeColor="text1"/>
          <w:sz w:val="24"/>
          <w:szCs w:val="24"/>
          <w:highlight w:val="none"/>
          <w14:textFill>
            <w14:solidFill>
              <w14:schemeClr w14:val="tx1"/>
            </w14:solidFill>
          </w14:textFill>
        </w:rPr>
        <w:t>及立项批文（备注：如项建/可研/初设批复等，无则本条删除）</w:t>
      </w:r>
    </w:p>
    <w:p>
      <w:pPr>
        <w:adjustRightInd w:val="0"/>
        <w:snapToGrid w:val="0"/>
        <w:spacing w:line="360" w:lineRule="auto"/>
        <w:ind w:left="1380" w:leftChars="200" w:hanging="960" w:hangingChars="4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附件</w:t>
      </w:r>
      <w:r>
        <w:rPr>
          <w:color w:val="000000" w:themeColor="text1"/>
          <w:sz w:val="24"/>
          <w:szCs w:val="24"/>
          <w:highlight w:val="none"/>
          <w14:textFill>
            <w14:solidFill>
              <w14:schemeClr w14:val="tx1"/>
            </w14:solidFill>
          </w14:textFill>
        </w:rPr>
        <w:t>9</w:t>
      </w:r>
      <w:r>
        <w:rPr>
          <w:rFonts w:hint="eastAsia"/>
          <w:color w:val="000000" w:themeColor="text1"/>
          <w:sz w:val="24"/>
          <w:szCs w:val="24"/>
          <w:highlight w:val="none"/>
          <w14:textFill>
            <w14:solidFill>
              <w14:schemeClr w14:val="tx1"/>
            </w14:solidFill>
          </w14:textFill>
        </w:rPr>
        <w:t>：相关管理制度（备注：如无则本条删除）</w:t>
      </w:r>
    </w:p>
    <w:p>
      <w:pPr>
        <w:adjustRightInd w:val="0"/>
        <w:snapToGrid w:val="0"/>
        <w:spacing w:line="360" w:lineRule="auto"/>
        <w:ind w:firstLine="456" w:firstLineChars="190"/>
        <w:rPr>
          <w:color w:val="000000" w:themeColor="text1"/>
          <w:sz w:val="24"/>
          <w:szCs w:val="24"/>
          <w:highlight w:val="none"/>
          <w14:textFill>
            <w14:solidFill>
              <w14:schemeClr w14:val="tx1"/>
            </w14:solidFill>
          </w14:textFill>
        </w:rPr>
      </w:pPr>
    </w:p>
    <w:p>
      <w:pPr>
        <w:adjustRightInd w:val="0"/>
        <w:snapToGrid w:val="0"/>
        <w:spacing w:line="360" w:lineRule="auto"/>
        <w:ind w:firstLine="456" w:firstLineChars="19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br w:type="page"/>
      </w:r>
    </w:p>
    <w:p>
      <w:pPr>
        <w:pStyle w:val="5"/>
        <w:rPr>
          <w:color w:val="000000" w:themeColor="text1"/>
          <w:highlight w:val="none"/>
          <w14:textFill>
            <w14:solidFill>
              <w14:schemeClr w14:val="tx1"/>
            </w14:solidFill>
          </w14:textFill>
        </w:rPr>
      </w:pPr>
      <w:bookmarkStart w:id="192" w:name="_Toc22564"/>
      <w:bookmarkStart w:id="193" w:name="_Toc114661189"/>
      <w:bookmarkStart w:id="194" w:name="_Toc4028"/>
      <w:bookmarkStart w:id="195" w:name="_Toc2312"/>
      <w:bookmarkStart w:id="196" w:name="_Toc114645971"/>
      <w:bookmarkStart w:id="197" w:name="_Toc24463"/>
      <w:bookmarkStart w:id="198" w:name="_Toc7211"/>
      <w:bookmarkStart w:id="199" w:name="_Toc1187188059"/>
      <w:bookmarkStart w:id="200" w:name="_Toc28197"/>
      <w:bookmarkStart w:id="201" w:name="_Toc5750"/>
      <w:bookmarkStart w:id="202" w:name="_Toc41902572"/>
      <w:bookmarkStart w:id="203" w:name="_Toc28321"/>
      <w:bookmarkStart w:id="204" w:name="_Toc18126"/>
      <w:bookmarkStart w:id="205" w:name="_Toc4552"/>
      <w:bookmarkStart w:id="206" w:name="_Toc32006"/>
      <w:bookmarkStart w:id="207" w:name="_Toc292"/>
      <w:bookmarkStart w:id="208" w:name="_Toc112071516"/>
      <w:bookmarkStart w:id="209" w:name="_Toc887"/>
      <w:bookmarkStart w:id="210" w:name="_Toc9394"/>
      <w:bookmarkStart w:id="211" w:name="_Toc1817687343"/>
      <w:bookmarkStart w:id="212" w:name="_Toc19787"/>
      <w:bookmarkStart w:id="213" w:name="_Toc10267"/>
      <w:bookmarkStart w:id="214" w:name="_Toc149656778"/>
      <w:bookmarkStart w:id="215" w:name="_Toc30262"/>
      <w:bookmarkStart w:id="216" w:name="_Toc81930171"/>
      <w:bookmarkStart w:id="217" w:name="_Toc23612"/>
      <w:bookmarkStart w:id="218" w:name="_Toc2682"/>
      <w:bookmarkStart w:id="219" w:name="_Toc6643"/>
      <w:bookmarkStart w:id="220" w:name="_Toc6906"/>
      <w:bookmarkStart w:id="221" w:name="_Toc13374"/>
      <w:bookmarkStart w:id="222" w:name="_Toc31843"/>
      <w:bookmarkStart w:id="223" w:name="_Toc4520_WPSOffice_Level1"/>
      <w:bookmarkStart w:id="224" w:name="_Toc20338"/>
      <w:bookmarkStart w:id="225" w:name="_Toc4682"/>
      <w:bookmarkStart w:id="226" w:name="_Toc1863"/>
      <w:bookmarkStart w:id="227" w:name="_Toc17752"/>
      <w:bookmarkStart w:id="228" w:name="_Toc22838"/>
      <w:bookmarkStart w:id="229" w:name="_Toc8323"/>
      <w:bookmarkStart w:id="230" w:name="_Toc22275"/>
      <w:r>
        <w:rPr>
          <w:color w:val="000000" w:themeColor="text1"/>
          <w:highlight w:val="none"/>
          <w14:textFill>
            <w14:solidFill>
              <w14:schemeClr w14:val="tx1"/>
            </w14:solidFill>
          </w14:textFill>
        </w:rPr>
        <w:t>附件1</w:t>
      </w:r>
      <w:r>
        <w:rPr>
          <w:rFonts w:hint="eastAsia"/>
          <w:color w:val="000000" w:themeColor="text1"/>
          <w:highlight w:val="none"/>
          <w14:textFill>
            <w14:solidFill>
              <w14:schemeClr w14:val="tx1"/>
            </w14:solidFill>
          </w14:textFill>
        </w:rPr>
        <w:t>：南沙区建设工程项目廉洁责任合同</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pPr>
        <w:pStyle w:val="2"/>
        <w:snapToGrid w:val="0"/>
        <w:spacing w:line="360" w:lineRule="auto"/>
        <w:ind w:firstLine="210"/>
        <w:rPr>
          <w:color w:val="000000" w:themeColor="text1"/>
          <w:highlight w:val="none"/>
          <w14:textFill>
            <w14:solidFill>
              <w14:schemeClr w14:val="tx1"/>
            </w14:solidFill>
          </w14:textFill>
        </w:rPr>
      </w:pPr>
    </w:p>
    <w:p>
      <w:pPr>
        <w:snapToGrid w:val="0"/>
        <w:spacing w:line="360" w:lineRule="auto"/>
        <w:jc w:val="center"/>
        <w:rPr>
          <w:b/>
          <w:color w:val="000000" w:themeColor="text1"/>
          <w:sz w:val="44"/>
          <w:szCs w:val="44"/>
          <w:highlight w:val="none"/>
          <w14:textFill>
            <w14:solidFill>
              <w14:schemeClr w14:val="tx1"/>
            </w14:solidFill>
          </w14:textFill>
        </w:rPr>
      </w:pPr>
      <w:r>
        <w:rPr>
          <w:b/>
          <w:color w:val="000000" w:themeColor="text1"/>
          <w:sz w:val="44"/>
          <w:szCs w:val="44"/>
          <w:highlight w:val="none"/>
          <w14:textFill>
            <w14:solidFill>
              <w14:schemeClr w14:val="tx1"/>
            </w14:solidFill>
          </w14:textFill>
        </w:rPr>
        <w:t>南沙区建设工程项目廉</w:t>
      </w:r>
      <w:r>
        <w:rPr>
          <w:rFonts w:hint="eastAsia"/>
          <w:b/>
          <w:color w:val="000000" w:themeColor="text1"/>
          <w:sz w:val="44"/>
          <w:szCs w:val="44"/>
          <w:highlight w:val="none"/>
          <w14:textFill>
            <w14:solidFill>
              <w14:schemeClr w14:val="tx1"/>
            </w14:solidFill>
          </w14:textFill>
        </w:rPr>
        <w:t>洁责任</w:t>
      </w:r>
      <w:r>
        <w:rPr>
          <w:b/>
          <w:color w:val="000000" w:themeColor="text1"/>
          <w:sz w:val="44"/>
          <w:szCs w:val="44"/>
          <w:highlight w:val="none"/>
          <w14:textFill>
            <w14:solidFill>
              <w14:schemeClr w14:val="tx1"/>
            </w14:solidFill>
          </w14:textFill>
        </w:rPr>
        <w:t>合同</w:t>
      </w:r>
    </w:p>
    <w:p>
      <w:pPr>
        <w:snapToGrid w:val="0"/>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发包人（委托人）：</w:t>
      </w:r>
      <w:r>
        <w:rPr>
          <w:rFonts w:hint="eastAsia"/>
          <w:color w:val="000000" w:themeColor="text1"/>
          <w:sz w:val="24"/>
          <w:szCs w:val="24"/>
          <w:highlight w:val="none"/>
          <w:u w:val="single"/>
          <w14:textFill>
            <w14:solidFill>
              <w14:schemeClr w14:val="tx1"/>
            </w14:solidFill>
          </w14:textFill>
        </w:rPr>
        <w:t>广州南沙交通投资集团有限公司</w:t>
      </w:r>
    </w:p>
    <w:p>
      <w:pPr>
        <w:snapToGrid w:val="0"/>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承包人（受托人）：</w:t>
      </w:r>
      <w:r>
        <w:rPr>
          <w:rFonts w:hint="eastAsia"/>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u w:val="single"/>
          <w14:textFill>
            <w14:solidFill>
              <w14:schemeClr w14:val="tx1"/>
            </w14:solidFill>
          </w14:textFill>
        </w:rPr>
        <w:t xml:space="preserve">                           </w:t>
      </w:r>
    </w:p>
    <w:p>
      <w:pPr>
        <w:snapToGrid w:val="0"/>
        <w:spacing w:line="360" w:lineRule="auto"/>
        <w:rPr>
          <w:color w:val="000000" w:themeColor="text1"/>
          <w:sz w:val="24"/>
          <w:szCs w:val="24"/>
          <w:highlight w:val="none"/>
          <w:u w:val="single"/>
          <w14:textFill>
            <w14:solidFill>
              <w14:schemeClr w14:val="tx1"/>
            </w14:solidFill>
          </w14:textFill>
        </w:rPr>
      </w:pPr>
      <w:r>
        <w:rPr>
          <w:rFonts w:hint="eastAsia"/>
          <w:color w:val="000000" w:themeColor="text1"/>
          <w:sz w:val="24"/>
          <w:szCs w:val="24"/>
          <w:highlight w:val="none"/>
          <w14:textFill>
            <w14:solidFill>
              <w14:schemeClr w14:val="tx1"/>
            </w14:solidFill>
          </w14:textFill>
        </w:rPr>
        <w:t>建设工程项目：</w:t>
      </w:r>
      <w:r>
        <w:rPr>
          <w:rFonts w:hint="eastAsia"/>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14:textFill>
            <w14:solidFill>
              <w14:schemeClr w14:val="tx1"/>
            </w14:solidFill>
          </w14:textFill>
        </w:rPr>
        <w:t>全过程造价咨询</w:t>
      </w:r>
    </w:p>
    <w:p>
      <w:pPr>
        <w:snapToGrid w:val="0"/>
        <w:spacing w:line="360" w:lineRule="auto"/>
        <w:rPr>
          <w:color w:val="000000" w:themeColor="text1"/>
          <w:sz w:val="24"/>
          <w:szCs w:val="24"/>
          <w:highlight w:val="none"/>
          <w:u w:val="single"/>
          <w14:textFill>
            <w14:solidFill>
              <w14:schemeClr w14:val="tx1"/>
            </w14:solidFill>
          </w14:textFill>
        </w:rPr>
      </w:pPr>
      <w:r>
        <w:rPr>
          <w:color w:val="000000" w:themeColor="text1"/>
          <w:sz w:val="24"/>
          <w:szCs w:val="24"/>
          <w:highlight w:val="none"/>
          <w14:textFill>
            <w14:solidFill>
              <w14:schemeClr w14:val="tx1"/>
            </w14:solidFill>
          </w14:textFill>
        </w:rPr>
        <w:t>建设工程地点：</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lang w:eastAsia="zh-Hans"/>
          <w14:textFill>
            <w14:solidFill>
              <w14:schemeClr w14:val="tx1"/>
            </w14:solidFill>
          </w14:textFill>
        </w:rPr>
        <w:t>广州市南沙区</w:t>
      </w:r>
      <w:r>
        <w:rPr>
          <w:color w:val="000000" w:themeColor="text1"/>
          <w:sz w:val="24"/>
          <w:szCs w:val="24"/>
          <w:highlight w:val="none"/>
          <w:u w:val="single"/>
          <w14:textFill>
            <w14:solidFill>
              <w14:schemeClr w14:val="tx1"/>
            </w14:solidFill>
          </w14:textFill>
        </w:rPr>
        <w:t xml:space="preserve"> </w:t>
      </w:r>
    </w:p>
    <w:p>
      <w:pPr>
        <w:pStyle w:val="2"/>
        <w:snapToGrid w:val="0"/>
        <w:spacing w:line="360" w:lineRule="auto"/>
        <w:ind w:firstLine="240"/>
        <w:rPr>
          <w:color w:val="000000" w:themeColor="text1"/>
          <w:sz w:val="24"/>
          <w:szCs w:val="24"/>
          <w:highlight w:val="none"/>
          <w14:textFill>
            <w14:solidFill>
              <w14:schemeClr w14:val="tx1"/>
            </w14:solidFill>
          </w14:textFill>
        </w:rPr>
      </w:pP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为贯彻落实国家、省、市有关</w:t>
      </w:r>
      <w:r>
        <w:rPr>
          <w:rFonts w:hint="eastAsia"/>
          <w:color w:val="000000" w:themeColor="text1"/>
          <w:sz w:val="24"/>
          <w:szCs w:val="24"/>
          <w:highlight w:val="none"/>
          <w14:textFill>
            <w14:solidFill>
              <w14:schemeClr w14:val="tx1"/>
            </w14:solidFill>
          </w14:textFill>
        </w:rPr>
        <w:t>廉洁</w:t>
      </w:r>
      <w:r>
        <w:rPr>
          <w:color w:val="000000" w:themeColor="text1"/>
          <w:sz w:val="24"/>
          <w:szCs w:val="24"/>
          <w:highlight w:val="none"/>
          <w14:textFill>
            <w14:solidFill>
              <w14:schemeClr w14:val="tx1"/>
            </w14:solidFill>
          </w14:textFill>
        </w:rPr>
        <w:t>规定，</w:t>
      </w:r>
      <w:r>
        <w:rPr>
          <w:rFonts w:hint="eastAsia"/>
          <w:color w:val="000000" w:themeColor="text1"/>
          <w:sz w:val="24"/>
          <w:szCs w:val="24"/>
          <w:highlight w:val="none"/>
          <w14:textFill>
            <w14:solidFill>
              <w14:schemeClr w14:val="tx1"/>
            </w14:solidFill>
          </w14:textFill>
        </w:rPr>
        <w:t>深化</w:t>
      </w:r>
      <w:r>
        <w:rPr>
          <w:color w:val="000000" w:themeColor="text1"/>
          <w:sz w:val="24"/>
          <w:szCs w:val="24"/>
          <w:highlight w:val="none"/>
          <w14:textFill>
            <w14:solidFill>
              <w14:schemeClr w14:val="tx1"/>
            </w14:solidFill>
          </w14:textFill>
        </w:rPr>
        <w:t>廉洁南沙自贸试验区建设，加强工程建设领域廉洁风险防控，</w:t>
      </w:r>
      <w:r>
        <w:rPr>
          <w:rFonts w:hint="eastAsia"/>
          <w:color w:val="000000" w:themeColor="text1"/>
          <w:sz w:val="24"/>
          <w:szCs w:val="24"/>
          <w:highlight w:val="none"/>
          <w14:textFill>
            <w14:solidFill>
              <w14:schemeClr w14:val="tx1"/>
            </w14:solidFill>
          </w14:textFill>
        </w:rPr>
        <w:t>构建亲清政商关系，</w:t>
      </w:r>
      <w:r>
        <w:rPr>
          <w:color w:val="000000" w:themeColor="text1"/>
          <w:sz w:val="24"/>
          <w:szCs w:val="24"/>
          <w:highlight w:val="none"/>
          <w14:textFill>
            <w14:solidFill>
              <w14:schemeClr w14:val="tx1"/>
            </w14:solidFill>
          </w14:textFill>
        </w:rPr>
        <w:t>营造风清气正的市场环境，根据《</w:t>
      </w:r>
      <w:r>
        <w:rPr>
          <w:rFonts w:hint="eastAsia"/>
          <w:color w:val="000000" w:themeColor="text1"/>
          <w:sz w:val="24"/>
          <w:szCs w:val="24"/>
          <w:highlight w:val="none"/>
          <w14:textFill>
            <w14:solidFill>
              <w14:schemeClr w14:val="tx1"/>
            </w14:solidFill>
          </w14:textFill>
        </w:rPr>
        <w:t>中华人民共和国</w:t>
      </w:r>
      <w:r>
        <w:rPr>
          <w:color w:val="000000" w:themeColor="text1"/>
          <w:sz w:val="24"/>
          <w:szCs w:val="24"/>
          <w:highlight w:val="none"/>
          <w14:textFill>
            <w14:solidFill>
              <w14:schemeClr w14:val="tx1"/>
            </w14:solidFill>
          </w14:textFill>
        </w:rPr>
        <w:t>反不正当竞争法》《</w:t>
      </w:r>
      <w:r>
        <w:rPr>
          <w:rFonts w:hint="eastAsia"/>
          <w:color w:val="000000" w:themeColor="text1"/>
          <w:sz w:val="24"/>
          <w:szCs w:val="24"/>
          <w:highlight w:val="none"/>
          <w14:textFill>
            <w14:solidFill>
              <w14:schemeClr w14:val="tx1"/>
            </w14:solidFill>
          </w14:textFill>
        </w:rPr>
        <w:t>中华人民共和国</w:t>
      </w:r>
      <w:r>
        <w:rPr>
          <w:color w:val="000000" w:themeColor="text1"/>
          <w:sz w:val="24"/>
          <w:szCs w:val="24"/>
          <w:highlight w:val="none"/>
          <w14:textFill>
            <w14:solidFill>
              <w14:schemeClr w14:val="tx1"/>
            </w14:solidFill>
          </w14:textFill>
        </w:rPr>
        <w:t>招标投标法》及其实施条例等法律法规及政策的规定，双方同意签订本合同。</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第一条  本合同适用于南沙区政府财政资金和国有资金占控股</w:t>
      </w:r>
      <w:r>
        <w:rPr>
          <w:rFonts w:hint="eastAsia"/>
          <w:b/>
          <w:color w:val="000000" w:themeColor="text1"/>
          <w:sz w:val="24"/>
          <w:szCs w:val="24"/>
          <w:highlight w:val="none"/>
          <w14:textFill>
            <w14:solidFill>
              <w14:schemeClr w14:val="tx1"/>
            </w14:solidFill>
          </w14:textFill>
        </w:rPr>
        <w:t>或</w:t>
      </w:r>
      <w:r>
        <w:rPr>
          <w:b/>
          <w:color w:val="000000" w:themeColor="text1"/>
          <w:sz w:val="24"/>
          <w:szCs w:val="24"/>
          <w:highlight w:val="none"/>
          <w14:textFill>
            <w14:solidFill>
              <w14:schemeClr w14:val="tx1"/>
            </w14:solidFill>
          </w14:textFill>
        </w:rPr>
        <w:t>主导地位的</w:t>
      </w:r>
      <w:r>
        <w:rPr>
          <w:rFonts w:hint="eastAsia"/>
          <w:b/>
          <w:color w:val="000000" w:themeColor="text1"/>
          <w:sz w:val="24"/>
          <w:szCs w:val="24"/>
          <w:highlight w:val="none"/>
          <w14:textFill>
            <w14:solidFill>
              <w14:schemeClr w14:val="tx1"/>
            </w14:solidFill>
          </w14:textFill>
        </w:rPr>
        <w:t>公开招标</w:t>
      </w:r>
      <w:r>
        <w:rPr>
          <w:b/>
          <w:color w:val="000000" w:themeColor="text1"/>
          <w:sz w:val="24"/>
          <w:szCs w:val="24"/>
          <w:highlight w:val="none"/>
          <w14:textFill>
            <w14:solidFill>
              <w14:schemeClr w14:val="tx1"/>
            </w14:solidFill>
          </w14:textFill>
        </w:rPr>
        <w:t>建设工程项目，涵盖工程施工类及服务类合同。辖区范围内其他工程项目可参照执行。</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第二条  发包人及其</w:t>
      </w:r>
      <w:r>
        <w:rPr>
          <w:rFonts w:hint="eastAsia"/>
          <w:b/>
          <w:color w:val="000000" w:themeColor="text1"/>
          <w:sz w:val="24"/>
          <w:szCs w:val="24"/>
          <w:highlight w:val="none"/>
          <w14:textFill>
            <w14:solidFill>
              <w14:schemeClr w14:val="tx1"/>
            </w14:solidFill>
          </w14:textFill>
        </w:rPr>
        <w:t>工作人员不得</w:t>
      </w:r>
      <w:r>
        <w:rPr>
          <w:b/>
          <w:color w:val="000000" w:themeColor="text1"/>
          <w:sz w:val="24"/>
          <w:szCs w:val="24"/>
          <w:highlight w:val="none"/>
          <w14:textFill>
            <w14:solidFill>
              <w14:schemeClr w14:val="tx1"/>
            </w14:solidFill>
          </w14:textFill>
        </w:rPr>
        <w:t>利用项目或职权</w:t>
      </w:r>
      <w:r>
        <w:rPr>
          <w:rFonts w:hint="eastAsia"/>
          <w:b/>
          <w:color w:val="000000" w:themeColor="text1"/>
          <w:sz w:val="24"/>
          <w:szCs w:val="24"/>
          <w:highlight w:val="none"/>
          <w14:textFill>
            <w14:solidFill>
              <w14:schemeClr w14:val="tx1"/>
            </w14:solidFill>
          </w14:textFill>
        </w:rPr>
        <w:t>为本人及亲属</w:t>
      </w:r>
      <w:r>
        <w:rPr>
          <w:b/>
          <w:color w:val="000000" w:themeColor="text1"/>
          <w:sz w:val="24"/>
          <w:szCs w:val="24"/>
          <w:highlight w:val="none"/>
          <w14:textFill>
            <w14:solidFill>
              <w14:schemeClr w14:val="tx1"/>
            </w14:solidFill>
          </w14:textFill>
        </w:rPr>
        <w:t>谋取不正当利益</w:t>
      </w:r>
      <w:r>
        <w:rPr>
          <w:rFonts w:hint="eastAsia"/>
          <w:b/>
          <w:color w:val="000000" w:themeColor="text1"/>
          <w:sz w:val="24"/>
          <w:szCs w:val="24"/>
          <w:highlight w:val="none"/>
          <w14:textFill>
            <w14:solidFill>
              <w14:schemeClr w14:val="tx1"/>
            </w14:solidFill>
          </w14:textFill>
        </w:rPr>
        <w:t>，包括下列行为：</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2.1  索取、接受或者以借为名占用承包人的财物</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包括但不限于任何形式的礼品礼金、</w:t>
      </w:r>
      <w:r>
        <w:rPr>
          <w:rFonts w:hint="eastAsia"/>
          <w:color w:val="000000" w:themeColor="text1"/>
          <w:sz w:val="24"/>
          <w:szCs w:val="24"/>
          <w:highlight w:val="none"/>
          <w14:textFill>
            <w14:solidFill>
              <w14:schemeClr w14:val="tx1"/>
            </w14:solidFill>
          </w14:textFill>
        </w:rPr>
        <w:t>好处费</w:t>
      </w:r>
      <w:r>
        <w:rPr>
          <w:color w:val="000000" w:themeColor="text1"/>
          <w:sz w:val="24"/>
          <w:szCs w:val="24"/>
          <w:highlight w:val="none"/>
          <w14:textFill>
            <w14:solidFill>
              <w14:schemeClr w14:val="tx1"/>
            </w14:solidFill>
          </w14:textFill>
        </w:rPr>
        <w:t>、回扣</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各种有价证券、</w:t>
      </w:r>
      <w:r>
        <w:rPr>
          <w:rFonts w:hint="eastAsia"/>
          <w:color w:val="000000" w:themeColor="text1"/>
          <w:sz w:val="24"/>
          <w:szCs w:val="24"/>
          <w:highlight w:val="none"/>
          <w14:textFill>
            <w14:solidFill>
              <w14:schemeClr w14:val="tx1"/>
            </w14:solidFill>
          </w14:textFill>
        </w:rPr>
        <w:t>购物</w:t>
      </w:r>
      <w:r>
        <w:rPr>
          <w:color w:val="000000" w:themeColor="text1"/>
          <w:sz w:val="24"/>
          <w:szCs w:val="24"/>
          <w:highlight w:val="none"/>
          <w14:textFill>
            <w14:solidFill>
              <w14:schemeClr w14:val="tx1"/>
            </w14:solidFill>
          </w14:textFill>
        </w:rPr>
        <w:t>卡及其他支付凭证</w:t>
      </w:r>
      <w:r>
        <w:rPr>
          <w:rFonts w:hint="eastAsia"/>
          <w:color w:val="000000" w:themeColor="text1"/>
          <w:sz w:val="24"/>
          <w:szCs w:val="24"/>
          <w:highlight w:val="none"/>
          <w14:textFill>
            <w14:solidFill>
              <w14:schemeClr w14:val="tx1"/>
            </w14:solidFill>
          </w14:textFill>
        </w:rPr>
        <w:t>、房产、车辆、贵重物品等</w:t>
      </w:r>
      <w:r>
        <w:rPr>
          <w:color w:val="000000" w:themeColor="text1"/>
          <w:sz w:val="24"/>
          <w:szCs w:val="24"/>
          <w:highlight w:val="none"/>
          <w14:textFill>
            <w14:solidFill>
              <w14:schemeClr w14:val="tx1"/>
            </w14:solidFill>
          </w14:textFill>
        </w:rPr>
        <w:t>；</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2.2  接受承包人宴请</w:t>
      </w:r>
      <w:r>
        <w:rPr>
          <w:rFonts w:hint="eastAsia"/>
          <w:color w:val="000000" w:themeColor="text1"/>
          <w:sz w:val="24"/>
          <w:szCs w:val="24"/>
          <w:highlight w:val="none"/>
          <w14:textFill>
            <w14:solidFill>
              <w14:schemeClr w14:val="tx1"/>
            </w14:solidFill>
          </w14:textFill>
        </w:rPr>
        <w:t>（工作餐除外）</w:t>
      </w:r>
      <w:r>
        <w:rPr>
          <w:color w:val="000000" w:themeColor="text1"/>
          <w:sz w:val="24"/>
          <w:szCs w:val="24"/>
          <w:highlight w:val="none"/>
          <w14:textFill>
            <w14:solidFill>
              <w14:schemeClr w14:val="tx1"/>
            </w14:solidFill>
          </w14:textFill>
        </w:rPr>
        <w:t>及旅游、健身、娱乐等活动安排；</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2.3  向承包人报销任何应由自身承担、支付的费用；</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2.4  向承包人推荐分包</w:t>
      </w:r>
      <w:r>
        <w:rPr>
          <w:rFonts w:hint="eastAsia"/>
          <w:color w:val="000000" w:themeColor="text1"/>
          <w:sz w:val="24"/>
          <w:szCs w:val="24"/>
          <w:highlight w:val="none"/>
          <w14:textFill>
            <w14:solidFill>
              <w14:schemeClr w14:val="tx1"/>
            </w14:solidFill>
          </w14:textFill>
        </w:rPr>
        <w:t>人，推销材料和设备，</w:t>
      </w:r>
      <w:r>
        <w:rPr>
          <w:color w:val="000000" w:themeColor="text1"/>
          <w:sz w:val="24"/>
          <w:szCs w:val="24"/>
          <w:highlight w:val="none"/>
          <w14:textFill>
            <w14:solidFill>
              <w14:schemeClr w14:val="tx1"/>
            </w14:solidFill>
          </w14:textFill>
        </w:rPr>
        <w:t>要求承包人购买</w:t>
      </w:r>
      <w:r>
        <w:rPr>
          <w:rFonts w:hint="eastAsia"/>
          <w:color w:val="000000" w:themeColor="text1"/>
          <w:sz w:val="24"/>
          <w:szCs w:val="24"/>
          <w:highlight w:val="none"/>
          <w14:textFill>
            <w14:solidFill>
              <w14:schemeClr w14:val="tx1"/>
            </w14:solidFill>
          </w14:textFill>
        </w:rPr>
        <w:t>指定</w:t>
      </w:r>
      <w:r>
        <w:rPr>
          <w:color w:val="000000" w:themeColor="text1"/>
          <w:sz w:val="24"/>
          <w:szCs w:val="24"/>
          <w:highlight w:val="none"/>
          <w14:textFill>
            <w14:solidFill>
              <w14:schemeClr w14:val="tx1"/>
            </w14:solidFill>
          </w14:textFill>
        </w:rPr>
        <w:t>的材料和设备；</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 xml:space="preserve">2.5  </w:t>
      </w:r>
      <w:r>
        <w:rPr>
          <w:rFonts w:hint="eastAsia"/>
          <w:color w:val="000000" w:themeColor="text1"/>
          <w:sz w:val="24"/>
          <w:szCs w:val="24"/>
          <w:highlight w:val="none"/>
          <w14:textFill>
            <w14:solidFill>
              <w14:schemeClr w14:val="tx1"/>
            </w14:solidFill>
          </w14:textFill>
        </w:rPr>
        <w:t>私自为建设工程安排施工队伍，从事与建设工程有关的各种有偿中介服务</w:t>
      </w:r>
      <w:r>
        <w:rPr>
          <w:color w:val="000000" w:themeColor="text1"/>
          <w:sz w:val="24"/>
          <w:szCs w:val="24"/>
          <w:highlight w:val="none"/>
          <w14:textFill>
            <w14:solidFill>
              <w14:schemeClr w14:val="tx1"/>
            </w14:solidFill>
          </w14:textFill>
        </w:rPr>
        <w:t>；</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2.6  要求或者暗示承包人</w:t>
      </w:r>
      <w:r>
        <w:rPr>
          <w:rFonts w:hint="eastAsia"/>
          <w:color w:val="000000" w:themeColor="text1"/>
          <w:sz w:val="24"/>
          <w:szCs w:val="24"/>
          <w:highlight w:val="none"/>
          <w14:textFill>
            <w14:solidFill>
              <w14:schemeClr w14:val="tx1"/>
            </w14:solidFill>
          </w14:textFill>
        </w:rPr>
        <w:t>为本人或亲属的工作安排、职务晋升、经商办企业、出国出境、旅游、留学、探亲、定居等提供资助或便利；</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2.7  </w:t>
      </w:r>
      <w:r>
        <w:rPr>
          <w:color w:val="000000" w:themeColor="text1"/>
          <w:sz w:val="24"/>
          <w:szCs w:val="24"/>
          <w:highlight w:val="none"/>
          <w14:textFill>
            <w14:solidFill>
              <w14:schemeClr w14:val="tx1"/>
            </w14:solidFill>
          </w14:textFill>
        </w:rPr>
        <w:t>默许、纵容、授意亲属收受承包人财物</w:t>
      </w:r>
      <w:r>
        <w:rPr>
          <w:rFonts w:hint="eastAsia"/>
          <w:color w:val="000000" w:themeColor="text1"/>
          <w:sz w:val="24"/>
          <w:szCs w:val="24"/>
          <w:highlight w:val="none"/>
          <w14:textFill>
            <w14:solidFill>
              <w14:schemeClr w14:val="tx1"/>
            </w14:solidFill>
          </w14:textFill>
        </w:rPr>
        <w:t>，或从事与建设工程有关的材料和设备供应、工程分包、劳务等经济活动</w:t>
      </w:r>
      <w:r>
        <w:rPr>
          <w:color w:val="000000" w:themeColor="text1"/>
          <w:sz w:val="24"/>
          <w:szCs w:val="24"/>
          <w:highlight w:val="none"/>
          <w14:textFill>
            <w14:solidFill>
              <w14:schemeClr w14:val="tx1"/>
            </w14:solidFill>
          </w14:textFill>
        </w:rPr>
        <w:t>；</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2.8  </w:t>
      </w:r>
      <w:r>
        <w:rPr>
          <w:color w:val="000000" w:themeColor="text1"/>
          <w:sz w:val="24"/>
          <w:szCs w:val="24"/>
          <w:highlight w:val="none"/>
          <w14:textFill>
            <w14:solidFill>
              <w14:schemeClr w14:val="tx1"/>
            </w14:solidFill>
          </w14:textFill>
        </w:rPr>
        <w:t>其他利用项目或职权谋取不正当利益的行为。</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第三条  承包人及其</w:t>
      </w:r>
      <w:r>
        <w:rPr>
          <w:rFonts w:hint="eastAsia"/>
          <w:b/>
          <w:color w:val="000000" w:themeColor="text1"/>
          <w:sz w:val="24"/>
          <w:szCs w:val="24"/>
          <w:highlight w:val="none"/>
          <w14:textFill>
            <w14:solidFill>
              <w14:schemeClr w14:val="tx1"/>
            </w14:solidFill>
          </w14:textFill>
        </w:rPr>
        <w:t>工作人员不得通过</w:t>
      </w:r>
      <w:r>
        <w:rPr>
          <w:b/>
          <w:color w:val="000000" w:themeColor="text1"/>
          <w:sz w:val="24"/>
          <w:szCs w:val="24"/>
          <w:highlight w:val="none"/>
          <w14:textFill>
            <w14:solidFill>
              <w14:schemeClr w14:val="tx1"/>
            </w14:solidFill>
          </w14:textFill>
        </w:rPr>
        <w:t>商业贿赂</w:t>
      </w:r>
      <w:r>
        <w:rPr>
          <w:rFonts w:hint="eastAsia"/>
          <w:b/>
          <w:color w:val="000000" w:themeColor="text1"/>
          <w:sz w:val="24"/>
          <w:szCs w:val="24"/>
          <w:highlight w:val="none"/>
          <w14:textFill>
            <w14:solidFill>
              <w14:schemeClr w14:val="tx1"/>
            </w14:solidFill>
          </w14:textFill>
        </w:rPr>
        <w:t>等不正当手段谋取利益，包括下列</w:t>
      </w:r>
      <w:r>
        <w:rPr>
          <w:b/>
          <w:color w:val="000000" w:themeColor="text1"/>
          <w:sz w:val="24"/>
          <w:szCs w:val="24"/>
          <w:highlight w:val="none"/>
          <w14:textFill>
            <w14:solidFill>
              <w14:schemeClr w14:val="tx1"/>
            </w14:solidFill>
          </w14:textFill>
        </w:rPr>
        <w:t>行为</w:t>
      </w:r>
      <w:r>
        <w:rPr>
          <w:rFonts w:hint="eastAsia"/>
          <w:b/>
          <w:color w:val="000000" w:themeColor="text1"/>
          <w:sz w:val="24"/>
          <w:szCs w:val="24"/>
          <w:highlight w:val="none"/>
          <w14:textFill>
            <w14:solidFill>
              <w14:schemeClr w14:val="tx1"/>
            </w14:solidFill>
          </w14:textFill>
        </w:rPr>
        <w:t>：</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.1  同意或主动</w:t>
      </w:r>
      <w:r>
        <w:rPr>
          <w:rFonts w:hint="eastAsia"/>
          <w:color w:val="000000" w:themeColor="text1"/>
          <w:sz w:val="24"/>
          <w:szCs w:val="24"/>
          <w:highlight w:val="none"/>
          <w14:textFill>
            <w14:solidFill>
              <w14:schemeClr w14:val="tx1"/>
            </w14:solidFill>
          </w14:textFill>
        </w:rPr>
        <w:t>向</w:t>
      </w:r>
      <w:r>
        <w:rPr>
          <w:color w:val="000000" w:themeColor="text1"/>
          <w:sz w:val="24"/>
          <w:szCs w:val="24"/>
          <w:highlight w:val="none"/>
          <w14:textFill>
            <w14:solidFill>
              <w14:schemeClr w14:val="tx1"/>
            </w14:solidFill>
          </w14:textFill>
        </w:rPr>
        <w:t>发包人及其</w:t>
      </w:r>
      <w:r>
        <w:rPr>
          <w:rFonts w:hint="eastAsia"/>
          <w:color w:val="000000" w:themeColor="text1"/>
          <w:sz w:val="24"/>
          <w:szCs w:val="24"/>
          <w:highlight w:val="none"/>
          <w14:textFill>
            <w14:solidFill>
              <w14:schemeClr w14:val="tx1"/>
            </w14:solidFill>
          </w14:textFill>
        </w:rPr>
        <w:t>工作人员</w:t>
      </w:r>
      <w:r>
        <w:rPr>
          <w:color w:val="000000" w:themeColor="text1"/>
          <w:sz w:val="24"/>
          <w:szCs w:val="24"/>
          <w:highlight w:val="none"/>
          <w14:textFill>
            <w14:solidFill>
              <w14:schemeClr w14:val="tx1"/>
            </w14:solidFill>
          </w14:textFill>
        </w:rPr>
        <w:t>提供第二条</w:t>
      </w:r>
      <w:r>
        <w:rPr>
          <w:rFonts w:hint="eastAsia"/>
          <w:color w:val="000000" w:themeColor="text1"/>
          <w:sz w:val="24"/>
          <w:szCs w:val="24"/>
          <w:highlight w:val="none"/>
          <w14:textFill>
            <w14:solidFill>
              <w14:schemeClr w14:val="tx1"/>
            </w14:solidFill>
          </w14:textFill>
        </w:rPr>
        <w:t>约</w:t>
      </w:r>
      <w:r>
        <w:rPr>
          <w:color w:val="000000" w:themeColor="text1"/>
          <w:sz w:val="24"/>
          <w:szCs w:val="24"/>
          <w:highlight w:val="none"/>
          <w14:textFill>
            <w14:solidFill>
              <w14:schemeClr w14:val="tx1"/>
            </w14:solidFill>
          </w14:textFill>
        </w:rPr>
        <w:t>定的</w:t>
      </w:r>
      <w:r>
        <w:rPr>
          <w:rFonts w:hint="eastAsia"/>
          <w:color w:val="000000" w:themeColor="text1"/>
          <w:sz w:val="24"/>
          <w:szCs w:val="24"/>
          <w:highlight w:val="none"/>
          <w14:textFill>
            <w14:solidFill>
              <w14:schemeClr w14:val="tx1"/>
            </w14:solidFill>
          </w14:textFill>
        </w:rPr>
        <w:t>禁止性</w:t>
      </w:r>
      <w:r>
        <w:rPr>
          <w:color w:val="000000" w:themeColor="text1"/>
          <w:sz w:val="24"/>
          <w:szCs w:val="24"/>
          <w:highlight w:val="none"/>
          <w14:textFill>
            <w14:solidFill>
              <w14:schemeClr w14:val="tx1"/>
            </w14:solidFill>
          </w14:textFill>
        </w:rPr>
        <w:t>行为；</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.2  向与建设工程相关的代建、施工、监理（项目管理）、勘察、设计、咨询等有关单位及其</w:t>
      </w:r>
      <w:r>
        <w:rPr>
          <w:rFonts w:hint="eastAsia"/>
          <w:color w:val="000000" w:themeColor="text1"/>
          <w:sz w:val="24"/>
          <w:szCs w:val="24"/>
          <w:highlight w:val="none"/>
          <w14:textFill>
            <w14:solidFill>
              <w14:schemeClr w14:val="tx1"/>
            </w14:solidFill>
          </w14:textFill>
        </w:rPr>
        <w:t>工作人员进行</w:t>
      </w:r>
      <w:r>
        <w:rPr>
          <w:color w:val="000000" w:themeColor="text1"/>
          <w:sz w:val="24"/>
          <w:szCs w:val="24"/>
          <w:highlight w:val="none"/>
          <w14:textFill>
            <w14:solidFill>
              <w14:schemeClr w14:val="tx1"/>
            </w14:solidFill>
          </w14:textFill>
        </w:rPr>
        <w:t>商业贿赂，包括但不限于任何形式的礼品礼金、有价证券、购物</w:t>
      </w:r>
      <w:r>
        <w:rPr>
          <w:rFonts w:hint="eastAsia"/>
          <w:color w:val="000000" w:themeColor="text1"/>
          <w:sz w:val="24"/>
          <w:szCs w:val="24"/>
          <w:highlight w:val="none"/>
          <w14:textFill>
            <w14:solidFill>
              <w14:schemeClr w14:val="tx1"/>
            </w14:solidFill>
          </w14:textFill>
        </w:rPr>
        <w:t>卡</w:t>
      </w:r>
      <w:r>
        <w:rPr>
          <w:color w:val="000000" w:themeColor="text1"/>
          <w:sz w:val="24"/>
          <w:szCs w:val="24"/>
          <w:highlight w:val="none"/>
          <w14:textFill>
            <w14:solidFill>
              <w14:schemeClr w14:val="tx1"/>
            </w14:solidFill>
          </w14:textFill>
        </w:rPr>
        <w:t>、回扣、佣金、咨询费、劳务费、赞助费、宣传费，以及支付旅游费用、报销各种消费凭证等。</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 xml:space="preserve">  接受与建设工程相关的代建、施工、监理（项目管理）、勘察、设计、咨询等有关单位及其</w:t>
      </w:r>
      <w:r>
        <w:rPr>
          <w:rFonts w:hint="eastAsia"/>
          <w:color w:val="000000" w:themeColor="text1"/>
          <w:sz w:val="24"/>
          <w:szCs w:val="24"/>
          <w:highlight w:val="none"/>
          <w14:textFill>
            <w14:solidFill>
              <w14:schemeClr w14:val="tx1"/>
            </w14:solidFill>
          </w14:textFill>
        </w:rPr>
        <w:t>工作人员</w:t>
      </w:r>
      <w:r>
        <w:rPr>
          <w:color w:val="000000" w:themeColor="text1"/>
          <w:sz w:val="24"/>
          <w:szCs w:val="24"/>
          <w:highlight w:val="none"/>
          <w14:textFill>
            <w14:solidFill>
              <w14:schemeClr w14:val="tx1"/>
            </w14:solidFill>
          </w14:textFill>
        </w:rPr>
        <w:t>的商业贿赂。</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4</w:t>
      </w:r>
      <w:r>
        <w:rPr>
          <w:color w:val="000000" w:themeColor="text1"/>
          <w:sz w:val="24"/>
          <w:szCs w:val="24"/>
          <w:highlight w:val="none"/>
          <w14:textFill>
            <w14:solidFill>
              <w14:schemeClr w14:val="tx1"/>
            </w14:solidFill>
          </w14:textFill>
        </w:rPr>
        <w:t xml:space="preserve">  接受分包（工程分包、劳务分包等）单位、材料设备供应单位等单位及其</w:t>
      </w:r>
      <w:r>
        <w:rPr>
          <w:rFonts w:hint="eastAsia"/>
          <w:color w:val="000000" w:themeColor="text1"/>
          <w:sz w:val="24"/>
          <w:szCs w:val="24"/>
          <w:highlight w:val="none"/>
          <w14:textFill>
            <w14:solidFill>
              <w14:schemeClr w14:val="tx1"/>
            </w14:solidFill>
          </w14:textFill>
        </w:rPr>
        <w:t>工作人员</w:t>
      </w:r>
      <w:r>
        <w:rPr>
          <w:color w:val="000000" w:themeColor="text1"/>
          <w:sz w:val="24"/>
          <w:szCs w:val="24"/>
          <w:highlight w:val="none"/>
          <w14:textFill>
            <w14:solidFill>
              <w14:schemeClr w14:val="tx1"/>
            </w14:solidFill>
          </w14:textFill>
        </w:rPr>
        <w:t>的商业贿赂。</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3.5  </w:t>
      </w:r>
      <w:r>
        <w:rPr>
          <w:color w:val="000000" w:themeColor="text1"/>
          <w:sz w:val="24"/>
          <w:szCs w:val="24"/>
          <w:highlight w:val="none"/>
          <w14:textFill>
            <w14:solidFill>
              <w14:schemeClr w14:val="tx1"/>
            </w14:solidFill>
          </w14:textFill>
        </w:rPr>
        <w:t>其他</w:t>
      </w:r>
      <w:r>
        <w:rPr>
          <w:rFonts w:hint="eastAsia"/>
          <w:color w:val="000000" w:themeColor="text1"/>
          <w:sz w:val="24"/>
          <w:szCs w:val="24"/>
          <w:highlight w:val="none"/>
          <w14:textFill>
            <w14:solidFill>
              <w14:schemeClr w14:val="tx1"/>
            </w14:solidFill>
          </w14:textFill>
        </w:rPr>
        <w:t>通过不正当手段谋取利益的</w:t>
      </w:r>
      <w:r>
        <w:rPr>
          <w:color w:val="000000" w:themeColor="text1"/>
          <w:sz w:val="24"/>
          <w:szCs w:val="24"/>
          <w:highlight w:val="none"/>
          <w14:textFill>
            <w14:solidFill>
              <w14:schemeClr w14:val="tx1"/>
            </w14:solidFill>
          </w14:textFill>
        </w:rPr>
        <w:t>行为。</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w:t>
      </w:r>
      <w:r>
        <w:rPr>
          <w:rFonts w:hint="eastAsia"/>
          <w:b/>
          <w:color w:val="000000" w:themeColor="text1"/>
          <w:sz w:val="24"/>
          <w:szCs w:val="24"/>
          <w:highlight w:val="none"/>
          <w14:textFill>
            <w14:solidFill>
              <w14:schemeClr w14:val="tx1"/>
            </w14:solidFill>
          </w14:textFill>
        </w:rPr>
        <w:t>四</w:t>
      </w:r>
      <w:r>
        <w:rPr>
          <w:b/>
          <w:color w:val="000000" w:themeColor="text1"/>
          <w:sz w:val="24"/>
          <w:szCs w:val="24"/>
          <w:highlight w:val="none"/>
          <w14:textFill>
            <w14:solidFill>
              <w14:schemeClr w14:val="tx1"/>
            </w14:solidFill>
          </w14:textFill>
        </w:rPr>
        <w:t xml:space="preserve">条  </w:t>
      </w:r>
      <w:r>
        <w:rPr>
          <w:rFonts w:hint="eastAsia"/>
          <w:b/>
          <w:color w:val="000000" w:themeColor="text1"/>
          <w:sz w:val="24"/>
          <w:szCs w:val="24"/>
          <w:highlight w:val="none"/>
          <w14:textFill>
            <w14:solidFill>
              <w14:schemeClr w14:val="tx1"/>
            </w14:solidFill>
          </w14:textFill>
        </w:rPr>
        <w:t>发包人、</w:t>
      </w:r>
      <w:r>
        <w:rPr>
          <w:b/>
          <w:color w:val="000000" w:themeColor="text1"/>
          <w:sz w:val="24"/>
          <w:szCs w:val="24"/>
          <w:highlight w:val="none"/>
          <w14:textFill>
            <w14:solidFill>
              <w14:schemeClr w14:val="tx1"/>
            </w14:solidFill>
          </w14:textFill>
        </w:rPr>
        <w:t>承包人及</w:t>
      </w:r>
      <w:r>
        <w:rPr>
          <w:rFonts w:hint="eastAsia"/>
          <w:b/>
          <w:color w:val="000000" w:themeColor="text1"/>
          <w:sz w:val="24"/>
          <w:szCs w:val="24"/>
          <w:highlight w:val="none"/>
          <w14:textFill>
            <w14:solidFill>
              <w14:schemeClr w14:val="tx1"/>
            </w14:solidFill>
          </w14:textFill>
        </w:rPr>
        <w:t>双方工作人员不得</w:t>
      </w:r>
      <w:r>
        <w:rPr>
          <w:b/>
          <w:color w:val="000000" w:themeColor="text1"/>
          <w:sz w:val="24"/>
          <w:szCs w:val="24"/>
          <w:highlight w:val="none"/>
          <w14:textFill>
            <w14:solidFill>
              <w14:schemeClr w14:val="tx1"/>
            </w14:solidFill>
          </w14:textFill>
        </w:rPr>
        <w:t>违规干预或插手建设工程招投标活动</w:t>
      </w:r>
      <w:r>
        <w:rPr>
          <w:rFonts w:hint="eastAsia"/>
          <w:b/>
          <w:color w:val="000000" w:themeColor="text1"/>
          <w:sz w:val="24"/>
          <w:szCs w:val="24"/>
          <w:highlight w:val="none"/>
          <w14:textFill>
            <w14:solidFill>
              <w14:schemeClr w14:val="tx1"/>
            </w14:solidFill>
          </w14:textFill>
        </w:rPr>
        <w:t>，禁止</w:t>
      </w:r>
      <w:r>
        <w:rPr>
          <w:b/>
          <w:color w:val="000000" w:themeColor="text1"/>
          <w:sz w:val="24"/>
          <w:szCs w:val="24"/>
          <w:highlight w:val="none"/>
          <w14:textFill>
            <w14:solidFill>
              <w14:schemeClr w14:val="tx1"/>
            </w14:solidFill>
          </w14:textFill>
        </w:rPr>
        <w:t>串通投标（围标）</w:t>
      </w:r>
      <w:r>
        <w:rPr>
          <w:rFonts w:hint="eastAsia"/>
          <w:b/>
          <w:color w:val="000000" w:themeColor="text1"/>
          <w:sz w:val="24"/>
          <w:szCs w:val="24"/>
          <w:highlight w:val="none"/>
          <w14:textFill>
            <w14:solidFill>
              <w14:schemeClr w14:val="tx1"/>
            </w14:solidFill>
          </w14:textFill>
        </w:rPr>
        <w:t>等不正当竞争</w:t>
      </w:r>
      <w:r>
        <w:rPr>
          <w:b/>
          <w:color w:val="000000" w:themeColor="text1"/>
          <w:sz w:val="24"/>
          <w:szCs w:val="24"/>
          <w:highlight w:val="none"/>
          <w14:textFill>
            <w14:solidFill>
              <w14:schemeClr w14:val="tx1"/>
            </w14:solidFill>
          </w14:textFill>
        </w:rPr>
        <w:t>行为。</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w:t>
      </w:r>
      <w:r>
        <w:rPr>
          <w:rFonts w:hint="eastAsia"/>
          <w:b/>
          <w:color w:val="000000" w:themeColor="text1"/>
          <w:sz w:val="24"/>
          <w:szCs w:val="24"/>
          <w:highlight w:val="none"/>
          <w14:textFill>
            <w14:solidFill>
              <w14:schemeClr w14:val="tx1"/>
            </w14:solidFill>
          </w14:textFill>
        </w:rPr>
        <w:t>五</w:t>
      </w:r>
      <w:r>
        <w:rPr>
          <w:b/>
          <w:color w:val="000000" w:themeColor="text1"/>
          <w:sz w:val="24"/>
          <w:szCs w:val="24"/>
          <w:highlight w:val="none"/>
          <w14:textFill>
            <w14:solidFill>
              <w14:schemeClr w14:val="tx1"/>
            </w14:solidFill>
          </w14:textFill>
        </w:rPr>
        <w:t xml:space="preserve">条  </w:t>
      </w:r>
      <w:r>
        <w:rPr>
          <w:rFonts w:hint="eastAsia"/>
          <w:b/>
          <w:color w:val="000000" w:themeColor="text1"/>
          <w:sz w:val="24"/>
          <w:szCs w:val="24"/>
          <w:highlight w:val="none"/>
          <w14:textFill>
            <w14:solidFill>
              <w14:schemeClr w14:val="tx1"/>
            </w14:solidFill>
          </w14:textFill>
        </w:rPr>
        <w:t>廉洁风险防控机制</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发包人、承包人双方</w:t>
      </w:r>
      <w:r>
        <w:rPr>
          <w:rFonts w:hint="eastAsia"/>
          <w:color w:val="000000" w:themeColor="text1"/>
          <w:sz w:val="24"/>
          <w:szCs w:val="24"/>
          <w:highlight w:val="none"/>
          <w14:textFill>
            <w14:solidFill>
              <w14:schemeClr w14:val="tx1"/>
            </w14:solidFill>
          </w14:textFill>
        </w:rPr>
        <w:t>均有义务建立健全廉洁风险防控机制，排查、</w:t>
      </w:r>
      <w:r>
        <w:rPr>
          <w:color w:val="000000" w:themeColor="text1"/>
          <w:sz w:val="24"/>
          <w:szCs w:val="24"/>
          <w:highlight w:val="none"/>
          <w14:textFill>
            <w14:solidFill>
              <w14:schemeClr w14:val="tx1"/>
            </w14:solidFill>
          </w14:textFill>
        </w:rPr>
        <w:t>梳理</w:t>
      </w:r>
      <w:r>
        <w:rPr>
          <w:rFonts w:hint="eastAsia"/>
          <w:color w:val="000000" w:themeColor="text1"/>
          <w:sz w:val="24"/>
          <w:szCs w:val="24"/>
          <w:highlight w:val="none"/>
          <w14:textFill>
            <w14:solidFill>
              <w14:schemeClr w14:val="tx1"/>
            </w14:solidFill>
          </w14:textFill>
        </w:rPr>
        <w:t>建设工程</w:t>
      </w:r>
      <w:r>
        <w:rPr>
          <w:color w:val="000000" w:themeColor="text1"/>
          <w:sz w:val="24"/>
          <w:szCs w:val="24"/>
          <w:highlight w:val="none"/>
          <w14:textFill>
            <w14:solidFill>
              <w14:schemeClr w14:val="tx1"/>
            </w14:solidFill>
          </w14:textFill>
        </w:rPr>
        <w:t>业务流程及关键工作岗位涉及的廉洁风险</w:t>
      </w:r>
      <w:r>
        <w:rPr>
          <w:rFonts w:hint="eastAsia"/>
          <w:color w:val="000000" w:themeColor="text1"/>
          <w:sz w:val="24"/>
          <w:szCs w:val="24"/>
          <w:highlight w:val="none"/>
          <w14:textFill>
            <w14:solidFill>
              <w14:schemeClr w14:val="tx1"/>
            </w14:solidFill>
          </w14:textFill>
        </w:rPr>
        <w:t>点，有针对性地逐项制定防控措施，加强对单位工作人员的廉洁教育，预警在先、防范在前，风险定到岗、制度建到位、责任落到人</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发现对方在业务活动中有违反廉洁规定的行为，应及时给予提醒和纠正。</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w:t>
      </w:r>
      <w:r>
        <w:rPr>
          <w:rFonts w:hint="eastAsia"/>
          <w:b/>
          <w:color w:val="000000" w:themeColor="text1"/>
          <w:sz w:val="24"/>
          <w:szCs w:val="24"/>
          <w:highlight w:val="none"/>
          <w14:textFill>
            <w14:solidFill>
              <w14:schemeClr w14:val="tx1"/>
            </w14:solidFill>
          </w14:textFill>
        </w:rPr>
        <w:t>六</w:t>
      </w:r>
      <w:r>
        <w:rPr>
          <w:b/>
          <w:color w:val="000000" w:themeColor="text1"/>
          <w:sz w:val="24"/>
          <w:szCs w:val="24"/>
          <w:highlight w:val="none"/>
          <w14:textFill>
            <w14:solidFill>
              <w14:schemeClr w14:val="tx1"/>
            </w14:solidFill>
          </w14:textFill>
        </w:rPr>
        <w:t xml:space="preserve">条  </w:t>
      </w:r>
      <w:r>
        <w:rPr>
          <w:rFonts w:hint="eastAsia"/>
          <w:b/>
          <w:color w:val="000000" w:themeColor="text1"/>
          <w:sz w:val="24"/>
          <w:szCs w:val="24"/>
          <w:highlight w:val="none"/>
          <w14:textFill>
            <w14:solidFill>
              <w14:schemeClr w14:val="tx1"/>
            </w14:solidFill>
          </w14:textFill>
        </w:rPr>
        <w:t>廉洁违约责任</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6</w:t>
      </w:r>
      <w:r>
        <w:rPr>
          <w:color w:val="000000" w:themeColor="text1"/>
          <w:sz w:val="24"/>
          <w:szCs w:val="24"/>
          <w:highlight w:val="none"/>
          <w14:textFill>
            <w14:solidFill>
              <w14:schemeClr w14:val="tx1"/>
            </w14:solidFill>
          </w14:textFill>
        </w:rPr>
        <w:t>.1  发包人</w:t>
      </w:r>
      <w:r>
        <w:rPr>
          <w:rFonts w:hint="eastAsia"/>
          <w:color w:val="000000" w:themeColor="text1"/>
          <w:sz w:val="24"/>
          <w:szCs w:val="24"/>
          <w:highlight w:val="none"/>
          <w14:textFill>
            <w14:solidFill>
              <w14:schemeClr w14:val="tx1"/>
            </w14:solidFill>
          </w14:textFill>
        </w:rPr>
        <w:t>及其工作人员</w:t>
      </w:r>
      <w:r>
        <w:rPr>
          <w:color w:val="000000" w:themeColor="text1"/>
          <w:sz w:val="24"/>
          <w:szCs w:val="24"/>
          <w:highlight w:val="none"/>
          <w14:textFill>
            <w14:solidFill>
              <w14:schemeClr w14:val="tx1"/>
            </w14:solidFill>
          </w14:textFill>
        </w:rPr>
        <w:t>违反本合同</w:t>
      </w:r>
      <w:r>
        <w:rPr>
          <w:rFonts w:hint="eastAsia"/>
          <w:color w:val="000000" w:themeColor="text1"/>
          <w:sz w:val="24"/>
          <w:szCs w:val="24"/>
          <w:highlight w:val="none"/>
          <w14:textFill>
            <w14:solidFill>
              <w14:schemeClr w14:val="tx1"/>
            </w14:solidFill>
          </w14:textFill>
        </w:rPr>
        <w:t>第二条和第四条规定</w:t>
      </w:r>
      <w:r>
        <w:rPr>
          <w:color w:val="000000" w:themeColor="text1"/>
          <w:sz w:val="24"/>
          <w:szCs w:val="24"/>
          <w:highlight w:val="none"/>
          <w14:textFill>
            <w14:solidFill>
              <w14:schemeClr w14:val="tx1"/>
            </w14:solidFill>
          </w14:textFill>
        </w:rPr>
        <w:t>，相关责任人应受到相应的党纪政务（纪）处分，</w:t>
      </w:r>
      <w:r>
        <w:rPr>
          <w:rFonts w:hint="eastAsia"/>
          <w:color w:val="000000" w:themeColor="text1"/>
          <w:sz w:val="24"/>
          <w:szCs w:val="24"/>
          <w:highlight w:val="none"/>
          <w14:textFill>
            <w14:solidFill>
              <w14:schemeClr w14:val="tx1"/>
            </w14:solidFill>
          </w14:textFill>
        </w:rPr>
        <w:t>涉嫌</w:t>
      </w:r>
      <w:r>
        <w:rPr>
          <w:color w:val="000000" w:themeColor="text1"/>
          <w:sz w:val="24"/>
          <w:szCs w:val="24"/>
          <w:highlight w:val="none"/>
          <w14:textFill>
            <w14:solidFill>
              <w14:schemeClr w14:val="tx1"/>
            </w14:solidFill>
          </w14:textFill>
        </w:rPr>
        <w:t>犯罪的</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移送司法机关</w:t>
      </w:r>
      <w:r>
        <w:rPr>
          <w:rFonts w:hint="eastAsia"/>
          <w:color w:val="000000" w:themeColor="text1"/>
          <w:sz w:val="24"/>
          <w:szCs w:val="24"/>
          <w:highlight w:val="none"/>
          <w14:textFill>
            <w14:solidFill>
              <w14:schemeClr w14:val="tx1"/>
            </w14:solidFill>
          </w14:textFill>
        </w:rPr>
        <w:t>依法</w:t>
      </w:r>
      <w:r>
        <w:rPr>
          <w:color w:val="000000" w:themeColor="text1"/>
          <w:sz w:val="24"/>
          <w:szCs w:val="24"/>
          <w:highlight w:val="none"/>
          <w14:textFill>
            <w14:solidFill>
              <w14:schemeClr w14:val="tx1"/>
            </w14:solidFill>
          </w14:textFill>
        </w:rPr>
        <w:t>处理；</w:t>
      </w:r>
      <w:r>
        <w:rPr>
          <w:rFonts w:hint="eastAsia"/>
          <w:color w:val="000000" w:themeColor="text1"/>
          <w:sz w:val="24"/>
          <w:szCs w:val="24"/>
          <w:highlight w:val="none"/>
          <w14:textFill>
            <w14:solidFill>
              <w14:schemeClr w14:val="tx1"/>
            </w14:solidFill>
          </w14:textFill>
        </w:rPr>
        <w:t>给</w:t>
      </w:r>
      <w:r>
        <w:rPr>
          <w:color w:val="000000" w:themeColor="text1"/>
          <w:sz w:val="24"/>
          <w:szCs w:val="24"/>
          <w:highlight w:val="none"/>
          <w14:textFill>
            <w14:solidFill>
              <w14:schemeClr w14:val="tx1"/>
            </w14:solidFill>
          </w14:textFill>
        </w:rPr>
        <w:t>承包人造成经济损失的，应承担相应的赔偿责任。</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6</w:t>
      </w:r>
      <w:r>
        <w:rPr>
          <w:color w:val="000000" w:themeColor="text1"/>
          <w:sz w:val="24"/>
          <w:szCs w:val="24"/>
          <w:highlight w:val="none"/>
          <w14:textFill>
            <w14:solidFill>
              <w14:schemeClr w14:val="tx1"/>
            </w14:solidFill>
          </w14:textFill>
        </w:rPr>
        <w:t xml:space="preserve">.2  </w:t>
      </w:r>
      <w:r>
        <w:rPr>
          <w:rFonts w:hint="eastAsia"/>
          <w:color w:val="000000" w:themeColor="text1"/>
          <w:sz w:val="24"/>
          <w:szCs w:val="24"/>
          <w:highlight w:val="none"/>
          <w14:textFill>
            <w14:solidFill>
              <w14:schemeClr w14:val="tx1"/>
            </w14:solidFill>
          </w14:textFill>
        </w:rPr>
        <w:t>承包人</w:t>
      </w:r>
      <w:r>
        <w:rPr>
          <w:bCs/>
          <w:color w:val="000000" w:themeColor="text1"/>
          <w:sz w:val="24"/>
          <w:szCs w:val="24"/>
          <w:highlight w:val="none"/>
          <w14:textFill>
            <w14:solidFill>
              <w14:schemeClr w14:val="tx1"/>
            </w14:solidFill>
          </w14:textFill>
        </w:rPr>
        <w:t>及其</w:t>
      </w:r>
      <w:r>
        <w:rPr>
          <w:rFonts w:hint="eastAsia"/>
          <w:bCs/>
          <w:color w:val="000000" w:themeColor="text1"/>
          <w:sz w:val="24"/>
          <w:szCs w:val="24"/>
          <w:highlight w:val="none"/>
          <w14:textFill>
            <w14:solidFill>
              <w14:schemeClr w14:val="tx1"/>
            </w14:solidFill>
          </w14:textFill>
        </w:rPr>
        <w:t>工作人员</w:t>
      </w:r>
      <w:r>
        <w:rPr>
          <w:rFonts w:hint="eastAsia"/>
          <w:color w:val="000000" w:themeColor="text1"/>
          <w:sz w:val="24"/>
          <w:szCs w:val="24"/>
          <w:highlight w:val="none"/>
          <w14:textFill>
            <w14:solidFill>
              <w14:schemeClr w14:val="tx1"/>
            </w14:solidFill>
          </w14:textFill>
        </w:rPr>
        <w:t>违反本合同第三条和第四条规定，经有关主管部门查证属实或者经纪检监察机关认定违纪、经司法机关依法确定构成违法犯罪的，承包人应按次向发包人支付廉洁违约金（施工类建设项目合同价款</w:t>
      </w:r>
      <w:r>
        <w:rPr>
          <w:color w:val="000000" w:themeColor="text1"/>
          <w:sz w:val="24"/>
          <w:szCs w:val="24"/>
          <w:highlight w:val="none"/>
          <w14:textFill>
            <w14:solidFill>
              <w14:schemeClr w14:val="tx1"/>
            </w14:solidFill>
          </w14:textFill>
        </w:rPr>
        <w:t>2%且不超过100万元人民币，服务类建设项目合同价款5%且不超过50万元人民币）；</w:t>
      </w:r>
      <w:r>
        <w:rPr>
          <w:rFonts w:hint="eastAsia"/>
          <w:color w:val="000000" w:themeColor="text1"/>
          <w:sz w:val="24"/>
          <w:szCs w:val="24"/>
          <w:highlight w:val="none"/>
          <w14:textFill>
            <w14:solidFill>
              <w14:schemeClr w14:val="tx1"/>
            </w14:solidFill>
          </w14:textFill>
        </w:rPr>
        <w:t>给发包人造成经济损失的，还应承担相应的赔偿责任。</w:t>
      </w:r>
      <w:r>
        <w:rPr>
          <w:color w:val="000000" w:themeColor="text1"/>
          <w:sz w:val="24"/>
          <w:szCs w:val="24"/>
          <w:highlight w:val="none"/>
          <w14:textFill>
            <w14:solidFill>
              <w14:schemeClr w14:val="tx1"/>
            </w14:solidFill>
          </w14:textFill>
        </w:rPr>
        <w:t>同时，发包人有权：（1）</w:t>
      </w:r>
      <w:r>
        <w:rPr>
          <w:rFonts w:hint="eastAsia"/>
          <w:color w:val="000000" w:themeColor="text1"/>
          <w:sz w:val="24"/>
          <w:szCs w:val="24"/>
          <w:highlight w:val="none"/>
          <w14:textFill>
            <w14:solidFill>
              <w14:schemeClr w14:val="tx1"/>
            </w14:solidFill>
          </w14:textFill>
        </w:rPr>
        <w:t>如承包人的行为严重影响合同的履行或者严重干扰市场公平竞争营商环境，可</w:t>
      </w:r>
      <w:r>
        <w:rPr>
          <w:color w:val="000000" w:themeColor="text1"/>
          <w:sz w:val="24"/>
          <w:szCs w:val="24"/>
          <w:highlight w:val="none"/>
          <w14:textFill>
            <w14:solidFill>
              <w14:schemeClr w14:val="tx1"/>
            </w14:solidFill>
          </w14:textFill>
        </w:rPr>
        <w:t>单方解除</w:t>
      </w:r>
      <w:r>
        <w:rPr>
          <w:rFonts w:hint="eastAsia"/>
          <w:color w:val="000000" w:themeColor="text1"/>
          <w:sz w:val="24"/>
          <w:szCs w:val="24"/>
          <w:highlight w:val="none"/>
          <w14:textFill>
            <w14:solidFill>
              <w14:schemeClr w14:val="tx1"/>
            </w14:solidFill>
          </w14:textFill>
        </w:rPr>
        <w:t>主</w:t>
      </w:r>
      <w:r>
        <w:rPr>
          <w:color w:val="000000" w:themeColor="text1"/>
          <w:sz w:val="24"/>
          <w:szCs w:val="24"/>
          <w:highlight w:val="none"/>
          <w14:textFill>
            <w14:solidFill>
              <w14:schemeClr w14:val="tx1"/>
            </w14:solidFill>
          </w14:textFill>
        </w:rPr>
        <w:t>合同；（2）</w:t>
      </w:r>
      <w:r>
        <w:rPr>
          <w:rFonts w:hint="eastAsia"/>
          <w:color w:val="000000" w:themeColor="text1"/>
          <w:sz w:val="24"/>
          <w:szCs w:val="24"/>
          <w:highlight w:val="none"/>
          <w14:textFill>
            <w14:solidFill>
              <w14:schemeClr w14:val="tx1"/>
            </w14:solidFill>
          </w14:textFill>
        </w:rPr>
        <w:t>将</w:t>
      </w:r>
      <w:r>
        <w:rPr>
          <w:color w:val="000000" w:themeColor="text1"/>
          <w:sz w:val="24"/>
          <w:szCs w:val="24"/>
          <w:highlight w:val="none"/>
          <w14:textFill>
            <w14:solidFill>
              <w14:schemeClr w14:val="tx1"/>
            </w14:solidFill>
          </w14:textFill>
        </w:rPr>
        <w:t>承包人的履约评价评为不合格，并拒绝</w:t>
      </w:r>
      <w:r>
        <w:rPr>
          <w:rFonts w:hint="eastAsia"/>
          <w:color w:val="000000" w:themeColor="text1"/>
          <w:sz w:val="24"/>
          <w:szCs w:val="24"/>
          <w:highlight w:val="none"/>
          <w14:textFill>
            <w14:solidFill>
              <w14:schemeClr w14:val="tx1"/>
            </w14:solidFill>
          </w14:textFill>
        </w:rPr>
        <w:t>其</w:t>
      </w:r>
      <w:r>
        <w:rPr>
          <w:color w:val="000000" w:themeColor="text1"/>
          <w:sz w:val="24"/>
          <w:szCs w:val="24"/>
          <w:highlight w:val="none"/>
          <w14:textFill>
            <w14:solidFill>
              <w14:schemeClr w14:val="tx1"/>
            </w14:solidFill>
          </w14:textFill>
        </w:rPr>
        <w:t>参与发包人负责实施项目的投标或摇珠；（3）将有关情况报相关主管部门</w:t>
      </w:r>
      <w:r>
        <w:rPr>
          <w:rFonts w:hint="eastAsia"/>
          <w:color w:val="000000" w:themeColor="text1"/>
          <w:sz w:val="24"/>
          <w:szCs w:val="24"/>
          <w:highlight w:val="none"/>
          <w14:textFill>
            <w14:solidFill>
              <w14:schemeClr w14:val="tx1"/>
            </w14:solidFill>
          </w14:textFill>
        </w:rPr>
        <w:t>记录</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作为企业诚信评分考核，</w:t>
      </w:r>
      <w:r>
        <w:rPr>
          <w:color w:val="000000" w:themeColor="text1"/>
          <w:sz w:val="24"/>
          <w:szCs w:val="24"/>
          <w:highlight w:val="none"/>
          <w14:textFill>
            <w14:solidFill>
              <w14:schemeClr w14:val="tx1"/>
            </w14:solidFill>
          </w14:textFill>
        </w:rPr>
        <w:t>建议</w:t>
      </w:r>
      <w:r>
        <w:rPr>
          <w:rFonts w:hint="eastAsia"/>
          <w:color w:val="000000" w:themeColor="text1"/>
          <w:sz w:val="24"/>
          <w:szCs w:val="24"/>
          <w:highlight w:val="none"/>
          <w14:textFill>
            <w14:solidFill>
              <w14:schemeClr w14:val="tx1"/>
            </w14:solidFill>
          </w14:textFill>
        </w:rPr>
        <w:t>给予</w:t>
      </w:r>
      <w:r>
        <w:rPr>
          <w:color w:val="000000" w:themeColor="text1"/>
          <w:sz w:val="24"/>
          <w:szCs w:val="24"/>
          <w:highlight w:val="none"/>
          <w14:textFill>
            <w14:solidFill>
              <w14:schemeClr w14:val="tx1"/>
            </w14:solidFill>
          </w14:textFill>
        </w:rPr>
        <w:t>通报</w:t>
      </w:r>
      <w:r>
        <w:rPr>
          <w:rFonts w:hint="eastAsia"/>
          <w:color w:val="000000" w:themeColor="text1"/>
          <w:sz w:val="24"/>
          <w:szCs w:val="24"/>
          <w:highlight w:val="none"/>
          <w14:textFill>
            <w14:solidFill>
              <w14:schemeClr w14:val="tx1"/>
            </w14:solidFill>
          </w14:textFill>
        </w:rPr>
        <w:t>并向社会进行公示。</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w:t>
      </w:r>
      <w:r>
        <w:rPr>
          <w:rFonts w:hint="eastAsia"/>
          <w:b/>
          <w:color w:val="000000" w:themeColor="text1"/>
          <w:sz w:val="24"/>
          <w:szCs w:val="24"/>
          <w:highlight w:val="none"/>
          <w14:textFill>
            <w14:solidFill>
              <w14:schemeClr w14:val="tx1"/>
            </w14:solidFill>
          </w14:textFill>
        </w:rPr>
        <w:t>七</w:t>
      </w:r>
      <w:r>
        <w:rPr>
          <w:b/>
          <w:color w:val="000000" w:themeColor="text1"/>
          <w:sz w:val="24"/>
          <w:szCs w:val="24"/>
          <w:highlight w:val="none"/>
          <w14:textFill>
            <w14:solidFill>
              <w14:schemeClr w14:val="tx1"/>
            </w14:solidFill>
          </w14:textFill>
        </w:rPr>
        <w:t xml:space="preserve">条  </w:t>
      </w:r>
      <w:r>
        <w:rPr>
          <w:rFonts w:hint="eastAsia"/>
          <w:b/>
          <w:color w:val="000000" w:themeColor="text1"/>
          <w:sz w:val="24"/>
          <w:szCs w:val="24"/>
          <w:highlight w:val="none"/>
          <w14:textFill>
            <w14:solidFill>
              <w14:schemeClr w14:val="tx1"/>
            </w14:solidFill>
          </w14:textFill>
        </w:rPr>
        <w:t>监督</w:t>
      </w:r>
      <w:r>
        <w:rPr>
          <w:b/>
          <w:color w:val="000000" w:themeColor="text1"/>
          <w:sz w:val="24"/>
          <w:szCs w:val="24"/>
          <w:highlight w:val="none"/>
          <w14:textFill>
            <w14:solidFill>
              <w14:schemeClr w14:val="tx1"/>
            </w14:solidFill>
          </w14:textFill>
        </w:rPr>
        <w:t>举报</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发包人、承包人</w:t>
      </w:r>
      <w:r>
        <w:rPr>
          <w:rFonts w:hint="eastAsia"/>
          <w:color w:val="000000" w:themeColor="text1"/>
          <w:sz w:val="24"/>
          <w:szCs w:val="24"/>
          <w:highlight w:val="none"/>
          <w14:textFill>
            <w14:solidFill>
              <w14:schemeClr w14:val="tx1"/>
            </w14:solidFill>
          </w14:textFill>
        </w:rPr>
        <w:t>均有监督举报的权利和义务，</w:t>
      </w:r>
      <w:r>
        <w:rPr>
          <w:color w:val="000000" w:themeColor="text1"/>
          <w:sz w:val="24"/>
          <w:szCs w:val="24"/>
          <w:highlight w:val="none"/>
          <w14:textFill>
            <w14:solidFill>
              <w14:schemeClr w14:val="tx1"/>
            </w14:solidFill>
          </w14:textFill>
        </w:rPr>
        <w:t>发现对方有违反本合同的行为，可向南沙区纪委监委举报</w:t>
      </w:r>
      <w:r>
        <w:rPr>
          <w:rFonts w:hint="eastAsia"/>
          <w:color w:val="000000" w:themeColor="text1"/>
          <w:sz w:val="24"/>
          <w:szCs w:val="24"/>
          <w:highlight w:val="none"/>
          <w14:textFill>
            <w14:solidFill>
              <w14:schemeClr w14:val="tx1"/>
            </w14:solidFill>
          </w14:textFill>
        </w:rPr>
        <w:t>。南沙</w:t>
      </w:r>
      <w:r>
        <w:rPr>
          <w:color w:val="000000" w:themeColor="text1"/>
          <w:sz w:val="24"/>
          <w:szCs w:val="24"/>
          <w:highlight w:val="none"/>
          <w14:textFill>
            <w14:solidFill>
              <w14:schemeClr w14:val="tx1"/>
            </w14:solidFill>
          </w14:textFill>
        </w:rPr>
        <w:t>区纪委监委</w:t>
      </w:r>
      <w:r>
        <w:rPr>
          <w:rFonts w:hint="eastAsia"/>
          <w:color w:val="000000" w:themeColor="text1"/>
          <w:sz w:val="24"/>
          <w:szCs w:val="24"/>
          <w:highlight w:val="none"/>
          <w14:textFill>
            <w14:solidFill>
              <w14:schemeClr w14:val="tx1"/>
            </w14:solidFill>
          </w14:textFill>
        </w:rPr>
        <w:t>将按照相关规定予以受理，鼓励实名举报，严查诬告陷害，对实名举报有功人员给予一定的现金奖励，对诬告陷害的依规依纪依法给予处理。</w:t>
      </w:r>
    </w:p>
    <w:p>
      <w:pPr>
        <w:snapToGrid w:val="0"/>
        <w:spacing w:line="360" w:lineRule="auto"/>
        <w:ind w:firstLine="482" w:firstLineChars="200"/>
        <w:rPr>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南沙区纪委监委</w:t>
      </w:r>
      <w:r>
        <w:rPr>
          <w:rFonts w:hint="eastAsia"/>
          <w:b/>
          <w:bCs/>
          <w:color w:val="000000" w:themeColor="text1"/>
          <w:sz w:val="24"/>
          <w:szCs w:val="24"/>
          <w:highlight w:val="none"/>
          <w14:textFill>
            <w14:solidFill>
              <w14:schemeClr w14:val="tx1"/>
            </w14:solidFill>
          </w14:textFill>
        </w:rPr>
        <w:t>举报方式</w:t>
      </w:r>
      <w:r>
        <w:rPr>
          <w:rFonts w:hint="eastAsia"/>
          <w:color w:val="000000" w:themeColor="text1"/>
          <w:sz w:val="24"/>
          <w:szCs w:val="24"/>
          <w:highlight w:val="none"/>
          <w14:textFill>
            <w14:solidFill>
              <w14:schemeClr w14:val="tx1"/>
            </w14:solidFill>
          </w14:textFill>
        </w:rPr>
        <w:t>：</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来信举报：广州市南沙区凤凰大道一号南沙区纪委监委信访室，邮编511455；</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电话举报：020-84986949</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020-12388</w:t>
      </w:r>
      <w:r>
        <w:rPr>
          <w:rFonts w:hint="eastAsia"/>
          <w:color w:val="000000" w:themeColor="text1"/>
          <w:sz w:val="24"/>
          <w:szCs w:val="24"/>
          <w:highlight w:val="none"/>
          <w14:textFill>
            <w14:solidFill>
              <w14:schemeClr w14:val="tx1"/>
            </w14:solidFill>
          </w14:textFill>
        </w:rPr>
        <w:t>；</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网络举报：</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"http://guangdong.12388.gov.cn；" </w:instrText>
      </w:r>
      <w:r>
        <w:rPr>
          <w:color w:val="000000" w:themeColor="text1"/>
          <w:highlight w:val="none"/>
          <w14:textFill>
            <w14:solidFill>
              <w14:schemeClr w14:val="tx1"/>
            </w14:solidFill>
          </w14:textFill>
        </w:rPr>
        <w:fldChar w:fldCharType="separate"/>
      </w:r>
      <w:r>
        <w:rPr>
          <w:rFonts w:hint="eastAsia"/>
          <w:color w:val="000000" w:themeColor="text1"/>
          <w:sz w:val="24"/>
          <w:szCs w:val="24"/>
          <w:highlight w:val="none"/>
          <w14:textFill>
            <w14:solidFill>
              <w14:schemeClr w14:val="tx1"/>
            </w14:solidFill>
          </w14:textFill>
        </w:rPr>
        <w:t>http://guangdong.12388.gov.cn；</w:t>
      </w:r>
      <w:r>
        <w:rPr>
          <w:rFonts w:hint="eastAsia"/>
          <w:color w:val="000000" w:themeColor="text1"/>
          <w:sz w:val="24"/>
          <w:szCs w:val="24"/>
          <w:highlight w:val="none"/>
          <w14:textFill>
            <w14:solidFill>
              <w14:schemeClr w14:val="tx1"/>
            </w14:solidFill>
          </w14:textFill>
        </w:rPr>
        <w:fldChar w:fldCharType="end"/>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1579245</wp:posOffset>
            </wp:positionH>
            <wp:positionV relativeFrom="paragraph">
              <wp:posOffset>416560</wp:posOffset>
            </wp:positionV>
            <wp:extent cx="1991360" cy="2440940"/>
            <wp:effectExtent l="0" t="0" r="15240" b="22860"/>
            <wp:wrapTopAndBottom/>
            <wp:docPr id="37" name="图片 37" descr="1603424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0342466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91360" cy="2440940"/>
                    </a:xfrm>
                    <a:prstGeom prst="rect">
                      <a:avLst/>
                    </a:prstGeom>
                    <a:noFill/>
                    <a:ln>
                      <a:noFill/>
                    </a:ln>
                  </pic:spPr>
                </pic:pic>
              </a:graphicData>
            </a:graphic>
          </wp:anchor>
        </w:drawing>
      </w:r>
      <w:r>
        <w:rPr>
          <w:rFonts w:hint="eastAsia"/>
          <w:color w:val="000000" w:themeColor="text1"/>
          <w:sz w:val="24"/>
          <w:szCs w:val="24"/>
          <w:highlight w:val="none"/>
          <w14:textFill>
            <w14:solidFill>
              <w14:schemeClr w14:val="tx1"/>
            </w14:solidFill>
          </w14:textFill>
        </w:rPr>
        <w:t>二维码举报：</w:t>
      </w:r>
    </w:p>
    <w:p>
      <w:pPr>
        <w:snapToGrid w:val="0"/>
        <w:spacing w:line="360" w:lineRule="auto"/>
        <w:ind w:firstLine="482" w:firstLineChars="200"/>
        <w:rPr>
          <w:b/>
          <w:color w:val="000000" w:themeColor="text1"/>
          <w:sz w:val="24"/>
          <w:szCs w:val="24"/>
          <w:highlight w:val="none"/>
          <w14:textFill>
            <w14:solidFill>
              <w14:schemeClr w14:val="tx1"/>
            </w14:solidFill>
          </w14:textFill>
        </w:rPr>
      </w:pP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南沙交投集团纪委举报方式：</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电话举报：020-84999853；</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邮箱举报：12388@nscig.cn。</w:t>
      </w:r>
    </w:p>
    <w:p>
      <w:pPr>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第</w:t>
      </w:r>
      <w:r>
        <w:rPr>
          <w:rFonts w:hint="eastAsia"/>
          <w:b/>
          <w:color w:val="000000" w:themeColor="text1"/>
          <w:sz w:val="24"/>
          <w:szCs w:val="24"/>
          <w:highlight w:val="none"/>
          <w14:textFill>
            <w14:solidFill>
              <w14:schemeClr w14:val="tx1"/>
            </w14:solidFill>
          </w14:textFill>
        </w:rPr>
        <w:t>八</w:t>
      </w:r>
      <w:r>
        <w:rPr>
          <w:b/>
          <w:color w:val="000000" w:themeColor="text1"/>
          <w:sz w:val="24"/>
          <w:szCs w:val="24"/>
          <w:highlight w:val="none"/>
          <w14:textFill>
            <w14:solidFill>
              <w14:schemeClr w14:val="tx1"/>
            </w14:solidFill>
          </w14:textFill>
        </w:rPr>
        <w:t>条  其他约定</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本合同作为双方所签署主合同的附件，与</w:t>
      </w:r>
      <w:r>
        <w:rPr>
          <w:rFonts w:hint="eastAsia"/>
          <w:color w:val="000000" w:themeColor="text1"/>
          <w:sz w:val="24"/>
          <w:szCs w:val="24"/>
          <w:highlight w:val="none"/>
          <w14:textFill>
            <w14:solidFill>
              <w14:schemeClr w14:val="tx1"/>
            </w14:solidFill>
          </w14:textFill>
        </w:rPr>
        <w:t>主合同</w:t>
      </w:r>
      <w:r>
        <w:rPr>
          <w:color w:val="000000" w:themeColor="text1"/>
          <w:sz w:val="24"/>
          <w:szCs w:val="24"/>
          <w:highlight w:val="none"/>
          <w14:textFill>
            <w14:solidFill>
              <w14:schemeClr w14:val="tx1"/>
            </w14:solidFill>
          </w14:textFill>
        </w:rPr>
        <w:t>具有同等法律效力</w:t>
      </w:r>
      <w:r>
        <w:rPr>
          <w:rFonts w:hint="eastAsia"/>
          <w:color w:val="000000" w:themeColor="text1"/>
          <w:sz w:val="24"/>
          <w:szCs w:val="24"/>
          <w:highlight w:val="none"/>
          <w14:textFill>
            <w14:solidFill>
              <w14:schemeClr w14:val="tx1"/>
            </w14:solidFill>
          </w14:textFill>
        </w:rPr>
        <w:t>。对项目涉及的廉洁问题，不受项目竣工验收、工作人员离职或退休等原因影响，发包人、承包人仍应按合同约定承担相应的违约责任。</w:t>
      </w:r>
    </w:p>
    <w:p>
      <w:pPr>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本合同经双方签署后生效。</w:t>
      </w:r>
    </w:p>
    <w:p>
      <w:pPr>
        <w:snapToGrid w:val="0"/>
        <w:spacing w:line="360" w:lineRule="auto"/>
        <w:rPr>
          <w:color w:val="000000" w:themeColor="text1"/>
          <w:sz w:val="24"/>
          <w:szCs w:val="24"/>
          <w:highlight w:val="none"/>
          <w14:textFill>
            <w14:solidFill>
              <w14:schemeClr w14:val="tx1"/>
            </w14:solidFill>
          </w14:textFill>
        </w:rPr>
      </w:pPr>
    </w:p>
    <w:tbl>
      <w:tblPr>
        <w:tblStyle w:val="29"/>
        <w:tblW w:w="8046" w:type="dxa"/>
        <w:tblInd w:w="0" w:type="dxa"/>
        <w:tblLayout w:type="autofit"/>
        <w:tblCellMar>
          <w:top w:w="0" w:type="dxa"/>
          <w:left w:w="108" w:type="dxa"/>
          <w:bottom w:w="0" w:type="dxa"/>
          <w:right w:w="108" w:type="dxa"/>
        </w:tblCellMar>
      </w:tblPr>
      <w:tblGrid>
        <w:gridCol w:w="8046"/>
      </w:tblGrid>
      <w:tr>
        <w:tblPrEx>
          <w:tblCellMar>
            <w:top w:w="0" w:type="dxa"/>
            <w:left w:w="108" w:type="dxa"/>
            <w:bottom w:w="0" w:type="dxa"/>
            <w:right w:w="108" w:type="dxa"/>
          </w:tblCellMar>
        </w:tblPrEx>
        <w:tc>
          <w:tcPr>
            <w:tcW w:w="8046" w:type="dxa"/>
            <w:shd w:val="clear" w:color="auto" w:fill="auto"/>
          </w:tcPr>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发包人（盖章）：广州南沙交通投资集团有限公司</w:t>
            </w:r>
          </w:p>
          <w:p>
            <w:pPr>
              <w:snapToGrid w:val="0"/>
              <w:spacing w:line="360" w:lineRule="auto"/>
              <w:rPr>
                <w:rFonts w:cs="宋体"/>
                <w:color w:val="000000" w:themeColor="text1"/>
                <w:sz w:val="24"/>
                <w:szCs w:val="24"/>
                <w:highlight w:val="none"/>
                <w14:textFill>
                  <w14:solidFill>
                    <w14:schemeClr w14:val="tx1"/>
                  </w14:solidFill>
                </w14:textFill>
              </w:rPr>
            </w:pPr>
          </w:p>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法定代表人/授权代理人</w:t>
            </w:r>
          </w:p>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（签字）：</w:t>
            </w:r>
          </w:p>
          <w:p>
            <w:pPr>
              <w:snapToGrid w:val="0"/>
              <w:spacing w:line="360" w:lineRule="auto"/>
              <w:rPr>
                <w:rFonts w:cs="宋体"/>
                <w:color w:val="000000" w:themeColor="text1"/>
                <w:sz w:val="24"/>
                <w:szCs w:val="24"/>
                <w:highlight w:val="none"/>
                <w14:textFill>
                  <w14:solidFill>
                    <w14:schemeClr w14:val="tx1"/>
                  </w14:solidFill>
                </w14:textFill>
              </w:rPr>
            </w:pPr>
          </w:p>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或党委书记/纪委书记</w:t>
            </w:r>
          </w:p>
          <w:p>
            <w:pPr>
              <w:snapToGrid w:val="0"/>
              <w:spacing w:line="360" w:lineRule="auto"/>
              <w:rPr>
                <w:rFonts w:cs="仿宋_GB2312"/>
                <w:color w:val="000000" w:themeColor="text1"/>
                <w:sz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（签字）</w:t>
            </w:r>
          </w:p>
        </w:tc>
      </w:tr>
    </w:tbl>
    <w:p>
      <w:pPr>
        <w:tabs>
          <w:tab w:val="left" w:pos="2277"/>
        </w:tabs>
        <w:adjustRightInd w:val="0"/>
        <w:snapToGrid w:val="0"/>
        <w:spacing w:line="360" w:lineRule="auto"/>
        <w:rPr>
          <w:color w:val="000000" w:themeColor="text1"/>
          <w:sz w:val="24"/>
          <w:szCs w:val="24"/>
          <w:highlight w:val="none"/>
          <w14:textFill>
            <w14:solidFill>
              <w14:schemeClr w14:val="tx1"/>
            </w14:solidFill>
          </w14:textFill>
        </w:rPr>
      </w:pPr>
    </w:p>
    <w:p>
      <w:pPr>
        <w:pStyle w:val="2"/>
        <w:ind w:firstLine="0" w:firstLineChars="0"/>
        <w:rPr>
          <w:color w:val="000000" w:themeColor="text1"/>
          <w:highlight w:val="none"/>
          <w14:textFill>
            <w14:solidFill>
              <w14:schemeClr w14:val="tx1"/>
            </w14:solidFill>
          </w14:textFill>
        </w:rPr>
      </w:pPr>
    </w:p>
    <w:tbl>
      <w:tblPr>
        <w:tblStyle w:val="29"/>
        <w:tblW w:w="0" w:type="auto"/>
        <w:tblInd w:w="0" w:type="dxa"/>
        <w:tblLayout w:type="autofit"/>
        <w:tblCellMar>
          <w:top w:w="0" w:type="dxa"/>
          <w:left w:w="108" w:type="dxa"/>
          <w:bottom w:w="0" w:type="dxa"/>
          <w:right w:w="108" w:type="dxa"/>
        </w:tblCellMar>
      </w:tblPr>
      <w:tblGrid>
        <w:gridCol w:w="7338"/>
      </w:tblGrid>
      <w:tr>
        <w:tblPrEx>
          <w:tblCellMar>
            <w:top w:w="0" w:type="dxa"/>
            <w:left w:w="108" w:type="dxa"/>
            <w:bottom w:w="0" w:type="dxa"/>
            <w:right w:w="108" w:type="dxa"/>
          </w:tblCellMar>
        </w:tblPrEx>
        <w:tc>
          <w:tcPr>
            <w:tcW w:w="7338" w:type="dxa"/>
            <w:shd w:val="clear" w:color="auto" w:fill="auto"/>
          </w:tcPr>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承包人（盖章）：</w:t>
            </w:r>
            <w:r>
              <w:rPr>
                <w:rFonts w:cs="宋体"/>
                <w:color w:val="000000" w:themeColor="text1"/>
                <w:sz w:val="24"/>
                <w:szCs w:val="24"/>
                <w:highlight w:val="none"/>
                <w14:textFill>
                  <w14:solidFill>
                    <w14:schemeClr w14:val="tx1"/>
                  </w14:solidFill>
                </w14:textFill>
              </w:rPr>
              <w:t xml:space="preserve">        </w:t>
            </w:r>
          </w:p>
          <w:p>
            <w:pPr>
              <w:snapToGrid w:val="0"/>
              <w:spacing w:line="360" w:lineRule="auto"/>
              <w:rPr>
                <w:rFonts w:cs="宋体"/>
                <w:color w:val="000000" w:themeColor="text1"/>
                <w:sz w:val="24"/>
                <w:szCs w:val="24"/>
                <w:highlight w:val="none"/>
                <w14:textFill>
                  <w14:solidFill>
                    <w14:schemeClr w14:val="tx1"/>
                  </w14:solidFill>
                </w14:textFill>
              </w:rPr>
            </w:pPr>
          </w:p>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法定代表人/授权代理人</w:t>
            </w:r>
          </w:p>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（签字）：</w:t>
            </w:r>
          </w:p>
          <w:p>
            <w:pPr>
              <w:snapToGrid w:val="0"/>
              <w:spacing w:line="360" w:lineRule="auto"/>
              <w:rPr>
                <w:rFonts w:cs="宋体"/>
                <w:color w:val="000000" w:themeColor="text1"/>
                <w:sz w:val="24"/>
                <w:szCs w:val="24"/>
                <w:highlight w:val="none"/>
                <w14:textFill>
                  <w14:solidFill>
                    <w14:schemeClr w14:val="tx1"/>
                  </w14:solidFill>
                </w14:textFill>
              </w:rPr>
            </w:pPr>
          </w:p>
          <w:p>
            <w:pPr>
              <w:snapToGrid w:val="0"/>
              <w:spacing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或党委书记/纪委书记</w:t>
            </w:r>
          </w:p>
          <w:p>
            <w:pPr>
              <w:snapToGrid w:val="0"/>
              <w:spacing w:line="360" w:lineRule="auto"/>
              <w:rPr>
                <w:rFonts w:cs="仿宋_GB2312"/>
                <w:color w:val="000000" w:themeColor="text1"/>
                <w:sz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（签字）</w:t>
            </w:r>
          </w:p>
        </w:tc>
      </w:tr>
    </w:tbl>
    <w:p>
      <w:pPr>
        <w:pStyle w:val="3"/>
        <w:rPr>
          <w:color w:val="000000" w:themeColor="text1"/>
          <w:sz w:val="24"/>
          <w:szCs w:val="24"/>
          <w:highlight w:val="none"/>
          <w14:textFill>
            <w14:solidFill>
              <w14:schemeClr w14:val="tx1"/>
            </w14:solidFill>
          </w14:textFill>
        </w:rPr>
      </w:pPr>
    </w:p>
    <w:p>
      <w:pPr>
        <w:pStyle w:val="3"/>
        <w:spacing w:line="360" w:lineRule="auto"/>
        <w:rPr>
          <w:color w:val="000000" w:themeColor="text1"/>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签订地点：</w:t>
      </w:r>
      <w:r>
        <w:rPr>
          <w:rFonts w:hint="eastAsia"/>
          <w:color w:val="000000" w:themeColor="text1"/>
          <w:sz w:val="24"/>
          <w:szCs w:val="24"/>
          <w:highlight w:val="none"/>
          <w:u w:val="single"/>
          <w14:textFill>
            <w14:solidFill>
              <w14:schemeClr w14:val="tx1"/>
            </w14:solidFill>
          </w14:textFill>
        </w:rPr>
        <w:t>广州市南沙区</w:t>
      </w:r>
      <w:r>
        <w:rPr>
          <w:rFonts w:hint="eastAsia"/>
          <w:color w:val="000000" w:themeColor="text1"/>
          <w:sz w:val="24"/>
          <w:szCs w:val="24"/>
          <w:highlight w:val="none"/>
          <w14:textFill>
            <w14:solidFill>
              <w14:schemeClr w14:val="tx1"/>
            </w14:solidFill>
          </w14:textFill>
        </w:rPr>
        <w:t xml:space="preserve"> </w:t>
      </w:r>
    </w:p>
    <w:p>
      <w:pPr>
        <w:tabs>
          <w:tab w:val="left" w:pos="2277"/>
        </w:tabs>
        <w:adjustRightInd w:val="0"/>
        <w:snapToGrid w:val="0"/>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签订时间：详见本合同封面。</w:t>
      </w:r>
    </w:p>
    <w:p>
      <w:pPr>
        <w:pStyle w:val="5"/>
        <w:rPr>
          <w:color w:val="000000" w:themeColor="text1"/>
          <w:highlight w:val="none"/>
          <w14:textFill>
            <w14:solidFill>
              <w14:schemeClr w14:val="tx1"/>
            </w14:solidFill>
          </w14:textFill>
        </w:rPr>
      </w:pPr>
      <w:bookmarkStart w:id="231" w:name="_Toc112071517"/>
      <w:bookmarkStart w:id="232" w:name="_Toc12609"/>
      <w:bookmarkStart w:id="233" w:name="_Toc1916295226"/>
      <w:bookmarkStart w:id="234" w:name="_Toc114645972"/>
      <w:bookmarkStart w:id="235" w:name="_Toc114661190"/>
      <w:bookmarkStart w:id="236" w:name="_Toc799143336"/>
      <w:bookmarkStart w:id="237" w:name="_Toc149656779"/>
      <w:r>
        <w:rPr>
          <w:rFonts w:hint="eastAsia"/>
          <w:color w:val="000000" w:themeColor="text1"/>
          <w:highlight w:val="none"/>
          <w14:textFill>
            <w14:solidFill>
              <w14:schemeClr w14:val="tx1"/>
            </w14:solidFill>
          </w14:textFill>
        </w:rPr>
        <w:t>附件2：中标通知书</w:t>
      </w:r>
      <w:bookmarkEnd w:id="231"/>
      <w:bookmarkEnd w:id="232"/>
      <w:r>
        <w:rPr>
          <w:rFonts w:hint="eastAsia"/>
          <w:color w:val="000000" w:themeColor="text1"/>
          <w:highlight w:val="none"/>
          <w14:textFill>
            <w14:solidFill>
              <w14:schemeClr w14:val="tx1"/>
            </w14:solidFill>
          </w14:textFill>
        </w:rPr>
        <w:t>/直接委托通知书/会议纪要/……</w:t>
      </w:r>
      <w:bookmarkEnd w:id="233"/>
      <w:bookmarkEnd w:id="234"/>
      <w:bookmarkEnd w:id="235"/>
      <w:bookmarkEnd w:id="236"/>
      <w:bookmarkEnd w:id="237"/>
    </w:p>
    <w:p>
      <w:pPr>
        <w:adjustRightInd w:val="0"/>
        <w:snapToGrid w:val="0"/>
        <w:spacing w:line="360" w:lineRule="auto"/>
        <w:rPr>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 xml:space="preserve">    </w:t>
      </w:r>
    </w:p>
    <w:p>
      <w:pPr>
        <w:pStyle w:val="5"/>
        <w:rPr>
          <w:color w:val="000000" w:themeColor="text1"/>
          <w:highlight w:val="none"/>
          <w14:textFill>
            <w14:solidFill>
              <w14:schemeClr w14:val="tx1"/>
            </w14:solidFill>
          </w14:textFill>
        </w:rPr>
      </w:pPr>
      <w:bookmarkStart w:id="238" w:name="_Toc114661191"/>
      <w:bookmarkStart w:id="239" w:name="_Toc1361609323"/>
      <w:bookmarkStart w:id="240" w:name="_Toc114645973"/>
      <w:bookmarkStart w:id="241" w:name="_Toc839319814"/>
      <w:bookmarkStart w:id="242" w:name="_Toc149656780"/>
      <w:bookmarkStart w:id="243" w:name="_Toc21125"/>
      <w:bookmarkStart w:id="244" w:name="_Toc112071518"/>
      <w:bookmarkStart w:id="245" w:name="_Toc23511712"/>
      <w:bookmarkStart w:id="246" w:name="_Toc23511223"/>
      <w:r>
        <w:rPr>
          <w:rFonts w:hint="eastAsia"/>
          <w:color w:val="000000" w:themeColor="text1"/>
          <w:highlight w:val="none"/>
          <w14:textFill>
            <w14:solidFill>
              <w14:schemeClr w14:val="tx1"/>
            </w14:solidFill>
          </w14:textFill>
        </w:rPr>
        <w:t>附件3：法定代表人证明书及法定代表人身份证复印件</w:t>
      </w:r>
      <w:bookmarkEnd w:id="238"/>
      <w:bookmarkEnd w:id="239"/>
      <w:bookmarkEnd w:id="240"/>
      <w:bookmarkEnd w:id="241"/>
      <w:bookmarkEnd w:id="242"/>
    </w:p>
    <w:p>
      <w:pPr>
        <w:snapToGrid w:val="0"/>
        <w:spacing w:line="360" w:lineRule="auto"/>
        <w:jc w:val="center"/>
        <w:rPr>
          <w:color w:val="000000" w:themeColor="text1"/>
          <w:sz w:val="24"/>
          <w:highlight w:val="none"/>
          <w14:textFill>
            <w14:solidFill>
              <w14:schemeClr w14:val="tx1"/>
            </w14:solidFill>
          </w14:textFill>
        </w:rPr>
      </w:pPr>
      <w:bookmarkStart w:id="247" w:name="_Toc112071519"/>
      <w:bookmarkStart w:id="248" w:name="_Toc25275"/>
      <w:bookmarkStart w:id="249" w:name="_Toc982149229"/>
      <w:bookmarkStart w:id="250" w:name="_Toc1775520402"/>
      <w:bookmarkStart w:id="251" w:name="_Toc114645974"/>
      <w:r>
        <w:rPr>
          <w:rFonts w:hint="eastAsia"/>
          <w:color w:val="000000" w:themeColor="text1"/>
          <w:sz w:val="24"/>
          <w:highlight w:val="none"/>
          <w14:textFill>
            <w14:solidFill>
              <w14:schemeClr w14:val="tx1"/>
            </w14:solidFill>
          </w14:textFill>
        </w:rPr>
        <w:t>（合同正本需</w:t>
      </w:r>
      <w:r>
        <w:rPr>
          <w:rFonts w:hint="eastAsia"/>
          <w:color w:val="000000" w:themeColor="text1"/>
          <w:sz w:val="24"/>
          <w:highlight w:val="none"/>
          <w:lang w:eastAsia="zh-Hans"/>
          <w14:textFill>
            <w14:solidFill>
              <w14:schemeClr w14:val="tx1"/>
            </w14:solidFill>
          </w14:textFill>
        </w:rPr>
        <w:t>粘贴</w:t>
      </w:r>
      <w:r>
        <w:rPr>
          <w:rFonts w:hint="eastAsia"/>
          <w:color w:val="000000" w:themeColor="text1"/>
          <w:sz w:val="24"/>
          <w:highlight w:val="none"/>
          <w14:textFill>
            <w14:solidFill>
              <w14:schemeClr w14:val="tx1"/>
            </w14:solidFill>
          </w14:textFill>
        </w:rPr>
        <w:t>原件</w:t>
      </w:r>
      <w:r>
        <w:rPr>
          <w:rFonts w:hint="eastAsia"/>
          <w:color w:val="000000" w:themeColor="text1"/>
          <w:sz w:val="24"/>
          <w:highlight w:val="none"/>
          <w:lang w:eastAsia="zh-Hans"/>
          <w14:textFill>
            <w14:solidFill>
              <w14:schemeClr w14:val="tx1"/>
            </w14:solidFill>
          </w14:textFill>
        </w:rPr>
        <w:t>或复印件加盖公章</w:t>
      </w:r>
      <w:r>
        <w:rPr>
          <w:rFonts w:hint="eastAsia"/>
          <w:color w:val="000000" w:themeColor="text1"/>
          <w:sz w:val="24"/>
          <w:highlight w:val="none"/>
          <w14:textFill>
            <w14:solidFill>
              <w14:schemeClr w14:val="tx1"/>
            </w14:solidFill>
          </w14:textFill>
        </w:rPr>
        <w:t>）</w:t>
      </w:r>
    </w:p>
    <w:p>
      <w:pPr>
        <w:spacing w:before="480" w:after="360" w:line="360" w:lineRule="auto"/>
        <w:jc w:val="center"/>
        <w:rPr>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法定代表人证明书</w:t>
      </w:r>
    </w:p>
    <w:p>
      <w:pPr>
        <w:spacing w:before="480" w:after="360" w:line="360" w:lineRule="auto"/>
        <w:jc w:val="center"/>
        <w:rPr>
          <w:color w:val="000000" w:themeColor="text1"/>
          <w:sz w:val="24"/>
          <w:szCs w:val="24"/>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（参考格式）</w:t>
      </w:r>
    </w:p>
    <w:p>
      <w:pPr>
        <w:spacing w:line="360" w:lineRule="auto"/>
        <w:ind w:left="-2" w:leftChars="-1" w:right="-151" w:rightChars="-72"/>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单位名称：</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p>
    <w:p>
      <w:pPr>
        <w:spacing w:line="360" w:lineRule="auto"/>
        <w:ind w:left="-2" w:leftChars="-1" w:right="-151" w:rightChars="-72"/>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单位性质：</w:t>
      </w:r>
      <w:r>
        <w:rPr>
          <w:color w:val="000000" w:themeColor="text1"/>
          <w:sz w:val="24"/>
          <w:szCs w:val="24"/>
          <w:highlight w:val="none"/>
          <w14:textFill>
            <w14:solidFill>
              <w14:schemeClr w14:val="tx1"/>
            </w14:solidFill>
          </w14:textFill>
        </w:rPr>
        <w:t xml:space="preserve"> </w:t>
      </w:r>
    </w:p>
    <w:p>
      <w:pPr>
        <w:spacing w:line="360" w:lineRule="auto"/>
        <w:ind w:left="-2" w:leftChars="-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地    址：</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p>
    <w:p>
      <w:pPr>
        <w:spacing w:line="360" w:lineRule="auto"/>
        <w:ind w:left="-2" w:leftChars="-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成立时间：</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年</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月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日</w:t>
      </w:r>
    </w:p>
    <w:p>
      <w:pPr>
        <w:spacing w:line="360" w:lineRule="auto"/>
        <w:ind w:left="-2" w:leftChars="-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经营期限：</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年</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月</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日至 </w:t>
      </w:r>
      <w:r>
        <w:rPr>
          <w:color w:val="000000" w:themeColor="text1"/>
          <w:sz w:val="24"/>
          <w:szCs w:val="24"/>
          <w:highlight w:val="none"/>
          <w14:textFill>
            <w14:solidFill>
              <w14:schemeClr w14:val="tx1"/>
            </w14:solidFill>
          </w14:textFill>
        </w:rPr>
        <w:t xml:space="preserve"> </w:t>
      </w:r>
    </w:p>
    <w:p>
      <w:pPr>
        <w:spacing w:line="360" w:lineRule="auto"/>
        <w:ind w:left="-2" w:leftChars="-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统一社会信用代码：</w:t>
      </w:r>
    </w:p>
    <w:p>
      <w:pPr>
        <w:spacing w:line="360" w:lineRule="auto"/>
        <w:ind w:left="-2" w:leftChars="-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姓    名：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性别：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年龄：</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职务： </w:t>
      </w:r>
      <w:r>
        <w:rPr>
          <w:color w:val="000000" w:themeColor="text1"/>
          <w:sz w:val="24"/>
          <w:szCs w:val="24"/>
          <w:highlight w:val="none"/>
          <w14:textFill>
            <w14:solidFill>
              <w14:schemeClr w14:val="tx1"/>
            </w14:solidFill>
          </w14:textFill>
        </w:rPr>
        <w:t xml:space="preserve">   </w:t>
      </w:r>
    </w:p>
    <w:p>
      <w:pPr>
        <w:spacing w:line="360" w:lineRule="auto"/>
        <w:ind w:left="-2" w:leftChars="-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为我单位法定代表人，特此证明。</w:t>
      </w:r>
    </w:p>
    <w:p>
      <w:pPr>
        <w:spacing w:line="360" w:lineRule="auto"/>
        <w:ind w:left="-2" w:leftChars="-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 xml:space="preserve"> </w:t>
      </w:r>
    </w:p>
    <w:p>
      <w:pPr>
        <w:spacing w:line="360" w:lineRule="auto"/>
        <w:ind w:left="-2" w:leftChars="-1" w:right="-9" w:firstLine="3360" w:firstLineChars="14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单位：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（盖章）</w:t>
      </w:r>
    </w:p>
    <w:p>
      <w:pPr>
        <w:spacing w:line="360" w:lineRule="auto"/>
        <w:ind w:right="-9" w:firstLine="3360" w:firstLineChars="1400"/>
        <w:rPr>
          <w:color w:val="000000" w:themeColor="text1"/>
          <w:szCs w:val="21"/>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日期：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年   月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日</w:t>
      </w:r>
    </w:p>
    <w:p>
      <w:pPr>
        <w:spacing w:after="120"/>
        <w:ind w:firstLine="42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 </w:t>
      </w:r>
    </w:p>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（后附法定代表人身份证复印件正反面）</w:t>
      </w:r>
    </w:p>
    <w:p>
      <w:pPr>
        <w:widowControl/>
        <w:jc w:val="left"/>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br w:type="page"/>
      </w:r>
    </w:p>
    <w:p>
      <w:pPr>
        <w:snapToGrid w:val="0"/>
        <w:spacing w:line="360" w:lineRule="auto"/>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（代表人身份证复印件正反面）</w:t>
      </w:r>
    </w:p>
    <w:p>
      <w:pPr>
        <w:pStyle w:val="5"/>
        <w:rPr>
          <w:color w:val="000000" w:themeColor="text1"/>
          <w:highlight w:val="none"/>
          <w14:textFill>
            <w14:solidFill>
              <w14:schemeClr w14:val="tx1"/>
            </w14:solidFill>
          </w14:textFill>
        </w:rPr>
      </w:pPr>
      <w:bookmarkStart w:id="252" w:name="_Toc114661192"/>
      <w:bookmarkStart w:id="253" w:name="_Toc149656781"/>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：投标报价文件</w:t>
      </w:r>
      <w:bookmarkEnd w:id="247"/>
      <w:bookmarkEnd w:id="248"/>
      <w:r>
        <w:rPr>
          <w:rFonts w:hint="eastAsia"/>
          <w:color w:val="000000" w:themeColor="text1"/>
          <w:highlight w:val="none"/>
          <w14:textFill>
            <w14:solidFill>
              <w14:schemeClr w14:val="tx1"/>
            </w14:solidFill>
          </w14:textFill>
        </w:rPr>
        <w:t>（如有）/合同费用计算书</w:t>
      </w:r>
      <w:bookmarkEnd w:id="249"/>
      <w:bookmarkEnd w:id="250"/>
      <w:bookmarkEnd w:id="251"/>
      <w:bookmarkEnd w:id="252"/>
      <w:bookmarkEnd w:id="253"/>
    </w:p>
    <w:p>
      <w:pPr>
        <w:adjustRightInd w:val="0"/>
        <w:snapToGrid w:val="0"/>
        <w:spacing w:line="360" w:lineRule="auto"/>
        <w:rPr>
          <w:color w:val="000000" w:themeColor="text1"/>
          <w:sz w:val="24"/>
          <w:szCs w:val="24"/>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254" w:name="_Toc1422780961"/>
      <w:bookmarkStart w:id="255" w:name="_Toc1886121349"/>
      <w:bookmarkStart w:id="256" w:name="_Toc114645975"/>
      <w:bookmarkStart w:id="257" w:name="_Toc114661193"/>
      <w:bookmarkStart w:id="258" w:name="_Toc149656782"/>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：承诺书、履约银行保函（备注：如为不需提供保函项目，则本条删除）</w:t>
      </w:r>
      <w:bookmarkEnd w:id="243"/>
      <w:bookmarkEnd w:id="244"/>
      <w:bookmarkEnd w:id="254"/>
      <w:bookmarkEnd w:id="255"/>
      <w:bookmarkEnd w:id="256"/>
      <w:bookmarkEnd w:id="257"/>
      <w:bookmarkEnd w:id="258"/>
    </w:p>
    <w:p>
      <w:pPr>
        <w:adjustRightInd w:val="0"/>
        <w:snapToGrid w:val="0"/>
        <w:spacing w:line="360" w:lineRule="auto"/>
        <w:jc w:val="center"/>
        <w:rPr>
          <w:b/>
          <w:color w:val="000000" w:themeColor="text1"/>
          <w:sz w:val="32"/>
          <w:szCs w:val="32"/>
          <w:highlight w:val="none"/>
          <w14:textFill>
            <w14:solidFill>
              <w14:schemeClr w14:val="tx1"/>
            </w14:solidFill>
          </w14:textFill>
        </w:rPr>
      </w:pPr>
      <w:bookmarkStart w:id="259" w:name="_Hlk97822923"/>
      <w:r>
        <w:rPr>
          <w:rFonts w:hint="eastAsia"/>
          <w:b/>
          <w:color w:val="000000" w:themeColor="text1"/>
          <w:sz w:val="32"/>
          <w:szCs w:val="32"/>
          <w:highlight w:val="none"/>
          <w14:textFill>
            <w14:solidFill>
              <w14:schemeClr w14:val="tx1"/>
            </w14:solidFill>
          </w14:textFill>
        </w:rPr>
        <w:t>承诺函</w:t>
      </w:r>
    </w:p>
    <w:p>
      <w:pPr>
        <w:adjustRightInd w:val="0"/>
        <w:snapToGrid w:val="0"/>
        <w:spacing w:line="360" w:lineRule="auto"/>
        <w:jc w:val="center"/>
        <w:rPr>
          <w:snapToGrid w:val="0"/>
          <w:color w:val="000000" w:themeColor="text1"/>
          <w:sz w:val="32"/>
          <w:szCs w:val="32"/>
          <w:highlight w:val="none"/>
          <w14:textFill>
            <w14:solidFill>
              <w14:schemeClr w14:val="tx1"/>
            </w14:solidFill>
          </w14:textFill>
        </w:rPr>
      </w:pPr>
    </w:p>
    <w:p>
      <w:pPr>
        <w:adjustRightInd w:val="0"/>
        <w:snapToGrid w:val="0"/>
        <w:spacing w:line="360" w:lineRule="auto"/>
        <w:rPr>
          <w:rFonts w:cs="宋体"/>
          <w:color w:val="000000" w:themeColor="text1"/>
          <w:sz w:val="24"/>
          <w:szCs w:val="32"/>
          <w:highlight w:val="none"/>
          <w:u w:val="singl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致：</w:t>
      </w:r>
      <w:r>
        <w:rPr>
          <w:rFonts w:hint="eastAsia" w:cs="宋体"/>
          <w:color w:val="000000" w:themeColor="text1"/>
          <w:sz w:val="24"/>
          <w:szCs w:val="32"/>
          <w:highlight w:val="none"/>
          <w:u w:val="single"/>
          <w14:textFill>
            <w14:solidFill>
              <w14:schemeClr w14:val="tx1"/>
            </w14:solidFill>
          </w14:textFill>
        </w:rPr>
        <w:t>广州南沙交通投资集团有限公司</w:t>
      </w:r>
    </w:p>
    <w:p>
      <w:pPr>
        <w:adjustRightInd w:val="0"/>
        <w:snapToGrid w:val="0"/>
        <w:spacing w:line="360" w:lineRule="auto"/>
        <w:ind w:firstLine="364" w:firstLineChars="152"/>
        <w:rPr>
          <w:rFonts w:cs="宋体"/>
          <w:color w:val="000000" w:themeColor="text1"/>
          <w:sz w:val="24"/>
          <w:szCs w:val="32"/>
          <w:highlight w:val="none"/>
          <w:u w:val="single"/>
          <w14:textFill>
            <w14:solidFill>
              <w14:schemeClr w14:val="tx1"/>
            </w14:solidFill>
          </w14:textFill>
        </w:rPr>
      </w:pPr>
    </w:p>
    <w:p>
      <w:pPr>
        <w:adjustRightInd w:val="0"/>
        <w:snapToGrid w:val="0"/>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我司与贵单位签订《***》（合同编号：）（下称“合同”）。为保障合同的有效执行，我司承诺：</w:t>
      </w:r>
    </w:p>
    <w:p>
      <w:pPr>
        <w:adjustRightInd w:val="0"/>
        <w:snapToGrid w:val="0"/>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1.我司承诺在即日起6</w:t>
      </w:r>
      <w:r>
        <w:rPr>
          <w:rFonts w:cs="宋体"/>
          <w:color w:val="000000" w:themeColor="text1"/>
          <w:sz w:val="24"/>
          <w:szCs w:val="32"/>
          <w:highlight w:val="none"/>
          <w14:textFill>
            <w14:solidFill>
              <w14:schemeClr w14:val="tx1"/>
            </w14:solidFill>
          </w14:textFill>
        </w:rPr>
        <w:t>0</w:t>
      </w:r>
      <w:r>
        <w:rPr>
          <w:rFonts w:hint="eastAsia" w:cs="宋体"/>
          <w:color w:val="000000" w:themeColor="text1"/>
          <w:sz w:val="24"/>
          <w:szCs w:val="32"/>
          <w:highlight w:val="none"/>
          <w14:textFill>
            <w14:solidFill>
              <w14:schemeClr w14:val="tx1"/>
            </w14:solidFill>
          </w14:textFill>
        </w:rPr>
        <w:t>天内向贵单位提交满足要求的《银行履约保函》。如逾期未按要求提交，我司同意贵单位按照每延误1天，按5000元/天扣除违约金，相关款项从应支付给我司的服务费用中直接扣除；</w:t>
      </w:r>
    </w:p>
    <w:p>
      <w:pPr>
        <w:adjustRightInd w:val="0"/>
        <w:snapToGrid w:val="0"/>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2.我司同意贵单位可因我司没按要求在规定期限内提交《银行履约保函》而单方解除合同，且无需承担违约责任，我司承担由此造成贵单位及我司的全部损失和费用。</w:t>
      </w:r>
    </w:p>
    <w:p>
      <w:pPr>
        <w:adjustRightInd w:val="0"/>
        <w:snapToGrid w:val="0"/>
        <w:spacing w:line="360" w:lineRule="auto"/>
        <w:ind w:firstLine="480" w:firstLineChars="200"/>
        <w:rPr>
          <w:rFonts w:cs="宋体"/>
          <w:color w:val="000000" w:themeColor="text1"/>
          <w:sz w:val="24"/>
          <w:szCs w:val="32"/>
          <w:highlight w:val="none"/>
          <w14:textFill>
            <w14:solidFill>
              <w14:schemeClr w14:val="tx1"/>
            </w14:solidFill>
          </w14:textFill>
        </w:rPr>
      </w:pPr>
      <w:r>
        <w:rPr>
          <w:rFonts w:hint="eastAsia" w:cs="宋体"/>
          <w:color w:val="000000" w:themeColor="text1"/>
          <w:sz w:val="24"/>
          <w:szCs w:val="32"/>
          <w:highlight w:val="none"/>
          <w14:textFill>
            <w14:solidFill>
              <w14:schemeClr w14:val="tx1"/>
            </w14:solidFill>
          </w14:textFill>
        </w:rPr>
        <w:t>特此承诺。</w:t>
      </w:r>
    </w:p>
    <w:p>
      <w:pPr>
        <w:adjustRightInd w:val="0"/>
        <w:snapToGrid w:val="0"/>
        <w:spacing w:line="360" w:lineRule="auto"/>
        <w:ind w:left="493" w:firstLine="480"/>
        <w:rPr>
          <w:rFonts w:cs="宋体"/>
          <w:color w:val="000000" w:themeColor="text1"/>
          <w:sz w:val="24"/>
          <w:szCs w:val="32"/>
          <w:highlight w:val="none"/>
          <w14:textFill>
            <w14:solidFill>
              <w14:schemeClr w14:val="tx1"/>
            </w14:solidFill>
          </w14:textFill>
        </w:rPr>
      </w:pPr>
    </w:p>
    <w:p>
      <w:pPr>
        <w:adjustRightInd w:val="0"/>
        <w:snapToGrid w:val="0"/>
        <w:spacing w:line="360" w:lineRule="auto"/>
        <w:ind w:firstLine="849" w:firstLineChars="354"/>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承诺人：（盖章）</w:t>
      </w:r>
    </w:p>
    <w:p>
      <w:pPr>
        <w:adjustRightInd w:val="0"/>
        <w:snapToGrid w:val="0"/>
        <w:spacing w:line="360" w:lineRule="auto"/>
        <w:ind w:firstLine="849" w:firstLineChars="354"/>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法定代表人或其授权委托人(签名或盖章)：</w:t>
      </w:r>
    </w:p>
    <w:p>
      <w:pPr>
        <w:adjustRightInd w:val="0"/>
        <w:snapToGrid w:val="0"/>
        <w:spacing w:line="360" w:lineRule="auto"/>
        <w:ind w:firstLine="849" w:firstLineChars="354"/>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日期：详细日期见本合同封面。</w:t>
      </w:r>
    </w:p>
    <w:bookmarkEnd w:id="259"/>
    <w:p>
      <w:pPr>
        <w:adjustRightInd w:val="0"/>
        <w:snapToGrid w:val="0"/>
        <w:spacing w:line="360" w:lineRule="auto"/>
        <w:ind w:left="63" w:right="63" w:firstLine="210" w:firstLineChars="100"/>
        <w:jc w:val="center"/>
        <w:rPr>
          <w:b/>
          <w:color w:val="000000" w:themeColor="text1"/>
          <w:sz w:val="32"/>
          <w:szCs w:val="40"/>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bookmarkStart w:id="260" w:name="_Hlk97822943"/>
      <w:r>
        <w:rPr>
          <w:rFonts w:hint="eastAsia"/>
          <w:b/>
          <w:color w:val="000000" w:themeColor="text1"/>
          <w:sz w:val="32"/>
          <w:szCs w:val="40"/>
          <w:highlight w:val="none"/>
          <w14:textFill>
            <w14:solidFill>
              <w14:schemeClr w14:val="tx1"/>
            </w14:solidFill>
          </w14:textFill>
        </w:rPr>
        <w:t>履约银行保函</w:t>
      </w:r>
    </w:p>
    <w:p>
      <w:pPr>
        <w:adjustRightInd w:val="0"/>
        <w:snapToGrid w:val="0"/>
        <w:spacing w:line="360" w:lineRule="auto"/>
        <w:ind w:left="493" w:leftChars="235" w:right="560" w:firstLine="3960" w:firstLineChars="1650"/>
        <w:jc w:val="right"/>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银行编号：</w:t>
      </w:r>
    </w:p>
    <w:p>
      <w:pPr>
        <w:adjustRightInd w:val="0"/>
        <w:snapToGrid w:val="0"/>
        <w:spacing w:line="360" w:lineRule="auto"/>
        <w:ind w:left="495" w:hanging="495"/>
        <w:rPr>
          <w:color w:val="000000" w:themeColor="text1"/>
          <w:sz w:val="24"/>
          <w:szCs w:val="32"/>
          <w:highlight w:val="none"/>
          <w:u w:val="single"/>
          <w14:textFill>
            <w14:solidFill>
              <w14:schemeClr w14:val="tx1"/>
            </w14:solidFill>
          </w14:textFill>
        </w:rPr>
      </w:pPr>
      <w:r>
        <w:rPr>
          <w:rFonts w:hint="eastAsia"/>
          <w:color w:val="000000" w:themeColor="text1"/>
          <w:sz w:val="24"/>
          <w:szCs w:val="32"/>
          <w:highlight w:val="none"/>
          <w14:textFill>
            <w14:solidFill>
              <w14:schemeClr w14:val="tx1"/>
            </w14:solidFill>
          </w14:textFill>
        </w:rPr>
        <w:t>致：（发包人）</w:t>
      </w:r>
      <w:r>
        <w:rPr>
          <w:rFonts w:hint="eastAsia"/>
          <w:color w:val="000000" w:themeColor="text1"/>
          <w:sz w:val="24"/>
          <w:szCs w:val="32"/>
          <w:highlight w:val="none"/>
          <w:u w:val="single"/>
          <w14:textFill>
            <w14:solidFill>
              <w14:schemeClr w14:val="tx1"/>
            </w14:solidFill>
          </w14:textFill>
        </w:rPr>
        <w:t xml:space="preserve"> </w:t>
      </w:r>
      <w:r>
        <w:rPr>
          <w:color w:val="000000" w:themeColor="text1"/>
          <w:sz w:val="24"/>
          <w:szCs w:val="32"/>
          <w:highlight w:val="none"/>
          <w:u w:val="single"/>
          <w14:textFill>
            <w14:solidFill>
              <w14:schemeClr w14:val="tx1"/>
            </w14:solidFill>
          </w14:textFill>
        </w:rPr>
        <w:t xml:space="preserve">                         </w:t>
      </w:r>
    </w:p>
    <w:p>
      <w:pPr>
        <w:adjustRightInd w:val="0"/>
        <w:snapToGrid w:val="0"/>
        <w:spacing w:line="360" w:lineRule="auto"/>
        <w:ind w:firstLine="480" w:firstLineChars="200"/>
        <w:rPr>
          <w:color w:val="000000" w:themeColor="text1"/>
          <w:sz w:val="24"/>
          <w:szCs w:val="32"/>
          <w:highlight w:val="none"/>
          <w:u w:val="single"/>
          <w14:textFill>
            <w14:solidFill>
              <w14:schemeClr w14:val="tx1"/>
            </w14:solidFill>
          </w14:textFill>
        </w:rPr>
      </w:pPr>
      <w:r>
        <w:rPr>
          <w:rFonts w:hint="eastAsia"/>
          <w:color w:val="000000" w:themeColor="text1"/>
          <w:sz w:val="24"/>
          <w:szCs w:val="32"/>
          <w:highlight w:val="none"/>
          <w14:textFill>
            <w14:solidFill>
              <w14:schemeClr w14:val="tx1"/>
            </w14:solidFill>
          </w14:textFill>
        </w:rPr>
        <w:t xml:space="preserve">(地   址) </w:t>
      </w:r>
      <w:r>
        <w:rPr>
          <w:rFonts w:hint="eastAsia"/>
          <w:color w:val="000000" w:themeColor="text1"/>
          <w:sz w:val="24"/>
          <w:szCs w:val="32"/>
          <w:highlight w:val="none"/>
          <w:u w:val="single"/>
          <w14:textFill>
            <w14:solidFill>
              <w14:schemeClr w14:val="tx1"/>
            </w14:solidFill>
          </w14:textFill>
        </w:rPr>
        <w:t xml:space="preserve">                             </w:t>
      </w:r>
    </w:p>
    <w:p>
      <w:pPr>
        <w:adjustRightInd w:val="0"/>
        <w:snapToGrid w:val="0"/>
        <w:spacing w:line="360" w:lineRule="auto"/>
        <w:ind w:left="495" w:hanging="495"/>
        <w:jc w:val="center"/>
        <w:rPr>
          <w:color w:val="000000" w:themeColor="text1"/>
          <w:sz w:val="24"/>
          <w:szCs w:val="32"/>
          <w:highlight w:val="none"/>
          <w14:textFill>
            <w14:solidFill>
              <w14:schemeClr w14:val="tx1"/>
            </w14:solidFill>
          </w14:textFill>
        </w:rPr>
      </w:pPr>
    </w:p>
    <w:p>
      <w:pPr>
        <w:adjustRightInd w:val="0"/>
        <w:snapToGrid w:val="0"/>
        <w:spacing w:line="360" w:lineRule="auto"/>
        <w:ind w:firstLine="480" w:firstLineChars="200"/>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鉴于</w:t>
      </w:r>
      <w:r>
        <w:rPr>
          <w:rFonts w:hint="eastAsia"/>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（下称承包人）已保证按中标通知书（</w:t>
      </w:r>
      <w:r>
        <w:rPr>
          <w:rFonts w:hint="eastAsia"/>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年</w:t>
      </w:r>
      <w:r>
        <w:rPr>
          <w:rFonts w:hint="eastAsia"/>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月</w:t>
      </w:r>
      <w:r>
        <w:rPr>
          <w:rFonts w:hint="eastAsia"/>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日签署）实施</w:t>
      </w:r>
      <w:r>
        <w:rPr>
          <w:rFonts w:hint="eastAsia"/>
          <w:color w:val="000000" w:themeColor="text1"/>
          <w:sz w:val="24"/>
          <w:szCs w:val="32"/>
          <w:highlight w:val="none"/>
          <w:u w:val="single"/>
          <w14:textFill>
            <w14:solidFill>
              <w14:schemeClr w14:val="tx1"/>
            </w14:solidFill>
          </w14:textFill>
        </w:rPr>
        <w:t xml:space="preserve">              （工程名称）           </w:t>
      </w:r>
      <w:r>
        <w:rPr>
          <w:rFonts w:hint="eastAsia"/>
          <w:color w:val="000000" w:themeColor="text1"/>
          <w:sz w:val="24"/>
          <w:szCs w:val="32"/>
          <w:highlight w:val="none"/>
          <w14:textFill>
            <w14:solidFill>
              <w14:schemeClr w14:val="tx1"/>
            </w14:solidFill>
          </w14:textFill>
        </w:rPr>
        <w:t>，又鉴于你方在招标文件中要求承包人按规定金额提交一份已经认可的银行保函作履约担保，本行已同意为承包人出具保函。</w:t>
      </w:r>
    </w:p>
    <w:p>
      <w:pPr>
        <w:adjustRightInd w:val="0"/>
        <w:snapToGrid w:val="0"/>
        <w:spacing w:line="360" w:lineRule="auto"/>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本行作为保证人在此代表承包人向你方确认承担支付人民币（大写）</w:t>
      </w:r>
      <w:r>
        <w:rPr>
          <w:rFonts w:hint="eastAsia"/>
          <w:color w:val="000000" w:themeColor="text1"/>
          <w:sz w:val="24"/>
          <w:szCs w:val="32"/>
          <w:highlight w:val="none"/>
          <w:u w:val="single"/>
          <w14:textFill>
            <w14:solidFill>
              <w14:schemeClr w14:val="tx1"/>
            </w14:solidFill>
          </w14:textFill>
        </w:rPr>
        <w:t xml:space="preserve">                      </w:t>
      </w:r>
      <w:r>
        <w:rPr>
          <w:rFonts w:hint="eastAsia"/>
          <w:color w:val="000000" w:themeColor="text1"/>
          <w:sz w:val="24"/>
          <w:szCs w:val="32"/>
          <w:highlight w:val="none"/>
          <w14:textFill>
            <w14:solidFill>
              <w14:schemeClr w14:val="tx1"/>
            </w14:solidFill>
          </w14:textFill>
        </w:rPr>
        <w:t>的责任，在收到你方第一次书面付款要求后，不挑剔、不争辩、并不要求你方出具证明或说明理由，即在上述担保金范围内向你方支付。</w:t>
      </w:r>
    </w:p>
    <w:p>
      <w:pPr>
        <w:adjustRightInd w:val="0"/>
        <w:snapToGrid w:val="0"/>
        <w:spacing w:line="360" w:lineRule="auto"/>
        <w:ind w:firstLine="480"/>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本行放弃你方应先向承包人要求索赔上述金额然后再向本行提出要求的权利。</w:t>
      </w:r>
    </w:p>
    <w:p>
      <w:pPr>
        <w:adjustRightInd w:val="0"/>
        <w:snapToGrid w:val="0"/>
        <w:spacing w:line="360" w:lineRule="auto"/>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 xml:space="preserve">    本行还同意，在你方和承包人之间的合同条件发生补充或修改后，本行所承担保函的责任不变，有关补充或修改亦无须通知本行。</w:t>
      </w:r>
    </w:p>
    <w:p>
      <w:pPr>
        <w:adjustRightInd w:val="0"/>
        <w:snapToGrid w:val="0"/>
        <w:spacing w:line="360" w:lineRule="auto"/>
        <w:ind w:firstLine="480"/>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本保函从合同生效之日起生效，直至你方通知撤销前一直有效。（本保函从合同生效之日起生效，有效期至</w:t>
      </w:r>
      <w:r>
        <w:rPr>
          <w:rFonts w:hint="eastAsia"/>
          <w:color w:val="000000" w:themeColor="text1"/>
          <w:sz w:val="24"/>
          <w:szCs w:val="32"/>
          <w:highlight w:val="none"/>
          <w:u w:val="single"/>
          <w14:textFill>
            <w14:solidFill>
              <w14:schemeClr w14:val="tx1"/>
            </w14:solidFill>
          </w14:textFill>
        </w:rPr>
        <w:t xml:space="preserve">  年  月  日</w:t>
      </w:r>
      <w:r>
        <w:rPr>
          <w:rFonts w:hint="eastAsia"/>
          <w:color w:val="000000" w:themeColor="text1"/>
          <w:sz w:val="24"/>
          <w:szCs w:val="32"/>
          <w:highlight w:val="none"/>
          <w14:textFill>
            <w14:solidFill>
              <w14:schemeClr w14:val="tx1"/>
            </w14:solidFill>
          </w14:textFill>
        </w:rPr>
        <w:t>止。）</w:t>
      </w:r>
    </w:p>
    <w:p>
      <w:pPr>
        <w:adjustRightInd w:val="0"/>
        <w:snapToGrid w:val="0"/>
        <w:spacing w:line="360" w:lineRule="auto"/>
        <w:rPr>
          <w:color w:val="000000" w:themeColor="text1"/>
          <w:sz w:val="24"/>
          <w:szCs w:val="32"/>
          <w:highlight w:val="none"/>
          <w14:textFill>
            <w14:solidFill>
              <w14:schemeClr w14:val="tx1"/>
            </w14:solidFill>
          </w14:textFill>
        </w:rPr>
      </w:pPr>
    </w:p>
    <w:p>
      <w:pPr>
        <w:adjustRightInd w:val="0"/>
        <w:snapToGrid w:val="0"/>
        <w:spacing w:line="360" w:lineRule="auto"/>
        <w:ind w:left="493" w:hanging="493"/>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担保银行名称（公章）：</w:t>
      </w:r>
    </w:p>
    <w:p>
      <w:pPr>
        <w:adjustRightInd w:val="0"/>
        <w:snapToGrid w:val="0"/>
        <w:spacing w:line="360" w:lineRule="auto"/>
        <w:ind w:left="493" w:hanging="493"/>
        <w:rPr>
          <w:color w:val="000000" w:themeColor="text1"/>
          <w:sz w:val="24"/>
          <w:szCs w:val="32"/>
          <w:highlight w:val="none"/>
          <w14:textFill>
            <w14:solidFill>
              <w14:schemeClr w14:val="tx1"/>
            </w14:solidFill>
          </w14:textFill>
        </w:rPr>
      </w:pPr>
    </w:p>
    <w:p>
      <w:pPr>
        <w:adjustRightInd w:val="0"/>
        <w:snapToGrid w:val="0"/>
        <w:spacing w:line="360" w:lineRule="auto"/>
        <w:ind w:left="493" w:hanging="493"/>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法定代表人或其授权人（签章）：</w:t>
      </w:r>
    </w:p>
    <w:p>
      <w:pPr>
        <w:adjustRightInd w:val="0"/>
        <w:snapToGrid w:val="0"/>
        <w:spacing w:line="360" w:lineRule="auto"/>
        <w:ind w:left="493" w:hanging="493"/>
        <w:rPr>
          <w:color w:val="000000" w:themeColor="text1"/>
          <w:sz w:val="24"/>
          <w:szCs w:val="32"/>
          <w:highlight w:val="none"/>
          <w14:textFill>
            <w14:solidFill>
              <w14:schemeClr w14:val="tx1"/>
            </w14:solidFill>
          </w14:textFill>
        </w:rPr>
      </w:pPr>
    </w:p>
    <w:p>
      <w:pPr>
        <w:adjustRightInd w:val="0"/>
        <w:snapToGrid w:val="0"/>
        <w:spacing w:line="360" w:lineRule="auto"/>
        <w:ind w:left="493" w:hanging="493"/>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 xml:space="preserve">联系人：   </w:t>
      </w:r>
    </w:p>
    <w:p>
      <w:pPr>
        <w:adjustRightInd w:val="0"/>
        <w:snapToGrid w:val="0"/>
        <w:spacing w:line="360" w:lineRule="auto"/>
        <w:ind w:left="493" w:hanging="493"/>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联系电话：</w:t>
      </w:r>
    </w:p>
    <w:p>
      <w:pPr>
        <w:adjustRightInd w:val="0"/>
        <w:snapToGrid w:val="0"/>
        <w:spacing w:line="360" w:lineRule="auto"/>
        <w:ind w:left="493" w:hanging="493"/>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地址：</w:t>
      </w:r>
    </w:p>
    <w:p>
      <w:pPr>
        <w:adjustRightInd w:val="0"/>
        <w:snapToGrid w:val="0"/>
        <w:spacing w:line="360" w:lineRule="auto"/>
        <w:ind w:left="493" w:hanging="493"/>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日期：</w:t>
      </w:r>
    </w:p>
    <w:bookmarkEnd w:id="245"/>
    <w:bookmarkEnd w:id="246"/>
    <w:bookmarkEnd w:id="260"/>
    <w:p>
      <w:pPr>
        <w:rPr>
          <w:color w:val="000000" w:themeColor="text1"/>
          <w:highlight w:val="none"/>
          <w14:textFill>
            <w14:solidFill>
              <w14:schemeClr w14:val="tx1"/>
            </w14:solidFill>
          </w14:textFill>
        </w:rPr>
        <w:sectPr>
          <w:headerReference r:id="rId3" w:type="default"/>
          <w:footerReference r:id="rId4" w:type="default"/>
          <w:pgSz w:w="11906" w:h="16838"/>
          <w:pgMar w:top="1440" w:right="1800" w:bottom="1440" w:left="1800" w:header="851" w:footer="992" w:gutter="0"/>
          <w:pgNumType w:start="1"/>
          <w:cols w:space="720" w:num="1"/>
        </w:sectPr>
      </w:pPr>
      <w:bookmarkStart w:id="261" w:name="_Toc23511713"/>
      <w:bookmarkStart w:id="262" w:name="_Toc23511224"/>
      <w:bookmarkStart w:id="263" w:name="_Toc112071520"/>
      <w:bookmarkStart w:id="264" w:name="_Toc1993"/>
    </w:p>
    <w:p>
      <w:pPr>
        <w:pStyle w:val="5"/>
        <w:pageBreakBefore w:val="0"/>
        <w:rPr>
          <w:color w:val="000000" w:themeColor="text1"/>
          <w:highlight w:val="none"/>
          <w14:textFill>
            <w14:solidFill>
              <w14:schemeClr w14:val="tx1"/>
            </w14:solidFill>
          </w14:textFill>
        </w:rPr>
      </w:pPr>
      <w:bookmarkStart w:id="265" w:name="_Toc149656783"/>
      <w:bookmarkStart w:id="266" w:name="_Toc114661194"/>
      <w:bookmarkStart w:id="267" w:name="_Toc1035399276"/>
      <w:bookmarkStart w:id="268" w:name="_Toc114645976"/>
      <w:bookmarkStart w:id="269" w:name="_Toc449202182"/>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：造价编审咨询工作违约责任附表</w:t>
      </w:r>
      <w:bookmarkEnd w:id="265"/>
    </w:p>
    <w:tbl>
      <w:tblPr>
        <w:tblStyle w:val="29"/>
        <w:tblW w:w="0" w:type="auto"/>
        <w:tblInd w:w="0" w:type="dxa"/>
        <w:tblLayout w:type="fixed"/>
        <w:tblCellMar>
          <w:top w:w="0" w:type="dxa"/>
          <w:left w:w="0" w:type="dxa"/>
          <w:bottom w:w="0" w:type="dxa"/>
          <w:right w:w="0" w:type="dxa"/>
        </w:tblCellMar>
      </w:tblPr>
      <w:tblGrid>
        <w:gridCol w:w="645"/>
        <w:gridCol w:w="1815"/>
        <w:gridCol w:w="2025"/>
        <w:gridCol w:w="1815"/>
        <w:gridCol w:w="2100"/>
        <w:gridCol w:w="2085"/>
        <w:gridCol w:w="2235"/>
        <w:gridCol w:w="763"/>
      </w:tblGrid>
      <w:tr>
        <w:tblPrEx>
          <w:tblCellMar>
            <w:top w:w="0" w:type="dxa"/>
            <w:left w:w="0" w:type="dxa"/>
            <w:bottom w:w="0" w:type="dxa"/>
            <w:right w:w="0" w:type="dxa"/>
          </w:tblCellMar>
        </w:tblPrEx>
        <w:trPr>
          <w:trHeight w:val="740" w:hRule="atLeast"/>
        </w:trPr>
        <w:tc>
          <w:tcPr>
            <w:tcW w:w="13483" w:type="dxa"/>
            <w:gridSpan w:val="8"/>
            <w:tcMar>
              <w:top w:w="15" w:type="dxa"/>
              <w:left w:w="15" w:type="dxa"/>
              <w:bottom w:w="0" w:type="dxa"/>
              <w:right w:w="15" w:type="dxa"/>
            </w:tcMar>
            <w:vAlign w:val="center"/>
          </w:tcPr>
          <w:p>
            <w:pPr>
              <w:widowControl/>
              <w:jc w:val="center"/>
              <w:textAlignment w:val="center"/>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bidi="ar"/>
                <w14:textFill>
                  <w14:solidFill>
                    <w14:schemeClr w14:val="tx1"/>
                  </w14:solidFill>
                </w14:textFill>
              </w:rPr>
              <w:t>A.概预算违约责任条款</w:t>
            </w:r>
          </w:p>
        </w:tc>
      </w:tr>
      <w:tr>
        <w:tblPrEx>
          <w:tblCellMar>
            <w:top w:w="0" w:type="dxa"/>
            <w:left w:w="0" w:type="dxa"/>
            <w:bottom w:w="0" w:type="dxa"/>
            <w:right w:w="0" w:type="dxa"/>
          </w:tblCellMar>
        </w:tblPrEx>
        <w:trPr>
          <w:trHeight w:val="360" w:hRule="atLeast"/>
        </w:trPr>
        <w:tc>
          <w:tcPr>
            <w:tcW w:w="64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序号</w:t>
            </w:r>
          </w:p>
        </w:tc>
        <w:tc>
          <w:tcPr>
            <w:tcW w:w="7755"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概（预）算审核结果</w:t>
            </w:r>
          </w:p>
        </w:tc>
        <w:tc>
          <w:tcPr>
            <w:tcW w:w="4320"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责任追究</w:t>
            </w:r>
          </w:p>
        </w:tc>
        <w:tc>
          <w:tcPr>
            <w:tcW w:w="763"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备注</w:t>
            </w:r>
          </w:p>
        </w:tc>
      </w:tr>
      <w:tr>
        <w:tblPrEx>
          <w:tblCellMar>
            <w:top w:w="0" w:type="dxa"/>
            <w:left w:w="0" w:type="dxa"/>
            <w:bottom w:w="0" w:type="dxa"/>
            <w:right w:w="0" w:type="dxa"/>
          </w:tblCellMar>
        </w:tblPrEx>
        <w:trPr>
          <w:trHeight w:val="420"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themeColor="text1"/>
                <w:sz w:val="24"/>
                <w:szCs w:val="24"/>
                <w:highlight w:val="none"/>
                <w14:textFill>
                  <w14:solidFill>
                    <w14:schemeClr w14:val="tx1"/>
                  </w14:solidFill>
                </w14:textFill>
              </w:rPr>
            </w:pPr>
          </w:p>
        </w:tc>
        <w:tc>
          <w:tcPr>
            <w:tcW w:w="3840"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概算</w:t>
            </w:r>
          </w:p>
        </w:tc>
        <w:tc>
          <w:tcPr>
            <w:tcW w:w="3915"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预算</w:t>
            </w:r>
          </w:p>
        </w:tc>
        <w:tc>
          <w:tcPr>
            <w:tcW w:w="432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themeColor="text1"/>
                <w:sz w:val="24"/>
                <w:szCs w:val="24"/>
                <w:highlight w:val="none"/>
                <w14:textFill>
                  <w14:solidFill>
                    <w14:schemeClr w14:val="tx1"/>
                  </w14:solidFill>
                </w14:textFill>
              </w:rPr>
            </w:pPr>
          </w:p>
        </w:tc>
        <w:tc>
          <w:tcPr>
            <w:tcW w:w="76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540" w:hRule="atLeast"/>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themeColor="text1"/>
                <w:sz w:val="24"/>
                <w:szCs w:val="24"/>
                <w:highlight w:val="none"/>
                <w14:textFill>
                  <w14:solidFill>
                    <w14:schemeClr w14:val="tx1"/>
                  </w14:solidFill>
                </w14:textFill>
              </w:rPr>
            </w:pP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概算审定核减率</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概算审定偏差率</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预算审定核减率</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预算审定偏差率</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扣减全过程造价咨询费比例</w:t>
            </w:r>
          </w:p>
        </w:tc>
        <w:tc>
          <w:tcPr>
            <w:tcW w:w="22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其他处罚</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262"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1</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&lt;5%</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&lt;10%</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&lt;3%</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&lt;5%</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不扣减</w:t>
            </w:r>
          </w:p>
        </w:tc>
        <w:tc>
          <w:tcPr>
            <w:tcW w:w="22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无</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123"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2</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5%（含）-7%</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10%（含）-12%</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3%（含）-5%</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5%（含）-7%</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3%</w:t>
            </w:r>
          </w:p>
        </w:tc>
        <w:tc>
          <w:tcPr>
            <w:tcW w:w="22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无</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rPr>
                <w:rFonts w:ascii="仿宋" w:hAnsi="仿宋" w:eastAsia="仿宋" w:cs="仿宋"/>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128"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3</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7%（含）-9%</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12%（含）-14%</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5%（含）-7%</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7%（含）-9%</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4%</w:t>
            </w:r>
          </w:p>
        </w:tc>
        <w:tc>
          <w:tcPr>
            <w:tcW w:w="22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无</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rPr>
                <w:rFonts w:ascii="仿宋" w:hAnsi="仿宋" w:eastAsia="仿宋" w:cs="仿宋"/>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118"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4</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9%（含）-10%</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14%（含）-15%</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7%（含）-8%</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9%（含）-10%</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5%</w:t>
            </w:r>
          </w:p>
        </w:tc>
        <w:tc>
          <w:tcPr>
            <w:tcW w:w="2235"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视项目具体情况发包人有权内部通报批评承包单位；情节严重的发包人有权暂停承包人摇珠或投标资格3～6个月。</w:t>
            </w: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rPr>
                <w:rFonts w:ascii="仿宋" w:hAnsi="仿宋" w:eastAsia="仿宋" w:cs="仿宋"/>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1820" w:hRule="atLeast"/>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5</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&gt;10%（含）</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&gt;15%（含）</w:t>
            </w:r>
          </w:p>
        </w:tc>
        <w:tc>
          <w:tcPr>
            <w:tcW w:w="181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&gt;8%（含）</w:t>
            </w:r>
          </w:p>
        </w:tc>
        <w:tc>
          <w:tcPr>
            <w:tcW w:w="210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&gt;10%（含）</w:t>
            </w:r>
          </w:p>
        </w:tc>
        <w:tc>
          <w:tcPr>
            <w:tcW w:w="208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bidi="ar"/>
                <w14:textFill>
                  <w14:solidFill>
                    <w14:schemeClr w14:val="tx1"/>
                  </w14:solidFill>
                </w14:textFill>
              </w:rPr>
              <w:t>10%</w:t>
            </w:r>
          </w:p>
        </w:tc>
        <w:tc>
          <w:tcPr>
            <w:tcW w:w="223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仿宋" w:hAnsi="仿宋" w:eastAsia="仿宋" w:cs="仿宋"/>
                <w:color w:val="000000" w:themeColor="text1"/>
                <w:sz w:val="24"/>
                <w:szCs w:val="24"/>
                <w:highlight w:val="none"/>
                <w14:textFill>
                  <w14:solidFill>
                    <w14:schemeClr w14:val="tx1"/>
                  </w14:solidFill>
                </w14:textFill>
              </w:rPr>
            </w:pPr>
          </w:p>
        </w:tc>
        <w:tc>
          <w:tcPr>
            <w:tcW w:w="76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仿宋" w:hAnsi="仿宋" w:eastAsia="仿宋" w:cs="仿宋"/>
                <w:color w:val="000000" w:themeColor="text1"/>
                <w:sz w:val="24"/>
                <w:szCs w:val="24"/>
                <w:highlight w:val="none"/>
                <w14:textFill>
                  <w14:solidFill>
                    <w14:schemeClr w14:val="tx1"/>
                  </w14:solidFill>
                </w14:textFill>
              </w:rPr>
            </w:pPr>
          </w:p>
        </w:tc>
      </w:tr>
      <w:tr>
        <w:tblPrEx>
          <w:tblCellMar>
            <w:top w:w="0" w:type="dxa"/>
            <w:left w:w="0" w:type="dxa"/>
            <w:bottom w:w="0" w:type="dxa"/>
            <w:right w:w="0" w:type="dxa"/>
          </w:tblCellMar>
        </w:tblPrEx>
        <w:trPr>
          <w:trHeight w:val="1770" w:hRule="atLeast"/>
        </w:trPr>
        <w:tc>
          <w:tcPr>
            <w:tcW w:w="13483" w:type="dxa"/>
            <w:gridSpan w:val="8"/>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tcPr>
          <w:p>
            <w:pPr>
              <w:widowControl/>
              <w:jc w:val="left"/>
              <w:textAlignment w:val="top"/>
              <w:rPr>
                <w:rFonts w:ascii="仿宋" w:hAnsi="仿宋" w:eastAsia="仿宋" w:cs="仿宋"/>
                <w:color w:val="000000" w:themeColor="text1"/>
                <w:sz w:val="24"/>
                <w:szCs w:val="24"/>
                <w:highlight w:val="none"/>
                <w14:textFill>
                  <w14:solidFill>
                    <w14:schemeClr w14:val="tx1"/>
                  </w14:solidFill>
                </w14:textFill>
              </w:rPr>
            </w:pPr>
            <w:r>
              <w:rPr>
                <w:rStyle w:val="47"/>
                <w:rFonts w:hint="default" w:ascii="仿宋" w:hAnsi="仿宋" w:eastAsia="仿宋" w:cs="仿宋"/>
                <w:color w:val="000000" w:themeColor="text1"/>
                <w:sz w:val="24"/>
                <w:szCs w:val="24"/>
                <w:highlight w:val="none"/>
                <w:lang w:bidi="ar"/>
                <w14:textFill>
                  <w14:solidFill>
                    <w14:schemeClr w14:val="tx1"/>
                  </w14:solidFill>
                </w14:textFill>
              </w:rPr>
              <w:t>说明：1、核减率=评审审定核减金额÷送审总金额×100%；偏差率=（审增金额+|审减金额|）÷评审审定金额×100%。</w:t>
            </w:r>
            <w:r>
              <w:rPr>
                <w:rFonts w:hint="eastAsia" w:ascii="仿宋" w:hAnsi="仿宋" w:eastAsia="仿宋" w:cs="仿宋"/>
                <w:color w:val="000000" w:themeColor="text1"/>
                <w:sz w:val="24"/>
                <w:szCs w:val="24"/>
                <w:highlight w:val="none"/>
                <w:lang w:bidi="ar"/>
                <w14:textFill>
                  <w14:solidFill>
                    <w14:schemeClr w14:val="tx1"/>
                  </w14:solidFill>
                </w14:textFill>
              </w:rPr>
              <w:br w:type="textWrapping"/>
            </w:r>
            <w:r>
              <w:rPr>
                <w:rStyle w:val="47"/>
                <w:rFonts w:hint="default" w:ascii="仿宋" w:hAnsi="仿宋" w:eastAsia="仿宋" w:cs="仿宋"/>
                <w:color w:val="000000" w:themeColor="text1"/>
                <w:sz w:val="24"/>
                <w:szCs w:val="24"/>
                <w:highlight w:val="none"/>
                <w:lang w:bidi="ar"/>
                <w14:textFill>
                  <w14:solidFill>
                    <w14:schemeClr w14:val="tx1"/>
                  </w14:solidFill>
                </w14:textFill>
              </w:rPr>
              <w:t>2、概算或预算审核结果取核减率或偏差率两者中处罚严格的一档进行处罚，概算或预算内两项处罚不叠加，概算处罚与预算处罚分别进行，可叠加。如：某项目概算核减率5.5%，偏差率12.5%，则按第三档扣减4%进行处罚；预算核减率3.5%，偏差率4.5%，则按第二档扣减3%进行处罚；该项目共计核减费用比例为4%+3%=7%。</w:t>
            </w:r>
            <w:r>
              <w:rPr>
                <w:rFonts w:hint="eastAsia" w:ascii="仿宋" w:hAnsi="仿宋" w:eastAsia="仿宋" w:cs="仿宋"/>
                <w:color w:val="000000" w:themeColor="text1"/>
                <w:sz w:val="24"/>
                <w:szCs w:val="24"/>
                <w:highlight w:val="none"/>
                <w:lang w:bidi="ar"/>
                <w14:textFill>
                  <w14:solidFill>
                    <w14:schemeClr w14:val="tx1"/>
                  </w14:solidFill>
                </w14:textFill>
              </w:rPr>
              <w:br w:type="textWrapping"/>
            </w:r>
            <w:r>
              <w:rPr>
                <w:rStyle w:val="47"/>
                <w:rFonts w:hint="default" w:ascii="仿宋" w:hAnsi="仿宋" w:eastAsia="仿宋" w:cs="仿宋"/>
                <w:color w:val="000000" w:themeColor="text1"/>
                <w:sz w:val="24"/>
                <w:szCs w:val="24"/>
                <w:highlight w:val="none"/>
                <w:lang w:bidi="ar"/>
                <w14:textFill>
                  <w14:solidFill>
                    <w14:schemeClr w14:val="tx1"/>
                  </w14:solidFill>
                </w14:textFill>
              </w:rPr>
              <w:t>3、全过程造价咨询单位审核概预算质量违约责任以全过程造价咨询费合同金额为基数计算。</w:t>
            </w:r>
          </w:p>
        </w:tc>
      </w:tr>
    </w:tbl>
    <w:p>
      <w:pPr>
        <w:widowControl/>
        <w:jc w:val="left"/>
        <w:rPr>
          <w:rFonts w:ascii="仿宋" w:hAnsi="仿宋" w:eastAsia="仿宋" w:cs="仿宋"/>
          <w:b/>
          <w:bCs/>
          <w:color w:val="000000" w:themeColor="text1"/>
          <w:sz w:val="24"/>
          <w:szCs w:val="24"/>
          <w:highlight w:val="none"/>
          <w14:textFill>
            <w14:solidFill>
              <w14:schemeClr w14:val="tx1"/>
            </w14:solidFill>
          </w14:textFill>
        </w:rPr>
        <w:sectPr>
          <w:pgSz w:w="16838" w:h="11906" w:orient="landscape"/>
          <w:pgMar w:top="1800" w:right="1440" w:bottom="1800" w:left="1440" w:header="851" w:footer="992" w:gutter="0"/>
          <w:cols w:space="720" w:num="1"/>
        </w:sectPr>
      </w:pPr>
    </w:p>
    <w:p>
      <w:pPr>
        <w:pStyle w:val="3"/>
        <w:ind w:firstLine="241"/>
        <w:rPr>
          <w:rFonts w:ascii="仿宋" w:hAnsi="仿宋" w:eastAsia="仿宋" w:cs="仿宋"/>
          <w:b/>
          <w:bCs/>
          <w:color w:val="000000" w:themeColor="text1"/>
          <w:kern w:val="2"/>
          <w:sz w:val="24"/>
          <w:szCs w:val="24"/>
          <w:highlight w:val="none"/>
          <w14:textFill>
            <w14:solidFill>
              <w14:schemeClr w14:val="tx1"/>
            </w14:solidFill>
          </w14:textFill>
        </w:rPr>
      </w:pPr>
    </w:p>
    <w:p>
      <w:pPr>
        <w:spacing w:line="450" w:lineRule="exac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B.</w:t>
      </w:r>
      <w:r>
        <w:rPr>
          <w:rFonts w:hint="eastAsia" w:ascii="仿宋" w:hAnsi="仿宋" w:eastAsia="仿宋" w:cs="仿宋"/>
          <w:b/>
          <w:bCs/>
          <w:color w:val="000000" w:themeColor="text1"/>
          <w:sz w:val="24"/>
          <w:szCs w:val="24"/>
          <w:highlight w:val="none"/>
          <w14:textFill>
            <w14:solidFill>
              <w14:schemeClr w14:val="tx1"/>
            </w14:solidFill>
          </w14:textFill>
        </w:rPr>
        <w:t>结算：</w:t>
      </w:r>
    </w:p>
    <w:p>
      <w:pPr>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1）偏差率在5%（含5%）～8%以内，扣减合同结算价的10%；</w:t>
      </w:r>
    </w:p>
    <w:p>
      <w:pPr>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2）偏差率大于8%（含8%），扣减合同结算价的20%。</w:t>
      </w:r>
    </w:p>
    <w:p>
      <w:pPr>
        <w:pStyle w:val="3"/>
        <w:ind w:firstLine="24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偏差率=[（核增金额+核减金额）/评审审定金额]*100%</w:t>
      </w:r>
    </w:p>
    <w:p>
      <w:pPr>
        <w:pStyle w:val="3"/>
        <w:ind w:firstLine="240"/>
        <w:rPr>
          <w:rFonts w:ascii="仿宋" w:hAnsi="仿宋" w:eastAsia="仿宋" w:cs="仿宋"/>
          <w:color w:val="000000" w:themeColor="text1"/>
          <w:sz w:val="24"/>
          <w:szCs w:val="24"/>
          <w:highlight w:val="none"/>
          <w14:textFill>
            <w14:solidFill>
              <w14:schemeClr w14:val="tx1"/>
            </w14:solidFill>
          </w14:textFill>
        </w:rPr>
      </w:pPr>
    </w:p>
    <w:p>
      <w:pPr>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snapToGrid w:val="0"/>
          <w:color w:val="000000" w:themeColor="text1"/>
          <w:sz w:val="24"/>
          <w:szCs w:val="24"/>
          <w:highlight w:val="none"/>
          <w14:textFill>
            <w14:solidFill>
              <w14:schemeClr w14:val="tx1"/>
            </w14:solidFill>
          </w14:textFill>
        </w:rPr>
        <w:t xml:space="preserve">    6.如承包人实际工作人员在编审概算、预算、工程进度款、工程变更、结算等阶段能力不足或工作中出现重大错漏，发包人有权将该阶段编审任务另行委托有资质的社会机构承担，相关费用由承包人承担。</w:t>
      </w:r>
    </w:p>
    <w:p>
      <w:pPr>
        <w:spacing w:line="360" w:lineRule="auto"/>
        <w:ind w:firstLine="480"/>
        <w:rPr>
          <w:rFonts w:ascii="仿宋" w:hAnsi="仿宋" w:eastAsia="仿宋" w:cs="仿宋"/>
          <w:snapToGrid w:val="0"/>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w:t>
      </w:r>
      <w:r>
        <w:rPr>
          <w:rFonts w:hint="eastAsia" w:ascii="仿宋" w:hAnsi="仿宋" w:eastAsia="仿宋" w:cs="仿宋"/>
          <w:snapToGrid w:val="0"/>
          <w:color w:val="000000" w:themeColor="text1"/>
          <w:sz w:val="24"/>
          <w:szCs w:val="24"/>
          <w:highlight w:val="none"/>
          <w14:textFill>
            <w14:solidFill>
              <w14:schemeClr w14:val="tx1"/>
            </w14:solidFill>
          </w14:textFill>
        </w:rPr>
        <w:t>若承包人承担招标工程量清单和招标控制价（最高投标限价）编制工作，因最高投标限价或招标工程量清单编制质量等造成延迟开标的，暂停六个月投标（含摇珠）资格，其余详见“招标工程量清单编制质量违约责任”。</w:t>
      </w:r>
    </w:p>
    <w:p>
      <w:pPr>
        <w:pStyle w:val="2"/>
        <w:spacing w:line="360" w:lineRule="auto"/>
        <w:ind w:firstLine="281"/>
        <w:rPr>
          <w:rFonts w:ascii="仿宋" w:hAnsi="仿宋" w:eastAsia="仿宋" w:cs="仿宋"/>
          <w:b/>
          <w:bCs/>
          <w:color w:val="000000" w:themeColor="text1"/>
          <w:sz w:val="28"/>
          <w:szCs w:val="28"/>
          <w:highlight w:val="none"/>
          <w:shd w:val="clear" w:color="auto" w:fill="FFFFFF"/>
          <w14:textFill>
            <w14:solidFill>
              <w14:schemeClr w14:val="tx1"/>
            </w14:solidFill>
          </w14:textFill>
        </w:rPr>
      </w:pPr>
    </w:p>
    <w:p>
      <w:pPr>
        <w:widowControl/>
        <w:spacing w:line="360" w:lineRule="auto"/>
        <w:jc w:val="left"/>
        <w:rPr>
          <w:rFonts w:ascii="仿宋" w:hAnsi="仿宋" w:eastAsia="仿宋" w:cs="仿宋"/>
          <w:b/>
          <w:bCs/>
          <w:color w:val="000000" w:themeColor="text1"/>
          <w:sz w:val="28"/>
          <w:szCs w:val="28"/>
          <w:highlight w:val="none"/>
          <w:shd w:val="clear" w:color="auto" w:fill="FFFFFF"/>
          <w14:textFill>
            <w14:solidFill>
              <w14:schemeClr w14:val="tx1"/>
            </w14:solidFill>
          </w14:textFill>
        </w:rPr>
        <w:sectPr>
          <w:pgSz w:w="11906" w:h="16838"/>
          <w:pgMar w:top="1440" w:right="1800" w:bottom="1440" w:left="1800" w:header="851" w:footer="992" w:gutter="0"/>
          <w:cols w:space="720" w:num="1"/>
        </w:sectPr>
      </w:pPr>
    </w:p>
    <w:p>
      <w:pPr>
        <w:pStyle w:val="26"/>
        <w:spacing w:before="0" w:beforeAutospacing="0" w:after="0" w:afterAutospacing="0" w:line="500" w:lineRule="exact"/>
        <w:jc w:val="center"/>
        <w:rPr>
          <w:rFonts w:ascii="仿宋" w:hAnsi="仿宋" w:eastAsia="仿宋" w:cs="仿宋"/>
          <w:b/>
          <w:bCs/>
          <w:color w:val="000000" w:themeColor="text1"/>
          <w:sz w:val="28"/>
          <w:szCs w:val="28"/>
          <w:highlight w:val="none"/>
          <w:shd w:val="clear" w:color="auto" w:fill="FFFFFF"/>
          <w14:textFill>
            <w14:solidFill>
              <w14:schemeClr w14:val="tx1"/>
            </w14:solidFill>
          </w14:textFill>
        </w:rPr>
      </w:pPr>
      <w:r>
        <w:rPr>
          <w:rFonts w:hint="eastAsia" w:ascii="仿宋" w:hAnsi="仿宋" w:eastAsia="仿宋" w:cs="仿宋"/>
          <w:b/>
          <w:bCs/>
          <w:color w:val="000000" w:themeColor="text1"/>
          <w:sz w:val="28"/>
          <w:szCs w:val="28"/>
          <w:highlight w:val="none"/>
          <w:shd w:val="clear" w:color="auto" w:fill="FFFFFF"/>
          <w14:textFill>
            <w14:solidFill>
              <w14:schemeClr w14:val="tx1"/>
            </w14:solidFill>
          </w14:textFill>
        </w:rPr>
        <w:t>招标工程量清单编制质量违约责任</w:t>
      </w:r>
    </w:p>
    <w:tbl>
      <w:tblPr>
        <w:tblStyle w:val="29"/>
        <w:tblW w:w="0" w:type="auto"/>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2487"/>
        <w:gridCol w:w="2896"/>
        <w:gridCol w:w="3017"/>
        <w:gridCol w:w="3704"/>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732" w:type="dxa"/>
            <w:vMerge w:val="restart"/>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themeColor="text1"/>
                <w:highlight w:val="none"/>
                <w:shd w:val="clear" w:color="auto" w:fill="FFFFFF"/>
                <w14:textFill>
                  <w14:solidFill>
                    <w14:schemeClr w14:val="tx1"/>
                  </w14:solidFill>
                </w14:textFill>
              </w:rPr>
            </w:pPr>
            <w:r>
              <w:rPr>
                <w:rFonts w:hint="eastAsia" w:ascii="仿宋" w:hAnsi="仿宋" w:eastAsia="仿宋" w:cs="仿宋"/>
                <w:b/>
                <w:bCs/>
                <w:color w:val="000000" w:themeColor="text1"/>
                <w:highlight w:val="none"/>
                <w:shd w:val="clear" w:color="auto" w:fill="FFFFFF"/>
                <w14:textFill>
                  <w14:solidFill>
                    <w14:schemeClr w14:val="tx1"/>
                  </w14:solidFill>
                </w14:textFill>
              </w:rPr>
              <w:t>序号</w:t>
            </w:r>
          </w:p>
        </w:tc>
        <w:tc>
          <w:tcPr>
            <w:tcW w:w="2487" w:type="dxa"/>
            <w:vMerge w:val="restart"/>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themeColor="text1"/>
                <w:highlight w:val="none"/>
                <w:shd w:val="clear" w:color="auto" w:fill="FFFFFF"/>
                <w14:textFill>
                  <w14:solidFill>
                    <w14:schemeClr w14:val="tx1"/>
                  </w14:solidFill>
                </w14:textFill>
              </w:rPr>
            </w:pPr>
            <w:r>
              <w:rPr>
                <w:rFonts w:hint="eastAsia" w:ascii="仿宋" w:hAnsi="仿宋" w:eastAsia="仿宋" w:cs="仿宋"/>
                <w:b/>
                <w:bCs/>
                <w:color w:val="000000" w:themeColor="text1"/>
                <w:highlight w:val="none"/>
                <w:shd w:val="clear" w:color="auto" w:fill="FFFFFF"/>
                <w14:textFill>
                  <w14:solidFill>
                    <w14:schemeClr w14:val="tx1"/>
                  </w14:solidFill>
                </w14:textFill>
              </w:rPr>
              <w:t>工程量偏差</w:t>
            </w:r>
          </w:p>
          <w:p>
            <w:pPr>
              <w:pStyle w:val="26"/>
              <w:widowControl w:val="0"/>
              <w:spacing w:before="0" w:beforeAutospacing="0" w:after="0" w:afterAutospacing="0" w:line="400" w:lineRule="exact"/>
              <w:jc w:val="center"/>
              <w:rPr>
                <w:rFonts w:ascii="仿宋" w:hAnsi="仿宋" w:eastAsia="仿宋" w:cs="仿宋"/>
                <w:b/>
                <w:bCs/>
                <w:color w:val="000000" w:themeColor="text1"/>
                <w:highlight w:val="none"/>
                <w:shd w:val="clear" w:color="auto" w:fill="FFFFFF"/>
                <w14:textFill>
                  <w14:solidFill>
                    <w14:schemeClr w14:val="tx1"/>
                  </w14:solidFill>
                </w14:textFill>
              </w:rPr>
            </w:pPr>
            <w:r>
              <w:rPr>
                <w:rFonts w:hint="eastAsia" w:ascii="仿宋" w:hAnsi="仿宋" w:eastAsia="仿宋" w:cs="仿宋"/>
                <w:b/>
                <w:bCs/>
                <w:color w:val="000000" w:themeColor="text1"/>
                <w:highlight w:val="none"/>
                <w:shd w:val="clear" w:color="auto" w:fill="FFFFFF"/>
                <w14:textFill>
                  <w14:solidFill>
                    <w14:schemeClr w14:val="tx1"/>
                  </w14:solidFill>
                </w14:textFill>
              </w:rPr>
              <w:t>偏差率</w:t>
            </w:r>
          </w:p>
        </w:tc>
        <w:tc>
          <w:tcPr>
            <w:tcW w:w="9617" w:type="dxa"/>
            <w:gridSpan w:val="3"/>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themeColor="text1"/>
                <w:highlight w:val="none"/>
                <w:shd w:val="clear" w:color="auto" w:fill="FFFFFF"/>
                <w14:textFill>
                  <w14:solidFill>
                    <w14:schemeClr w14:val="tx1"/>
                  </w14:solidFill>
                </w14:textFill>
              </w:rPr>
            </w:pPr>
            <w:r>
              <w:rPr>
                <w:rFonts w:hint="eastAsia" w:ascii="仿宋" w:hAnsi="仿宋" w:eastAsia="仿宋" w:cs="仿宋"/>
                <w:b/>
                <w:bCs/>
                <w:color w:val="000000" w:themeColor="text1"/>
                <w:highlight w:val="none"/>
                <w:shd w:val="clear" w:color="auto" w:fill="FFFFFF"/>
                <w14:textFill>
                  <w14:solidFill>
                    <w14:schemeClr w14:val="tx1"/>
                  </w14:solidFill>
                </w14:textFill>
              </w:rPr>
              <w:t>责任追究标准</w:t>
            </w: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themeColor="text1"/>
                <w:highlight w:val="none"/>
                <w:shd w:val="clear" w:color="auto" w:fill="FFFFFF"/>
                <w14:textFill>
                  <w14:solidFill>
                    <w14:schemeClr w14:val="tx1"/>
                  </w14:solidFill>
                </w14:textFill>
              </w:rPr>
            </w:pPr>
            <w:r>
              <w:rPr>
                <w:rFonts w:hint="eastAsia" w:ascii="仿宋" w:hAnsi="仿宋" w:eastAsia="仿宋" w:cs="仿宋"/>
                <w:b/>
                <w:bCs/>
                <w:color w:val="000000" w:themeColor="text1"/>
                <w:highlight w:val="none"/>
                <w:shd w:val="clear" w:color="auto" w:fill="FFFFFF"/>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7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themeColor="text1"/>
                <w:kern w:val="0"/>
                <w:sz w:val="24"/>
                <w:szCs w:val="24"/>
                <w:highlight w:val="none"/>
                <w:shd w:val="clear" w:color="auto" w:fill="FFFFFF"/>
                <w14:textFill>
                  <w14:solidFill>
                    <w14:schemeClr w14:val="tx1"/>
                  </w14:solidFill>
                </w14:textFill>
              </w:rPr>
            </w:pPr>
          </w:p>
        </w:tc>
        <w:tc>
          <w:tcPr>
            <w:tcW w:w="24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themeColor="text1"/>
                <w:kern w:val="0"/>
                <w:sz w:val="24"/>
                <w:szCs w:val="24"/>
                <w:highlight w:val="none"/>
                <w:shd w:val="clear" w:color="auto" w:fill="FFFFFF"/>
                <w14:textFill>
                  <w14:solidFill>
                    <w14:schemeClr w14:val="tx1"/>
                  </w14:solidFill>
                </w14:textFill>
              </w:rPr>
            </w:pPr>
          </w:p>
        </w:tc>
        <w:tc>
          <w:tcPr>
            <w:tcW w:w="2896" w:type="dxa"/>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themeColor="text1"/>
                <w:highlight w:val="none"/>
                <w:shd w:val="clear" w:color="auto" w:fill="FFFFFF"/>
                <w14:textFill>
                  <w14:solidFill>
                    <w14:schemeClr w14:val="tx1"/>
                  </w14:solidFill>
                </w14:textFill>
              </w:rPr>
            </w:pPr>
            <w:r>
              <w:rPr>
                <w:rFonts w:hint="eastAsia" w:ascii="仿宋" w:hAnsi="仿宋" w:eastAsia="仿宋" w:cs="仿宋"/>
                <w:b/>
                <w:bCs/>
                <w:color w:val="000000" w:themeColor="text1"/>
                <w:highlight w:val="none"/>
                <w:shd w:val="clear" w:color="auto" w:fill="FFFFFF"/>
                <w14:textFill>
                  <w14:solidFill>
                    <w14:schemeClr w14:val="tx1"/>
                  </w14:solidFill>
                </w14:textFill>
              </w:rPr>
              <w:t>扣减工程造价咨询服务费的比例</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themeColor="text1"/>
                <w:highlight w:val="none"/>
                <w:shd w:val="clear" w:color="auto" w:fill="FFFFFF"/>
                <w14:textFill>
                  <w14:solidFill>
                    <w14:schemeClr w14:val="tx1"/>
                  </w14:solidFill>
                </w14:textFill>
              </w:rPr>
            </w:pPr>
            <w:r>
              <w:rPr>
                <w:rFonts w:hint="eastAsia" w:ascii="仿宋" w:hAnsi="仿宋" w:eastAsia="仿宋" w:cs="仿宋"/>
                <w:b/>
                <w:bCs/>
                <w:color w:val="000000" w:themeColor="text1"/>
                <w:highlight w:val="none"/>
                <w:shd w:val="clear" w:color="auto" w:fill="FFFFFF"/>
                <w14:textFill>
                  <w14:solidFill>
                    <w14:schemeClr w14:val="tx1"/>
                  </w14:solidFill>
                </w14:textFill>
              </w:rPr>
              <w:t>暂停或终止造价咨询业务投标（含摇珠）资格</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widowControl w:val="0"/>
              <w:spacing w:before="0" w:beforeAutospacing="0" w:after="0" w:afterAutospacing="0" w:line="400" w:lineRule="exact"/>
              <w:jc w:val="center"/>
              <w:rPr>
                <w:rFonts w:ascii="仿宋" w:hAnsi="仿宋" w:eastAsia="仿宋" w:cs="仿宋"/>
                <w:b/>
                <w:bCs/>
                <w:color w:val="000000" w:themeColor="text1"/>
                <w:highlight w:val="none"/>
                <w:shd w:val="clear" w:color="auto" w:fill="FFFFFF"/>
                <w14:textFill>
                  <w14:solidFill>
                    <w14:schemeClr w14:val="tx1"/>
                  </w14:solidFill>
                </w14:textFill>
              </w:rPr>
            </w:pPr>
            <w:r>
              <w:rPr>
                <w:rFonts w:hint="eastAsia" w:ascii="仿宋" w:hAnsi="仿宋" w:eastAsia="仿宋" w:cs="仿宋"/>
                <w:b/>
                <w:bCs/>
                <w:color w:val="000000" w:themeColor="text1"/>
                <w:highlight w:val="none"/>
                <w:shd w:val="clear" w:color="auto" w:fill="FFFFFF"/>
                <w14:textFill>
                  <w14:solidFill>
                    <w14:schemeClr w14:val="tx1"/>
                  </w14:solidFill>
                </w14:textFill>
              </w:rPr>
              <w:t>向建设行政主管部门或工程造价管理机构提请罚款或诚信扣分</w:t>
            </w: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themeColor="text1"/>
                <w:kern w:val="0"/>
                <w:sz w:val="24"/>
                <w:szCs w:val="24"/>
                <w:highlight w:val="none"/>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1</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3%以内</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0</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不暂停</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不提请</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color w:val="000000" w:themeColor="text1"/>
                <w:highlight w:val="none"/>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2</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3%（含）～4%</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5%</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暂停1个月</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不提请</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color w:val="000000" w:themeColor="text1"/>
                <w:highlight w:val="none"/>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3</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4%（含）～5%</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10%</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暂停3个月</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符合扣分条件的提请诚信扣分</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color w:val="000000" w:themeColor="text1"/>
                <w:highlight w:val="none"/>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4</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5%（含）～8%</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15%</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暂停6个月</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提请诚信扣分和罚款</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color w:val="000000" w:themeColor="text1"/>
                <w:highlight w:val="none"/>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2"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5</w:t>
            </w:r>
          </w:p>
        </w:tc>
        <w:tc>
          <w:tcPr>
            <w:tcW w:w="248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8%以上</w:t>
            </w:r>
          </w:p>
        </w:tc>
        <w:tc>
          <w:tcPr>
            <w:tcW w:w="2896"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20%</w:t>
            </w:r>
          </w:p>
        </w:tc>
        <w:tc>
          <w:tcPr>
            <w:tcW w:w="3017"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无限期终止</w:t>
            </w:r>
          </w:p>
        </w:tc>
        <w:tc>
          <w:tcPr>
            <w:tcW w:w="3704"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提请诚信扣分和罚款</w:t>
            </w:r>
          </w:p>
        </w:tc>
        <w:tc>
          <w:tcPr>
            <w:tcW w:w="1185" w:type="dxa"/>
            <w:tcBorders>
              <w:top w:val="single" w:color="auto" w:sz="4" w:space="0"/>
              <w:left w:val="single" w:color="auto" w:sz="4" w:space="0"/>
              <w:bottom w:val="single" w:color="auto" w:sz="4" w:space="0"/>
              <w:right w:val="single" w:color="auto" w:sz="4" w:space="0"/>
            </w:tcBorders>
            <w:vAlign w:val="center"/>
          </w:tcPr>
          <w:p>
            <w:pPr>
              <w:pStyle w:val="26"/>
              <w:spacing w:before="0" w:beforeAutospacing="0" w:after="0" w:afterAutospacing="0" w:line="500" w:lineRule="exact"/>
              <w:jc w:val="center"/>
              <w:rPr>
                <w:color w:val="000000" w:themeColor="text1"/>
                <w:highlight w:val="none"/>
                <w:shd w:val="clear" w:color="auto" w:fill="FFFFFF"/>
                <w14:textFill>
                  <w14:solidFill>
                    <w14:schemeClr w14:val="tx1"/>
                  </w14:solidFill>
                </w14:textFill>
              </w:rPr>
            </w:pPr>
          </w:p>
        </w:tc>
      </w:tr>
    </w:tbl>
    <w:p>
      <w:pPr>
        <w:pStyle w:val="26"/>
        <w:spacing w:before="0" w:beforeAutospacing="0" w:after="0" w:afterAutospacing="0" w:line="500" w:lineRule="exact"/>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说明：</w:t>
      </w:r>
    </w:p>
    <w:p>
      <w:pPr>
        <w:pStyle w:val="26"/>
        <w:spacing w:before="0" w:beforeAutospacing="0" w:after="0" w:afterAutospacing="0" w:line="500" w:lineRule="exact"/>
        <w:ind w:firstLine="240" w:firstLineChars="100"/>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1、工程量偏差率=造价咨询单位确认的工程量偏差净增加金额÷施工合同金额×100%，工程量偏差为负值时不处罚；</w:t>
      </w:r>
    </w:p>
    <w:p>
      <w:pPr>
        <w:pStyle w:val="26"/>
        <w:spacing w:before="0" w:beforeAutospacing="0" w:after="0" w:afterAutospacing="0" w:line="500" w:lineRule="exact"/>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 xml:space="preserve">  2、三项处罚同时实施，直至扣完全部工程造价咨询服务费；</w:t>
      </w:r>
    </w:p>
    <w:p>
      <w:pPr>
        <w:pStyle w:val="26"/>
        <w:spacing w:before="0" w:beforeAutospacing="0" w:after="0" w:afterAutospacing="0" w:line="500" w:lineRule="exact"/>
        <w:ind w:firstLine="240" w:firstLineChars="100"/>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3、以上处罚年度累计3个项目处于同一标准的，第3次按严格一档标准计算（年度按1月1日至12月31日计）。</w:t>
      </w:r>
    </w:p>
    <w:p>
      <w:pPr>
        <w:pStyle w:val="26"/>
        <w:numPr>
          <w:ilvl w:val="0"/>
          <w:numId w:val="21"/>
        </w:numPr>
        <w:spacing w:before="0" w:beforeAutospacing="0" w:after="0" w:afterAutospacing="0" w:line="500" w:lineRule="exact"/>
        <w:ind w:left="420" w:firstLine="240" w:firstLineChars="100"/>
        <w:rPr>
          <w:rFonts w:ascii="仿宋" w:hAnsi="仿宋" w:eastAsia="仿宋" w:cs="仿宋"/>
          <w:snapToGrid w:val="0"/>
          <w:color w:val="000000" w:themeColor="text1"/>
          <w:kern w:val="2"/>
          <w:highlight w:val="none"/>
          <w14:textFill>
            <w14:solidFill>
              <w14:schemeClr w14:val="tx1"/>
            </w14:solidFill>
          </w14:textFill>
        </w:rPr>
      </w:pPr>
      <w:r>
        <w:rPr>
          <w:rFonts w:hint="eastAsia" w:ascii="仿宋" w:hAnsi="仿宋" w:eastAsia="仿宋" w:cs="仿宋"/>
          <w:snapToGrid w:val="0"/>
          <w:color w:val="000000" w:themeColor="text1"/>
          <w:kern w:val="2"/>
          <w:highlight w:val="none"/>
          <w14:textFill>
            <w14:solidFill>
              <w14:schemeClr w14:val="tx1"/>
            </w14:solidFill>
          </w14:textFill>
        </w:rPr>
        <w:t>非承包人原因造成的工程量偏差不计入承包人的偏差率范围。</w:t>
      </w:r>
    </w:p>
    <w:p>
      <w:pPr>
        <w:rPr>
          <w:color w:val="000000" w:themeColor="text1"/>
          <w:highlight w:val="none"/>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pPr>
        <w:pStyle w:val="5"/>
        <w:pageBreakBefore w:val="0"/>
        <w:rPr>
          <w:color w:val="000000" w:themeColor="text1"/>
          <w:highlight w:val="none"/>
          <w14:textFill>
            <w14:solidFill>
              <w14:schemeClr w14:val="tx1"/>
            </w14:solidFill>
          </w14:textFill>
        </w:rPr>
      </w:pPr>
      <w:bookmarkStart w:id="270" w:name="_Toc149656784"/>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7</w:t>
      </w:r>
      <w:r>
        <w:rPr>
          <w:rFonts w:hint="eastAsia"/>
          <w:color w:val="000000" w:themeColor="text1"/>
          <w:highlight w:val="none"/>
          <w14:textFill>
            <w14:solidFill>
              <w14:schemeClr w14:val="tx1"/>
            </w14:solidFill>
          </w14:textFill>
        </w:rPr>
        <w:t>：</w:t>
      </w:r>
      <w:bookmarkEnd w:id="261"/>
      <w:bookmarkEnd w:id="262"/>
      <w:r>
        <w:rPr>
          <w:rFonts w:hint="eastAsia"/>
          <w:color w:val="000000" w:themeColor="text1"/>
          <w:highlight w:val="none"/>
          <w14:textFill>
            <w14:solidFill>
              <w14:schemeClr w14:val="tx1"/>
            </w14:solidFill>
          </w14:textFill>
        </w:rPr>
        <w:t>招投标文件关键页（备注：如答疑纪要、拟投入人员表及负责人资质、拟投入设备、联合体协议书、工期计划等）</w:t>
      </w:r>
      <w:bookmarkEnd w:id="263"/>
      <w:bookmarkEnd w:id="264"/>
      <w:bookmarkEnd w:id="266"/>
      <w:bookmarkEnd w:id="267"/>
      <w:bookmarkEnd w:id="268"/>
      <w:bookmarkEnd w:id="269"/>
      <w:bookmarkEnd w:id="270"/>
    </w:p>
    <w:p>
      <w:pPr>
        <w:adjustRightInd w:val="0"/>
        <w:snapToGrid w:val="0"/>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p>
    <w:p>
      <w:pPr>
        <w:pStyle w:val="5"/>
        <w:rPr>
          <w:color w:val="000000" w:themeColor="text1"/>
          <w:highlight w:val="none"/>
          <w14:textFill>
            <w14:solidFill>
              <w14:schemeClr w14:val="tx1"/>
            </w14:solidFill>
          </w14:textFill>
        </w:rPr>
      </w:pPr>
      <w:bookmarkStart w:id="271" w:name="_Toc112071521"/>
      <w:bookmarkStart w:id="272" w:name="_Toc895640091"/>
      <w:bookmarkStart w:id="273" w:name="_Toc114661195"/>
      <w:bookmarkStart w:id="274" w:name="_Toc114645977"/>
      <w:bookmarkStart w:id="275" w:name="_Toc1336053669"/>
      <w:bookmarkStart w:id="276" w:name="_Toc149656785"/>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8</w:t>
      </w:r>
      <w:r>
        <w:rPr>
          <w:rFonts w:hint="eastAsia"/>
          <w:color w:val="000000" w:themeColor="text1"/>
          <w:highlight w:val="none"/>
          <w14:textFill>
            <w14:solidFill>
              <w14:schemeClr w14:val="tx1"/>
            </w14:solidFill>
          </w14:textFill>
        </w:rPr>
        <w:t>：相关</w:t>
      </w:r>
      <w:r>
        <w:rPr>
          <w:rFonts w:hint="eastAsia"/>
          <w:color w:val="000000" w:themeColor="text1"/>
          <w:highlight w:val="none"/>
          <w:lang w:eastAsia="zh-Hans"/>
          <w14:textFill>
            <w14:solidFill>
              <w14:schemeClr w14:val="tx1"/>
            </w14:solidFill>
          </w14:textFill>
        </w:rPr>
        <w:t>会议纪要</w:t>
      </w:r>
      <w:r>
        <w:rPr>
          <w:rFonts w:hint="eastAsia"/>
          <w:color w:val="000000" w:themeColor="text1"/>
          <w:highlight w:val="none"/>
          <w14:textFill>
            <w14:solidFill>
              <w14:schemeClr w14:val="tx1"/>
            </w14:solidFill>
          </w14:textFill>
        </w:rPr>
        <w:t>及立项批文（备注：如项建/可研/初设批复等，无则本条删除）</w:t>
      </w:r>
      <w:bookmarkEnd w:id="271"/>
      <w:bookmarkEnd w:id="272"/>
      <w:bookmarkEnd w:id="273"/>
      <w:bookmarkEnd w:id="274"/>
      <w:bookmarkEnd w:id="275"/>
      <w:bookmarkEnd w:id="276"/>
    </w:p>
    <w:p>
      <w:pPr>
        <w:adjustRightInd w:val="0"/>
        <w:snapToGrid w:val="0"/>
        <w:spacing w:line="360" w:lineRule="auto"/>
        <w:rPr>
          <w:color w:val="000000" w:themeColor="text1"/>
          <w:highlight w:val="none"/>
          <w14:textFill>
            <w14:solidFill>
              <w14:schemeClr w14:val="tx1"/>
            </w14:solidFill>
          </w14:textFill>
        </w:rPr>
      </w:pPr>
    </w:p>
    <w:p>
      <w:pPr>
        <w:adjustRightInd w:val="0"/>
        <w:snapToGrid w:val="0"/>
        <w:spacing w:line="360" w:lineRule="auto"/>
        <w:rPr>
          <w:color w:val="000000" w:themeColor="text1"/>
          <w:highlight w:val="none"/>
          <w14:textFill>
            <w14:solidFill>
              <w14:schemeClr w14:val="tx1"/>
            </w14:solidFill>
          </w14:textFill>
        </w:rPr>
      </w:pPr>
    </w:p>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Pr>
        <w:pStyle w:val="5"/>
        <w:rPr>
          <w:color w:val="000000" w:themeColor="text1"/>
          <w:highlight w:val="none"/>
          <w14:textFill>
            <w14:solidFill>
              <w14:schemeClr w14:val="tx1"/>
            </w14:solidFill>
          </w14:textFill>
        </w:rPr>
      </w:pPr>
      <w:bookmarkStart w:id="277" w:name="_Toc114661197"/>
      <w:bookmarkStart w:id="278" w:name="_Toc1164975807"/>
      <w:bookmarkStart w:id="279" w:name="_Toc114645979"/>
      <w:bookmarkStart w:id="280" w:name="_Toc989607613"/>
      <w:bookmarkStart w:id="281" w:name="_Toc112071523"/>
      <w:bookmarkStart w:id="282" w:name="_Toc149656786"/>
      <w:r>
        <w:rPr>
          <w:rFonts w:hint="eastAsia"/>
          <w:color w:val="000000" w:themeColor="text1"/>
          <w:highlight w:val="none"/>
          <w14:textFill>
            <w14:solidFill>
              <w14:schemeClr w14:val="tx1"/>
            </w14:solidFill>
          </w14:textFill>
        </w:rPr>
        <w:t>附件</w:t>
      </w:r>
      <w:r>
        <w:rPr>
          <w:color w:val="000000" w:themeColor="text1"/>
          <w:highlight w:val="none"/>
          <w14:textFill>
            <w14:solidFill>
              <w14:schemeClr w14:val="tx1"/>
            </w14:solidFill>
          </w14:textFill>
        </w:rPr>
        <w:t>9</w:t>
      </w:r>
      <w:r>
        <w:rPr>
          <w:rFonts w:hint="eastAsia"/>
          <w:color w:val="000000" w:themeColor="text1"/>
          <w:highlight w:val="none"/>
          <w14:textFill>
            <w14:solidFill>
              <w14:schemeClr w14:val="tx1"/>
            </w14:solidFill>
          </w14:textFill>
        </w:rPr>
        <w:t>：相关管理制度（备注：如无则本条删除）</w:t>
      </w:r>
      <w:bookmarkEnd w:id="277"/>
      <w:bookmarkEnd w:id="278"/>
      <w:bookmarkEnd w:id="279"/>
      <w:bookmarkEnd w:id="280"/>
      <w:bookmarkEnd w:id="281"/>
      <w:bookmarkEnd w:id="282"/>
    </w:p>
    <w:bookmarkEnd w:id="28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D1F53A7-E784-4EEE-967F-E2ED8D30DCF8}"/>
  </w:font>
  <w:font w:name="宋体">
    <w:panose1 w:val="02010600030101010101"/>
    <w:charset w:val="86"/>
    <w:family w:val="auto"/>
    <w:pitch w:val="default"/>
    <w:sig w:usb0="00000003" w:usb1="288F0000" w:usb2="00000006" w:usb3="00000000" w:csb0="00040001" w:csb1="00000000"/>
    <w:embedRegular r:id="rId2" w:fontKey="{0476BF2C-F21F-4158-A383-99D9AFF24FB8}"/>
  </w:font>
  <w:font w:name="Wingdings">
    <w:panose1 w:val="05000000000000000000"/>
    <w:charset w:val="02"/>
    <w:family w:val="auto"/>
    <w:pitch w:val="default"/>
    <w:sig w:usb0="00000000" w:usb1="00000000" w:usb2="00000000" w:usb3="00000000" w:csb0="80000000" w:csb1="00000000"/>
    <w:embedRegular r:id="rId3" w:fontKey="{0C5C1D4D-3432-4633-A51C-7BF1E81B85A5}"/>
  </w:font>
  <w:font w:name="Arial">
    <w:panose1 w:val="020B0604020202020204"/>
    <w:charset w:val="01"/>
    <w:family w:val="swiss"/>
    <w:pitch w:val="default"/>
    <w:sig w:usb0="E0002AFF" w:usb1="C0007843" w:usb2="00000009" w:usb3="00000000" w:csb0="400001FF" w:csb1="FFFF0000"/>
    <w:embedRegular r:id="rId4" w:fontKey="{981B71B1-06F3-4D9A-A662-35F8892FDF5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4B21913C-54A1-4AA9-8E83-D65B88AE96BA}"/>
  </w:font>
  <w:font w:name="Symbol">
    <w:panose1 w:val="05050102010706020507"/>
    <w:charset w:val="02"/>
    <w:family w:val="roman"/>
    <w:pitch w:val="default"/>
    <w:sig w:usb0="00000000" w:usb1="00000000" w:usb2="00000000" w:usb3="00000000" w:csb0="80000000" w:csb1="00000000"/>
    <w:embedRegular r:id="rId6" w:fontKey="{87FADEA0-5094-49D8-9E3F-ED85E0DC21F7}"/>
  </w:font>
  <w:font w:name="Calibri">
    <w:panose1 w:val="020F0502020204030204"/>
    <w:charset w:val="00"/>
    <w:family w:val="swiss"/>
    <w:pitch w:val="default"/>
    <w:sig w:usb0="E10002FF" w:usb1="4000ACFF" w:usb2="00000009" w:usb3="00000000" w:csb0="2000019F" w:csb1="00000000"/>
    <w:embedRegular r:id="rId7" w:fontKey="{5C6B7845-2E45-4855-80F5-C8B85D86F318}"/>
  </w:font>
  <w:font w:name="Arial">
    <w:panose1 w:val="020B0604020202020204"/>
    <w:charset w:val="00"/>
    <w:family w:val="swiss"/>
    <w:pitch w:val="default"/>
    <w:sig w:usb0="E0002AFF" w:usb1="C0007843" w:usb2="00000009" w:usb3="00000000" w:csb0="400001FF" w:csb1="FFFF0000"/>
    <w:embedRegular r:id="rId8" w:fontKey="{B55240E1-30A2-4D56-8DC1-AD99C238E2B5}"/>
  </w:font>
  <w:font w:name="Courier New">
    <w:panose1 w:val="02070309020205020404"/>
    <w:charset w:val="00"/>
    <w:family w:val="modern"/>
    <w:pitch w:val="default"/>
    <w:sig w:usb0="E0002AFF" w:usb1="C0007843" w:usb2="00000009" w:usb3="00000000" w:csb0="400001FF" w:csb1="FFFF0000"/>
    <w:embedRegular r:id="rId9" w:fontKey="{3BC43D8E-B5A9-4771-8849-3BAE1EF1F2A1}"/>
  </w:font>
  <w:font w:name="Cambria">
    <w:panose1 w:val="02040503050406030204"/>
    <w:charset w:val="00"/>
    <w:family w:val="roman"/>
    <w:pitch w:val="default"/>
    <w:sig w:usb0="E00002FF" w:usb1="400004FF" w:usb2="00000000" w:usb3="00000000" w:csb0="2000019F" w:csb1="00000000"/>
    <w:embedRegular r:id="rId10" w:fontKey="{BD686CC1-1980-4DA2-898D-AD609EF13997}"/>
  </w:font>
  <w:font w:name="Wingdings 2">
    <w:panose1 w:val="05020102010507070707"/>
    <w:charset w:val="02"/>
    <w:family w:val="roman"/>
    <w:pitch w:val="default"/>
    <w:sig w:usb0="00000000" w:usb1="00000000" w:usb2="00000000" w:usb3="00000000" w:csb0="80000000" w:csb1="00000000"/>
    <w:embedRegular r:id="rId11" w:fontKey="{73FCE840-78DA-479A-83E1-FF41AB3EC8B3}"/>
  </w:font>
  <w:font w:name="仿宋_GB2312">
    <w:altName w:val="仿宋"/>
    <w:panose1 w:val="02010609030101010101"/>
    <w:charset w:val="86"/>
    <w:family w:val="modern"/>
    <w:pitch w:val="default"/>
    <w:sig w:usb0="00000000" w:usb1="00000000" w:usb2="00000010" w:usb3="00000000" w:csb0="00040000" w:csb1="00000000"/>
    <w:embedRegular r:id="rId12" w:fontKey="{1736FCCC-3B71-4FCA-A9E6-71027ABA1A8C}"/>
  </w:font>
  <w:font w:name="仿宋">
    <w:panose1 w:val="02010609060101010101"/>
    <w:charset w:val="86"/>
    <w:family w:val="modern"/>
    <w:pitch w:val="default"/>
    <w:sig w:usb0="800002BF" w:usb1="38CF7CFA" w:usb2="00000016" w:usb3="00000000" w:csb0="00040001" w:csb1="00000000"/>
    <w:embedRegular r:id="rId13" w:fontKey="{B5BBBD4F-9EE1-4226-83B8-70879E25AA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1452208"/>
      <w:docPartObj>
        <w:docPartGallery w:val="AutoText"/>
      </w:docPartObj>
    </w:sdtPr>
    <w:sdtContent>
      <w:p>
        <w:pPr>
          <w:pStyle w:val="19"/>
          <w:jc w:val="center"/>
        </w:pPr>
        <w:r>
          <w:fldChar w:fldCharType="begin"/>
        </w:r>
        <w:r>
          <w:instrText xml:space="preserve">PAGE   \* MERGEFORMAT</w:instrText>
        </w:r>
        <w:r>
          <w:fldChar w:fldCharType="separate"/>
        </w:r>
        <w:r>
          <w:rPr>
            <w:lang w:val="zh-CN"/>
          </w:rPr>
          <w:t>2</w:t>
        </w:r>
        <w:r>
          <w:fldChar w:fldCharType="end"/>
        </w:r>
      </w:p>
    </w:sdtContent>
  </w:sdt>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rPr>
      <w:t xml:space="preserve">[ </w:t>
    </w:r>
    <w:r>
      <w:t xml:space="preserve">    ]</w:t>
    </w:r>
    <w:r>
      <w:rPr>
        <w:rFonts w:hint="eastAsia"/>
      </w:rPr>
      <w:t>全过程造价咨询合同文件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AB2D7"/>
    <w:multiLevelType w:val="singleLevel"/>
    <w:tmpl w:val="AFBAB2D7"/>
    <w:lvl w:ilvl="0" w:tentative="0">
      <w:start w:val="1"/>
      <w:numFmt w:val="decimal"/>
      <w:lvlText w:val="%1)"/>
      <w:lvlJc w:val="left"/>
      <w:pPr>
        <w:ind w:left="425" w:hanging="425"/>
      </w:pPr>
      <w:rPr>
        <w:rFonts w:hint="default"/>
      </w:rPr>
    </w:lvl>
  </w:abstractNum>
  <w:abstractNum w:abstractNumId="1">
    <w:nsid w:val="FFEF5FAE"/>
    <w:multiLevelType w:val="multilevel"/>
    <w:tmpl w:val="FFEF5FAE"/>
    <w:lvl w:ilvl="0" w:tentative="0">
      <w:start w:val="1"/>
      <w:numFmt w:val="decimal"/>
      <w:lvlText w:val="（%1）"/>
      <w:lvlJc w:val="left"/>
      <w:pPr>
        <w:ind w:left="1176" w:hanging="720"/>
      </w:pPr>
      <w:rPr>
        <w:rFonts w:hint="default"/>
        <w:sz w:val="24"/>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abstractNum w:abstractNumId="2">
    <w:nsid w:val="01426EAD"/>
    <w:multiLevelType w:val="multilevel"/>
    <w:tmpl w:val="01426EAD"/>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3">
    <w:nsid w:val="03906018"/>
    <w:multiLevelType w:val="multilevel"/>
    <w:tmpl w:val="03906018"/>
    <w:lvl w:ilvl="0" w:tentative="0">
      <w:start w:val="1"/>
      <w:numFmt w:val="decimal"/>
      <w:lvlText w:val="（%1）"/>
      <w:lvlJc w:val="left"/>
      <w:pPr>
        <w:ind w:left="750" w:hanging="420"/>
      </w:pPr>
    </w:lvl>
    <w:lvl w:ilvl="1" w:tentative="0">
      <w:start w:val="1"/>
      <w:numFmt w:val="lowerLetter"/>
      <w:lvlText w:val="%2)"/>
      <w:lvlJc w:val="left"/>
      <w:pPr>
        <w:ind w:left="1170" w:hanging="420"/>
      </w:pPr>
    </w:lvl>
    <w:lvl w:ilvl="2" w:tentative="0">
      <w:start w:val="1"/>
      <w:numFmt w:val="lowerRoman"/>
      <w:lvlText w:val="%3."/>
      <w:lvlJc w:val="right"/>
      <w:pPr>
        <w:ind w:left="1590" w:hanging="420"/>
      </w:pPr>
    </w:lvl>
    <w:lvl w:ilvl="3" w:tentative="0">
      <w:start w:val="1"/>
      <w:numFmt w:val="decimal"/>
      <w:lvlText w:val="%4."/>
      <w:lvlJc w:val="left"/>
      <w:pPr>
        <w:ind w:left="2010" w:hanging="420"/>
      </w:pPr>
    </w:lvl>
    <w:lvl w:ilvl="4" w:tentative="0">
      <w:start w:val="1"/>
      <w:numFmt w:val="lowerLetter"/>
      <w:lvlText w:val="%5)"/>
      <w:lvlJc w:val="left"/>
      <w:pPr>
        <w:ind w:left="2430" w:hanging="420"/>
      </w:pPr>
    </w:lvl>
    <w:lvl w:ilvl="5" w:tentative="0">
      <w:start w:val="1"/>
      <w:numFmt w:val="lowerRoman"/>
      <w:lvlText w:val="%6."/>
      <w:lvlJc w:val="right"/>
      <w:pPr>
        <w:ind w:left="2850" w:hanging="420"/>
      </w:pPr>
    </w:lvl>
    <w:lvl w:ilvl="6" w:tentative="0">
      <w:start w:val="1"/>
      <w:numFmt w:val="decimal"/>
      <w:lvlText w:val="%7."/>
      <w:lvlJc w:val="left"/>
      <w:pPr>
        <w:ind w:left="3270" w:hanging="420"/>
      </w:pPr>
    </w:lvl>
    <w:lvl w:ilvl="7" w:tentative="0">
      <w:start w:val="1"/>
      <w:numFmt w:val="lowerLetter"/>
      <w:lvlText w:val="%8)"/>
      <w:lvlJc w:val="left"/>
      <w:pPr>
        <w:ind w:left="3690" w:hanging="420"/>
      </w:pPr>
    </w:lvl>
    <w:lvl w:ilvl="8" w:tentative="0">
      <w:start w:val="1"/>
      <w:numFmt w:val="lowerRoman"/>
      <w:lvlText w:val="%9."/>
      <w:lvlJc w:val="right"/>
      <w:pPr>
        <w:ind w:left="4110" w:hanging="420"/>
      </w:pPr>
    </w:lvl>
  </w:abstractNum>
  <w:abstractNum w:abstractNumId="4">
    <w:nsid w:val="04F979F5"/>
    <w:multiLevelType w:val="multilevel"/>
    <w:tmpl w:val="04F979F5"/>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5">
    <w:nsid w:val="085EF5F1"/>
    <w:multiLevelType w:val="singleLevel"/>
    <w:tmpl w:val="085EF5F1"/>
    <w:lvl w:ilvl="0" w:tentative="0">
      <w:start w:val="4"/>
      <w:numFmt w:val="decimal"/>
      <w:suff w:val="nothing"/>
      <w:lvlText w:val="%1、"/>
      <w:lvlJc w:val="left"/>
      <w:pPr>
        <w:ind w:left="0" w:firstLine="0"/>
      </w:pPr>
    </w:lvl>
  </w:abstractNum>
  <w:abstractNum w:abstractNumId="6">
    <w:nsid w:val="0BB60618"/>
    <w:multiLevelType w:val="multilevel"/>
    <w:tmpl w:val="0BB60618"/>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7">
    <w:nsid w:val="1A607923"/>
    <w:multiLevelType w:val="multilevel"/>
    <w:tmpl w:val="1A607923"/>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8">
    <w:nsid w:val="1DB56E61"/>
    <w:multiLevelType w:val="multilevel"/>
    <w:tmpl w:val="1DB56E61"/>
    <w:lvl w:ilvl="0" w:tentative="0">
      <w:start w:val="1"/>
      <w:numFmt w:val="decimal"/>
      <w:lvlText w:val="（%1）"/>
      <w:lvlJc w:val="left"/>
      <w:pPr>
        <w:ind w:left="1176" w:hanging="720"/>
      </w:pPr>
      <w:rPr>
        <w:rFonts w:hint="default"/>
        <w:sz w:val="24"/>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abstractNum w:abstractNumId="9">
    <w:nsid w:val="1EC8204D"/>
    <w:multiLevelType w:val="multilevel"/>
    <w:tmpl w:val="1EC8204D"/>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35374ABE"/>
    <w:multiLevelType w:val="multilevel"/>
    <w:tmpl w:val="35374ABE"/>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35E666AB"/>
    <w:multiLevelType w:val="multilevel"/>
    <w:tmpl w:val="35E666AB"/>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2">
    <w:nsid w:val="408F7C2A"/>
    <w:multiLevelType w:val="multilevel"/>
    <w:tmpl w:val="408F7C2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43857D3A"/>
    <w:multiLevelType w:val="multilevel"/>
    <w:tmpl w:val="43857D3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4">
    <w:nsid w:val="4EDF0D8D"/>
    <w:multiLevelType w:val="multilevel"/>
    <w:tmpl w:val="4EDF0D8D"/>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5">
    <w:nsid w:val="5989171F"/>
    <w:multiLevelType w:val="multilevel"/>
    <w:tmpl w:val="5989171F"/>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5BDE0ACC"/>
    <w:multiLevelType w:val="multilevel"/>
    <w:tmpl w:val="5BDE0ACC"/>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7">
    <w:nsid w:val="5E3F5F0A"/>
    <w:multiLevelType w:val="multilevel"/>
    <w:tmpl w:val="5E3F5F0A"/>
    <w:lvl w:ilvl="0" w:tentative="0">
      <w:start w:val="1"/>
      <w:numFmt w:val="decimal"/>
      <w:lvlText w:val="（%1）"/>
      <w:lvlJc w:val="left"/>
      <w:pPr>
        <w:ind w:left="1176" w:hanging="720"/>
      </w:pPr>
      <w:rPr>
        <w:rFonts w:hint="default"/>
        <w:sz w:val="24"/>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abstractNum w:abstractNumId="18">
    <w:nsid w:val="608A575C"/>
    <w:multiLevelType w:val="multilevel"/>
    <w:tmpl w:val="608A575C"/>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9">
    <w:nsid w:val="672A0A84"/>
    <w:multiLevelType w:val="multilevel"/>
    <w:tmpl w:val="672A0A84"/>
    <w:lvl w:ilvl="0" w:tentative="0">
      <w:start w:val="1"/>
      <w:numFmt w:val="chineseCountingThousand"/>
      <w:lvlText w:val="%1"/>
      <w:lvlJc w:val="left"/>
      <w:pPr>
        <w:tabs>
          <w:tab w:val="left" w:pos="1120"/>
        </w:tabs>
        <w:ind w:left="1120" w:hanging="420"/>
      </w:pPr>
      <w:rPr>
        <w:rFonts w:hint="eastAsia"/>
        <w:b/>
      </w:rPr>
    </w:lvl>
    <w:lvl w:ilvl="1" w:tentative="0">
      <w:start w:val="1"/>
      <w:numFmt w:val="decimal"/>
      <w:lvlText w:val="%2."/>
      <w:lvlJc w:val="left"/>
      <w:pPr>
        <w:tabs>
          <w:tab w:val="left" w:pos="1540"/>
        </w:tabs>
        <w:ind w:left="1540" w:hanging="420"/>
      </w:pPr>
      <w:rPr>
        <w:rFonts w:hint="eastAsia"/>
        <w:b w:val="0"/>
        <w:color w:val="auto"/>
      </w:rPr>
    </w:lvl>
    <w:lvl w:ilvl="2" w:tentative="0">
      <w:start w:val="1"/>
      <w:numFmt w:val="decimal"/>
      <w:lvlText w:val="（%3）"/>
      <w:lvlJc w:val="left"/>
      <w:pPr>
        <w:ind w:left="750" w:hanging="420"/>
      </w:pPr>
    </w:lvl>
    <w:lvl w:ilvl="3" w:tentative="0">
      <w:start w:val="1"/>
      <w:numFmt w:val="decimal"/>
      <w:lvlText w:val="%4."/>
      <w:lvlJc w:val="left"/>
      <w:pPr>
        <w:tabs>
          <w:tab w:val="left" w:pos="2380"/>
        </w:tabs>
        <w:ind w:left="2380" w:hanging="420"/>
      </w:pPr>
      <w:rPr>
        <w:rFonts w:hint="eastAsia"/>
      </w:rPr>
    </w:lvl>
    <w:lvl w:ilvl="4" w:tentative="0">
      <w:start w:val="1"/>
      <w:numFmt w:val="lowerLetter"/>
      <w:lvlText w:val="%5)"/>
      <w:lvlJc w:val="left"/>
      <w:pPr>
        <w:tabs>
          <w:tab w:val="left" w:pos="2800"/>
        </w:tabs>
        <w:ind w:left="2800" w:hanging="420"/>
      </w:pPr>
      <w:rPr>
        <w:rFonts w:hint="eastAsia"/>
      </w:rPr>
    </w:lvl>
    <w:lvl w:ilvl="5" w:tentative="0">
      <w:start w:val="1"/>
      <w:numFmt w:val="lowerRoman"/>
      <w:lvlText w:val="%6."/>
      <w:lvlJc w:val="right"/>
      <w:pPr>
        <w:tabs>
          <w:tab w:val="left" w:pos="3220"/>
        </w:tabs>
        <w:ind w:left="3220" w:hanging="420"/>
      </w:pPr>
      <w:rPr>
        <w:rFonts w:hint="eastAsia"/>
      </w:rPr>
    </w:lvl>
    <w:lvl w:ilvl="6" w:tentative="0">
      <w:start w:val="1"/>
      <w:numFmt w:val="decimal"/>
      <w:lvlText w:val="%7."/>
      <w:lvlJc w:val="left"/>
      <w:pPr>
        <w:tabs>
          <w:tab w:val="left" w:pos="3640"/>
        </w:tabs>
        <w:ind w:left="3640" w:hanging="420"/>
      </w:pPr>
      <w:rPr>
        <w:rFonts w:hint="eastAsia"/>
      </w:rPr>
    </w:lvl>
    <w:lvl w:ilvl="7" w:tentative="0">
      <w:start w:val="1"/>
      <w:numFmt w:val="lowerLetter"/>
      <w:lvlText w:val="%8)"/>
      <w:lvlJc w:val="left"/>
      <w:pPr>
        <w:tabs>
          <w:tab w:val="left" w:pos="4060"/>
        </w:tabs>
        <w:ind w:left="4060" w:hanging="420"/>
      </w:pPr>
      <w:rPr>
        <w:rFonts w:hint="eastAsia"/>
      </w:rPr>
    </w:lvl>
    <w:lvl w:ilvl="8" w:tentative="0">
      <w:start w:val="1"/>
      <w:numFmt w:val="lowerRoman"/>
      <w:lvlText w:val="%9."/>
      <w:lvlJc w:val="right"/>
      <w:pPr>
        <w:tabs>
          <w:tab w:val="left" w:pos="4480"/>
        </w:tabs>
        <w:ind w:left="4480" w:hanging="420"/>
      </w:pPr>
      <w:rPr>
        <w:rFonts w:hint="eastAsia"/>
      </w:rPr>
    </w:lvl>
  </w:abstractNum>
  <w:abstractNum w:abstractNumId="20">
    <w:nsid w:val="710B053A"/>
    <w:multiLevelType w:val="multilevel"/>
    <w:tmpl w:val="710B053A"/>
    <w:lvl w:ilvl="0" w:tentative="0">
      <w:start w:val="1"/>
      <w:numFmt w:val="decimal"/>
      <w:suff w:val="nothing"/>
      <w:lvlText w:val="%1、"/>
      <w:lvlJc w:val="left"/>
      <w:pPr>
        <w:ind w:left="0" w:firstLine="482"/>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10"/>
  </w:num>
  <w:num w:numId="2">
    <w:abstractNumId w:val="11"/>
  </w:num>
  <w:num w:numId="3">
    <w:abstractNumId w:val="12"/>
  </w:num>
  <w:num w:numId="4">
    <w:abstractNumId w:val="14"/>
  </w:num>
  <w:num w:numId="5">
    <w:abstractNumId w:val="8"/>
  </w:num>
  <w:num w:numId="6">
    <w:abstractNumId w:val="4"/>
  </w:num>
  <w:num w:numId="7">
    <w:abstractNumId w:val="13"/>
  </w:num>
  <w:num w:numId="8">
    <w:abstractNumId w:val="17"/>
  </w:num>
  <w:num w:numId="9">
    <w:abstractNumId w:val="18"/>
  </w:num>
  <w:num w:numId="10">
    <w:abstractNumId w:val="3"/>
  </w:num>
  <w:num w:numId="11">
    <w:abstractNumId w:val="1"/>
  </w:num>
  <w:num w:numId="12">
    <w:abstractNumId w:val="0"/>
  </w:num>
  <w:num w:numId="13">
    <w:abstractNumId w:val="20"/>
  </w:num>
  <w:num w:numId="14">
    <w:abstractNumId w:val="6"/>
  </w:num>
  <w:num w:numId="15">
    <w:abstractNumId w:val="16"/>
  </w:num>
  <w:num w:numId="16">
    <w:abstractNumId w:val="15"/>
  </w:num>
  <w:num w:numId="17">
    <w:abstractNumId w:val="7"/>
  </w:num>
  <w:num w:numId="18">
    <w:abstractNumId w:val="2"/>
  </w:num>
  <w:num w:numId="19">
    <w:abstractNumId w:val="19"/>
  </w:num>
  <w:num w:numId="20">
    <w:abstractNumId w:val="9"/>
  </w:num>
  <w:num w:numId="21">
    <w:abstractNumId w:val="5"/>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revisionView w:markup="0"/>
  <w:documentProtection w:edit="readOnly"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ZhZmRjYjhhNTYxYzQ5ZTI4ODk1MTVkZGVhNmU2NWIifQ=="/>
  </w:docVars>
  <w:rsids>
    <w:rsidRoot w:val="0015436C"/>
    <w:rsid w:val="0000066E"/>
    <w:rsid w:val="00000D3C"/>
    <w:rsid w:val="00000DCD"/>
    <w:rsid w:val="0000124D"/>
    <w:rsid w:val="000013DC"/>
    <w:rsid w:val="00004E1F"/>
    <w:rsid w:val="00004FF5"/>
    <w:rsid w:val="00005D37"/>
    <w:rsid w:val="00005E54"/>
    <w:rsid w:val="00006464"/>
    <w:rsid w:val="000068F5"/>
    <w:rsid w:val="00006C40"/>
    <w:rsid w:val="000075E8"/>
    <w:rsid w:val="00007686"/>
    <w:rsid w:val="00007F9C"/>
    <w:rsid w:val="000102AE"/>
    <w:rsid w:val="00010645"/>
    <w:rsid w:val="000109E2"/>
    <w:rsid w:val="00010B5C"/>
    <w:rsid w:val="00011979"/>
    <w:rsid w:val="00011C39"/>
    <w:rsid w:val="00011D2D"/>
    <w:rsid w:val="00011D58"/>
    <w:rsid w:val="00012179"/>
    <w:rsid w:val="000126F1"/>
    <w:rsid w:val="00012956"/>
    <w:rsid w:val="00012C9D"/>
    <w:rsid w:val="0001372D"/>
    <w:rsid w:val="00013771"/>
    <w:rsid w:val="00014D98"/>
    <w:rsid w:val="000151A2"/>
    <w:rsid w:val="00015981"/>
    <w:rsid w:val="000162AB"/>
    <w:rsid w:val="00016502"/>
    <w:rsid w:val="00017252"/>
    <w:rsid w:val="0002005D"/>
    <w:rsid w:val="0002015A"/>
    <w:rsid w:val="00020460"/>
    <w:rsid w:val="00020A2E"/>
    <w:rsid w:val="00020CE8"/>
    <w:rsid w:val="00022712"/>
    <w:rsid w:val="00022DC9"/>
    <w:rsid w:val="00024606"/>
    <w:rsid w:val="0002564B"/>
    <w:rsid w:val="00025795"/>
    <w:rsid w:val="00025AA8"/>
    <w:rsid w:val="00026058"/>
    <w:rsid w:val="000260DC"/>
    <w:rsid w:val="00026211"/>
    <w:rsid w:val="00026BB2"/>
    <w:rsid w:val="00027888"/>
    <w:rsid w:val="00027A3C"/>
    <w:rsid w:val="00027FD5"/>
    <w:rsid w:val="0003051E"/>
    <w:rsid w:val="00031102"/>
    <w:rsid w:val="00031527"/>
    <w:rsid w:val="00031568"/>
    <w:rsid w:val="00031D0A"/>
    <w:rsid w:val="00031DEF"/>
    <w:rsid w:val="00031E29"/>
    <w:rsid w:val="00032301"/>
    <w:rsid w:val="000324B3"/>
    <w:rsid w:val="000324CA"/>
    <w:rsid w:val="00032507"/>
    <w:rsid w:val="000330A0"/>
    <w:rsid w:val="000337D5"/>
    <w:rsid w:val="0003385F"/>
    <w:rsid w:val="00033CBF"/>
    <w:rsid w:val="00034854"/>
    <w:rsid w:val="00034DAA"/>
    <w:rsid w:val="00034F57"/>
    <w:rsid w:val="00035EEA"/>
    <w:rsid w:val="00036D0C"/>
    <w:rsid w:val="00037358"/>
    <w:rsid w:val="000375AE"/>
    <w:rsid w:val="00037C42"/>
    <w:rsid w:val="00037C82"/>
    <w:rsid w:val="00037CCC"/>
    <w:rsid w:val="0004033B"/>
    <w:rsid w:val="00040855"/>
    <w:rsid w:val="00040DB0"/>
    <w:rsid w:val="00041005"/>
    <w:rsid w:val="00042378"/>
    <w:rsid w:val="00042A87"/>
    <w:rsid w:val="00043417"/>
    <w:rsid w:val="00043DDE"/>
    <w:rsid w:val="00044868"/>
    <w:rsid w:val="00044E5B"/>
    <w:rsid w:val="000450EE"/>
    <w:rsid w:val="000456E4"/>
    <w:rsid w:val="00045E9D"/>
    <w:rsid w:val="00046143"/>
    <w:rsid w:val="0004621D"/>
    <w:rsid w:val="00046689"/>
    <w:rsid w:val="00050C81"/>
    <w:rsid w:val="0005111F"/>
    <w:rsid w:val="000518A9"/>
    <w:rsid w:val="00051D65"/>
    <w:rsid w:val="0005249C"/>
    <w:rsid w:val="00052586"/>
    <w:rsid w:val="0005287E"/>
    <w:rsid w:val="000537EA"/>
    <w:rsid w:val="000539B7"/>
    <w:rsid w:val="00054168"/>
    <w:rsid w:val="00054765"/>
    <w:rsid w:val="000550F6"/>
    <w:rsid w:val="000554F7"/>
    <w:rsid w:val="00055875"/>
    <w:rsid w:val="000559D8"/>
    <w:rsid w:val="00055B7D"/>
    <w:rsid w:val="0005733A"/>
    <w:rsid w:val="000577D9"/>
    <w:rsid w:val="00057A7C"/>
    <w:rsid w:val="00057BE3"/>
    <w:rsid w:val="00057F1D"/>
    <w:rsid w:val="00060897"/>
    <w:rsid w:val="00060FCA"/>
    <w:rsid w:val="000611F7"/>
    <w:rsid w:val="000617A4"/>
    <w:rsid w:val="0006190F"/>
    <w:rsid w:val="00061FCD"/>
    <w:rsid w:val="00062202"/>
    <w:rsid w:val="00062279"/>
    <w:rsid w:val="00062749"/>
    <w:rsid w:val="000627FB"/>
    <w:rsid w:val="00063091"/>
    <w:rsid w:val="0006316A"/>
    <w:rsid w:val="00063628"/>
    <w:rsid w:val="00063C44"/>
    <w:rsid w:val="00063F84"/>
    <w:rsid w:val="00064090"/>
    <w:rsid w:val="00064462"/>
    <w:rsid w:val="00064D86"/>
    <w:rsid w:val="00064E74"/>
    <w:rsid w:val="00065099"/>
    <w:rsid w:val="0006583B"/>
    <w:rsid w:val="00065B3E"/>
    <w:rsid w:val="00066254"/>
    <w:rsid w:val="0006642A"/>
    <w:rsid w:val="00066988"/>
    <w:rsid w:val="000669FB"/>
    <w:rsid w:val="0006745F"/>
    <w:rsid w:val="00070039"/>
    <w:rsid w:val="000702A3"/>
    <w:rsid w:val="0007096C"/>
    <w:rsid w:val="00070B85"/>
    <w:rsid w:val="000717D4"/>
    <w:rsid w:val="00071B50"/>
    <w:rsid w:val="00071F9E"/>
    <w:rsid w:val="00072B02"/>
    <w:rsid w:val="000736DF"/>
    <w:rsid w:val="00073716"/>
    <w:rsid w:val="0007451C"/>
    <w:rsid w:val="00074A75"/>
    <w:rsid w:val="00074B4F"/>
    <w:rsid w:val="000752B9"/>
    <w:rsid w:val="000753EB"/>
    <w:rsid w:val="00075C2D"/>
    <w:rsid w:val="00075D8C"/>
    <w:rsid w:val="000763A8"/>
    <w:rsid w:val="000764E9"/>
    <w:rsid w:val="00076637"/>
    <w:rsid w:val="000771CC"/>
    <w:rsid w:val="0007726E"/>
    <w:rsid w:val="00077715"/>
    <w:rsid w:val="00080B55"/>
    <w:rsid w:val="00080D9D"/>
    <w:rsid w:val="000811A9"/>
    <w:rsid w:val="00082566"/>
    <w:rsid w:val="000825FE"/>
    <w:rsid w:val="00083623"/>
    <w:rsid w:val="000836CF"/>
    <w:rsid w:val="00083F5F"/>
    <w:rsid w:val="00083FFF"/>
    <w:rsid w:val="00084218"/>
    <w:rsid w:val="00084A4C"/>
    <w:rsid w:val="00084D56"/>
    <w:rsid w:val="00084E84"/>
    <w:rsid w:val="000856C9"/>
    <w:rsid w:val="00085775"/>
    <w:rsid w:val="0008596F"/>
    <w:rsid w:val="00085CAF"/>
    <w:rsid w:val="00086AA7"/>
    <w:rsid w:val="00086D2A"/>
    <w:rsid w:val="00087082"/>
    <w:rsid w:val="00087173"/>
    <w:rsid w:val="00090097"/>
    <w:rsid w:val="000901E0"/>
    <w:rsid w:val="00090509"/>
    <w:rsid w:val="00090B00"/>
    <w:rsid w:val="0009116A"/>
    <w:rsid w:val="0009162B"/>
    <w:rsid w:val="0009168D"/>
    <w:rsid w:val="000918E1"/>
    <w:rsid w:val="00091BB6"/>
    <w:rsid w:val="000924D4"/>
    <w:rsid w:val="00092A00"/>
    <w:rsid w:val="00092E25"/>
    <w:rsid w:val="0009304C"/>
    <w:rsid w:val="00093632"/>
    <w:rsid w:val="00093A61"/>
    <w:rsid w:val="000943AD"/>
    <w:rsid w:val="00094D90"/>
    <w:rsid w:val="000950E2"/>
    <w:rsid w:val="000952AC"/>
    <w:rsid w:val="00096F29"/>
    <w:rsid w:val="00097D33"/>
    <w:rsid w:val="000A0DEE"/>
    <w:rsid w:val="000A124A"/>
    <w:rsid w:val="000A1286"/>
    <w:rsid w:val="000A1A1E"/>
    <w:rsid w:val="000A2238"/>
    <w:rsid w:val="000A3257"/>
    <w:rsid w:val="000A375F"/>
    <w:rsid w:val="000A3C93"/>
    <w:rsid w:val="000A47A9"/>
    <w:rsid w:val="000A5424"/>
    <w:rsid w:val="000A5BCD"/>
    <w:rsid w:val="000A5DAB"/>
    <w:rsid w:val="000A5E1C"/>
    <w:rsid w:val="000A61F5"/>
    <w:rsid w:val="000A64A9"/>
    <w:rsid w:val="000A7188"/>
    <w:rsid w:val="000A7491"/>
    <w:rsid w:val="000A75A9"/>
    <w:rsid w:val="000A7F19"/>
    <w:rsid w:val="000B0030"/>
    <w:rsid w:val="000B0335"/>
    <w:rsid w:val="000B0C70"/>
    <w:rsid w:val="000B172C"/>
    <w:rsid w:val="000B1928"/>
    <w:rsid w:val="000B1DC0"/>
    <w:rsid w:val="000B25E3"/>
    <w:rsid w:val="000B2D76"/>
    <w:rsid w:val="000B2E84"/>
    <w:rsid w:val="000B34B6"/>
    <w:rsid w:val="000B41FF"/>
    <w:rsid w:val="000B4FCF"/>
    <w:rsid w:val="000B5802"/>
    <w:rsid w:val="000B6E57"/>
    <w:rsid w:val="000B6EEC"/>
    <w:rsid w:val="000B7727"/>
    <w:rsid w:val="000B7995"/>
    <w:rsid w:val="000B7A32"/>
    <w:rsid w:val="000B7A85"/>
    <w:rsid w:val="000B7FBD"/>
    <w:rsid w:val="000C06B2"/>
    <w:rsid w:val="000C0C99"/>
    <w:rsid w:val="000C1693"/>
    <w:rsid w:val="000C1ABC"/>
    <w:rsid w:val="000C2B84"/>
    <w:rsid w:val="000C32FD"/>
    <w:rsid w:val="000C4350"/>
    <w:rsid w:val="000C453A"/>
    <w:rsid w:val="000C4C6A"/>
    <w:rsid w:val="000C4DCB"/>
    <w:rsid w:val="000C4F00"/>
    <w:rsid w:val="000C5C80"/>
    <w:rsid w:val="000C6098"/>
    <w:rsid w:val="000C612F"/>
    <w:rsid w:val="000C725C"/>
    <w:rsid w:val="000C7293"/>
    <w:rsid w:val="000C751E"/>
    <w:rsid w:val="000C7605"/>
    <w:rsid w:val="000C7C28"/>
    <w:rsid w:val="000D0650"/>
    <w:rsid w:val="000D0C0C"/>
    <w:rsid w:val="000D0D4A"/>
    <w:rsid w:val="000D121F"/>
    <w:rsid w:val="000D15C9"/>
    <w:rsid w:val="000D3308"/>
    <w:rsid w:val="000D34F9"/>
    <w:rsid w:val="000D36E5"/>
    <w:rsid w:val="000D45B5"/>
    <w:rsid w:val="000D4A57"/>
    <w:rsid w:val="000D5325"/>
    <w:rsid w:val="000D5B30"/>
    <w:rsid w:val="000D6419"/>
    <w:rsid w:val="000D6933"/>
    <w:rsid w:val="000D74E8"/>
    <w:rsid w:val="000D7C2D"/>
    <w:rsid w:val="000D7DD7"/>
    <w:rsid w:val="000E0DB0"/>
    <w:rsid w:val="000E0DED"/>
    <w:rsid w:val="000E0E76"/>
    <w:rsid w:val="000E15F4"/>
    <w:rsid w:val="000E1B3C"/>
    <w:rsid w:val="000E1C03"/>
    <w:rsid w:val="000E1C8E"/>
    <w:rsid w:val="000E1CF6"/>
    <w:rsid w:val="000E27F8"/>
    <w:rsid w:val="000E2A18"/>
    <w:rsid w:val="000E37FC"/>
    <w:rsid w:val="000E394E"/>
    <w:rsid w:val="000E4344"/>
    <w:rsid w:val="000E462D"/>
    <w:rsid w:val="000E4B0D"/>
    <w:rsid w:val="000E5A95"/>
    <w:rsid w:val="000E5BF1"/>
    <w:rsid w:val="000E6804"/>
    <w:rsid w:val="000E70CA"/>
    <w:rsid w:val="000E7505"/>
    <w:rsid w:val="000F01D3"/>
    <w:rsid w:val="000F0426"/>
    <w:rsid w:val="000F15A1"/>
    <w:rsid w:val="000F15B9"/>
    <w:rsid w:val="000F1624"/>
    <w:rsid w:val="000F1710"/>
    <w:rsid w:val="000F1BB3"/>
    <w:rsid w:val="000F34FB"/>
    <w:rsid w:val="000F3E1D"/>
    <w:rsid w:val="000F3F81"/>
    <w:rsid w:val="000F4DF8"/>
    <w:rsid w:val="000F6F1C"/>
    <w:rsid w:val="000F7391"/>
    <w:rsid w:val="000F75C8"/>
    <w:rsid w:val="000F7674"/>
    <w:rsid w:val="000F7950"/>
    <w:rsid w:val="001003C1"/>
    <w:rsid w:val="00100BF5"/>
    <w:rsid w:val="00101130"/>
    <w:rsid w:val="001020BA"/>
    <w:rsid w:val="00103123"/>
    <w:rsid w:val="001038D4"/>
    <w:rsid w:val="001042DB"/>
    <w:rsid w:val="00105D4A"/>
    <w:rsid w:val="00105D51"/>
    <w:rsid w:val="001069AA"/>
    <w:rsid w:val="00106FA9"/>
    <w:rsid w:val="001073CD"/>
    <w:rsid w:val="00107A40"/>
    <w:rsid w:val="00107CB6"/>
    <w:rsid w:val="00107EE0"/>
    <w:rsid w:val="00110300"/>
    <w:rsid w:val="0011061D"/>
    <w:rsid w:val="00110C95"/>
    <w:rsid w:val="001112A6"/>
    <w:rsid w:val="00111450"/>
    <w:rsid w:val="00111B53"/>
    <w:rsid w:val="00111CD3"/>
    <w:rsid w:val="00111DF7"/>
    <w:rsid w:val="001122E0"/>
    <w:rsid w:val="0011255A"/>
    <w:rsid w:val="001135C8"/>
    <w:rsid w:val="00114109"/>
    <w:rsid w:val="00114F72"/>
    <w:rsid w:val="001154FE"/>
    <w:rsid w:val="001162C7"/>
    <w:rsid w:val="0011716C"/>
    <w:rsid w:val="00117A88"/>
    <w:rsid w:val="00117D91"/>
    <w:rsid w:val="00120BD8"/>
    <w:rsid w:val="001213C5"/>
    <w:rsid w:val="001214BC"/>
    <w:rsid w:val="0012160A"/>
    <w:rsid w:val="00121F24"/>
    <w:rsid w:val="00122194"/>
    <w:rsid w:val="00122310"/>
    <w:rsid w:val="0012259D"/>
    <w:rsid w:val="00122686"/>
    <w:rsid w:val="0012278B"/>
    <w:rsid w:val="0012297E"/>
    <w:rsid w:val="00123161"/>
    <w:rsid w:val="00123A21"/>
    <w:rsid w:val="00124937"/>
    <w:rsid w:val="00124BD9"/>
    <w:rsid w:val="00124C10"/>
    <w:rsid w:val="001258D3"/>
    <w:rsid w:val="00125F34"/>
    <w:rsid w:val="001266D4"/>
    <w:rsid w:val="001267C9"/>
    <w:rsid w:val="00126B7D"/>
    <w:rsid w:val="00127A01"/>
    <w:rsid w:val="001307FB"/>
    <w:rsid w:val="00131769"/>
    <w:rsid w:val="00131D0E"/>
    <w:rsid w:val="00131D12"/>
    <w:rsid w:val="001321B4"/>
    <w:rsid w:val="001323A7"/>
    <w:rsid w:val="001329E0"/>
    <w:rsid w:val="00132FFB"/>
    <w:rsid w:val="0013320B"/>
    <w:rsid w:val="0013440A"/>
    <w:rsid w:val="00134BAF"/>
    <w:rsid w:val="00134C74"/>
    <w:rsid w:val="0013527C"/>
    <w:rsid w:val="001354B4"/>
    <w:rsid w:val="00135973"/>
    <w:rsid w:val="00135B37"/>
    <w:rsid w:val="001360B2"/>
    <w:rsid w:val="001363E9"/>
    <w:rsid w:val="001368B8"/>
    <w:rsid w:val="00136FB6"/>
    <w:rsid w:val="00137151"/>
    <w:rsid w:val="001371D7"/>
    <w:rsid w:val="001378C8"/>
    <w:rsid w:val="00137B6C"/>
    <w:rsid w:val="00137BE1"/>
    <w:rsid w:val="00137FEF"/>
    <w:rsid w:val="00140407"/>
    <w:rsid w:val="00140959"/>
    <w:rsid w:val="001410A3"/>
    <w:rsid w:val="001418DD"/>
    <w:rsid w:val="001423CE"/>
    <w:rsid w:val="00142F11"/>
    <w:rsid w:val="001448E8"/>
    <w:rsid w:val="00144C33"/>
    <w:rsid w:val="00144DE6"/>
    <w:rsid w:val="00144F1F"/>
    <w:rsid w:val="00145E49"/>
    <w:rsid w:val="00145F0A"/>
    <w:rsid w:val="0014640F"/>
    <w:rsid w:val="0014698C"/>
    <w:rsid w:val="00147009"/>
    <w:rsid w:val="00147366"/>
    <w:rsid w:val="0014767D"/>
    <w:rsid w:val="00147843"/>
    <w:rsid w:val="00147DBD"/>
    <w:rsid w:val="001506F8"/>
    <w:rsid w:val="001509E9"/>
    <w:rsid w:val="00151165"/>
    <w:rsid w:val="001518A3"/>
    <w:rsid w:val="00151A67"/>
    <w:rsid w:val="00151B53"/>
    <w:rsid w:val="0015211F"/>
    <w:rsid w:val="00152AEC"/>
    <w:rsid w:val="00152BFF"/>
    <w:rsid w:val="00153CDD"/>
    <w:rsid w:val="0015436C"/>
    <w:rsid w:val="00154422"/>
    <w:rsid w:val="00154ECE"/>
    <w:rsid w:val="00155025"/>
    <w:rsid w:val="001550D9"/>
    <w:rsid w:val="00155614"/>
    <w:rsid w:val="00155D14"/>
    <w:rsid w:val="00156A45"/>
    <w:rsid w:val="00157255"/>
    <w:rsid w:val="001576A0"/>
    <w:rsid w:val="00157997"/>
    <w:rsid w:val="00157C32"/>
    <w:rsid w:val="0016091B"/>
    <w:rsid w:val="00160A38"/>
    <w:rsid w:val="00160B79"/>
    <w:rsid w:val="00161277"/>
    <w:rsid w:val="0016168E"/>
    <w:rsid w:val="00162407"/>
    <w:rsid w:val="00162C3E"/>
    <w:rsid w:val="00162E08"/>
    <w:rsid w:val="00163F88"/>
    <w:rsid w:val="001641AE"/>
    <w:rsid w:val="0016447E"/>
    <w:rsid w:val="00164D31"/>
    <w:rsid w:val="00165214"/>
    <w:rsid w:val="001653A7"/>
    <w:rsid w:val="00165553"/>
    <w:rsid w:val="001655DE"/>
    <w:rsid w:val="001656FB"/>
    <w:rsid w:val="00165729"/>
    <w:rsid w:val="00165777"/>
    <w:rsid w:val="00166086"/>
    <w:rsid w:val="00166DCD"/>
    <w:rsid w:val="001673CD"/>
    <w:rsid w:val="001701B8"/>
    <w:rsid w:val="00170C82"/>
    <w:rsid w:val="00170F55"/>
    <w:rsid w:val="00171039"/>
    <w:rsid w:val="00171DB8"/>
    <w:rsid w:val="001722D2"/>
    <w:rsid w:val="0017273B"/>
    <w:rsid w:val="00172A6C"/>
    <w:rsid w:val="001736CA"/>
    <w:rsid w:val="0017387F"/>
    <w:rsid w:val="00173A48"/>
    <w:rsid w:val="00173AE0"/>
    <w:rsid w:val="001744F4"/>
    <w:rsid w:val="00177DA9"/>
    <w:rsid w:val="00181087"/>
    <w:rsid w:val="001815FC"/>
    <w:rsid w:val="00182423"/>
    <w:rsid w:val="00182C3A"/>
    <w:rsid w:val="00182C7E"/>
    <w:rsid w:val="00182ECC"/>
    <w:rsid w:val="00182ED0"/>
    <w:rsid w:val="00183508"/>
    <w:rsid w:val="00183625"/>
    <w:rsid w:val="0018372B"/>
    <w:rsid w:val="00183CB0"/>
    <w:rsid w:val="00185228"/>
    <w:rsid w:val="001867BE"/>
    <w:rsid w:val="00187D30"/>
    <w:rsid w:val="00187E09"/>
    <w:rsid w:val="00187F84"/>
    <w:rsid w:val="001915DE"/>
    <w:rsid w:val="00191E34"/>
    <w:rsid w:val="001922B0"/>
    <w:rsid w:val="001926F0"/>
    <w:rsid w:val="00192754"/>
    <w:rsid w:val="001929A0"/>
    <w:rsid w:val="0019348C"/>
    <w:rsid w:val="00193B32"/>
    <w:rsid w:val="001944B2"/>
    <w:rsid w:val="001949E0"/>
    <w:rsid w:val="001950DD"/>
    <w:rsid w:val="001952CD"/>
    <w:rsid w:val="00195946"/>
    <w:rsid w:val="00195BB4"/>
    <w:rsid w:val="00196116"/>
    <w:rsid w:val="0019621C"/>
    <w:rsid w:val="001968FA"/>
    <w:rsid w:val="00196C0E"/>
    <w:rsid w:val="00197948"/>
    <w:rsid w:val="00197D2B"/>
    <w:rsid w:val="00197E5A"/>
    <w:rsid w:val="001A041A"/>
    <w:rsid w:val="001A0448"/>
    <w:rsid w:val="001A0932"/>
    <w:rsid w:val="001A0F95"/>
    <w:rsid w:val="001A1CC6"/>
    <w:rsid w:val="001A1E46"/>
    <w:rsid w:val="001A1F90"/>
    <w:rsid w:val="001A2154"/>
    <w:rsid w:val="001A2303"/>
    <w:rsid w:val="001A25BE"/>
    <w:rsid w:val="001A27CB"/>
    <w:rsid w:val="001A35B1"/>
    <w:rsid w:val="001A3BD1"/>
    <w:rsid w:val="001A3C64"/>
    <w:rsid w:val="001A42C3"/>
    <w:rsid w:val="001A48CF"/>
    <w:rsid w:val="001A4D2F"/>
    <w:rsid w:val="001A5843"/>
    <w:rsid w:val="001A5A5E"/>
    <w:rsid w:val="001A5EF0"/>
    <w:rsid w:val="001A601E"/>
    <w:rsid w:val="001A6208"/>
    <w:rsid w:val="001A64F8"/>
    <w:rsid w:val="001A7958"/>
    <w:rsid w:val="001A79FB"/>
    <w:rsid w:val="001B02C5"/>
    <w:rsid w:val="001B08B4"/>
    <w:rsid w:val="001B0CA5"/>
    <w:rsid w:val="001B0EA7"/>
    <w:rsid w:val="001B1480"/>
    <w:rsid w:val="001B1AFB"/>
    <w:rsid w:val="001B23CD"/>
    <w:rsid w:val="001B2D6D"/>
    <w:rsid w:val="001B384C"/>
    <w:rsid w:val="001B4739"/>
    <w:rsid w:val="001B4DF1"/>
    <w:rsid w:val="001B4F2C"/>
    <w:rsid w:val="001B62E4"/>
    <w:rsid w:val="001B66B4"/>
    <w:rsid w:val="001B7ECF"/>
    <w:rsid w:val="001C0176"/>
    <w:rsid w:val="001C0EF1"/>
    <w:rsid w:val="001C1952"/>
    <w:rsid w:val="001C1F3C"/>
    <w:rsid w:val="001C3271"/>
    <w:rsid w:val="001C344D"/>
    <w:rsid w:val="001C3950"/>
    <w:rsid w:val="001C3A56"/>
    <w:rsid w:val="001C3DD1"/>
    <w:rsid w:val="001C3F67"/>
    <w:rsid w:val="001C42AC"/>
    <w:rsid w:val="001C487C"/>
    <w:rsid w:val="001C5320"/>
    <w:rsid w:val="001C558D"/>
    <w:rsid w:val="001C57F9"/>
    <w:rsid w:val="001C5ED2"/>
    <w:rsid w:val="001C6757"/>
    <w:rsid w:val="001C716E"/>
    <w:rsid w:val="001C779A"/>
    <w:rsid w:val="001D03A8"/>
    <w:rsid w:val="001D05F0"/>
    <w:rsid w:val="001D0E7A"/>
    <w:rsid w:val="001D1103"/>
    <w:rsid w:val="001D163C"/>
    <w:rsid w:val="001D1ACB"/>
    <w:rsid w:val="001D2C9B"/>
    <w:rsid w:val="001D2D48"/>
    <w:rsid w:val="001D32D1"/>
    <w:rsid w:val="001D3455"/>
    <w:rsid w:val="001D37E1"/>
    <w:rsid w:val="001D3B03"/>
    <w:rsid w:val="001D3C4B"/>
    <w:rsid w:val="001D4616"/>
    <w:rsid w:val="001D472C"/>
    <w:rsid w:val="001D4D83"/>
    <w:rsid w:val="001D5251"/>
    <w:rsid w:val="001D5258"/>
    <w:rsid w:val="001D528D"/>
    <w:rsid w:val="001D56B5"/>
    <w:rsid w:val="001D5A0F"/>
    <w:rsid w:val="001D60C5"/>
    <w:rsid w:val="001D6B25"/>
    <w:rsid w:val="001D7C8E"/>
    <w:rsid w:val="001E02F7"/>
    <w:rsid w:val="001E0502"/>
    <w:rsid w:val="001E104E"/>
    <w:rsid w:val="001E1423"/>
    <w:rsid w:val="001E15CC"/>
    <w:rsid w:val="001E1B15"/>
    <w:rsid w:val="001E24AE"/>
    <w:rsid w:val="001E29B9"/>
    <w:rsid w:val="001E3BBB"/>
    <w:rsid w:val="001E3BF2"/>
    <w:rsid w:val="001E4195"/>
    <w:rsid w:val="001E4196"/>
    <w:rsid w:val="001E46BF"/>
    <w:rsid w:val="001E4EE9"/>
    <w:rsid w:val="001E5404"/>
    <w:rsid w:val="001E58EF"/>
    <w:rsid w:val="001E5D1C"/>
    <w:rsid w:val="001E5E04"/>
    <w:rsid w:val="001E6588"/>
    <w:rsid w:val="001E6BF5"/>
    <w:rsid w:val="001F035E"/>
    <w:rsid w:val="001F073C"/>
    <w:rsid w:val="001F07C9"/>
    <w:rsid w:val="001F0AE2"/>
    <w:rsid w:val="001F1A44"/>
    <w:rsid w:val="001F2DBA"/>
    <w:rsid w:val="001F3367"/>
    <w:rsid w:val="001F4217"/>
    <w:rsid w:val="001F4A6B"/>
    <w:rsid w:val="001F5558"/>
    <w:rsid w:val="001F5DC2"/>
    <w:rsid w:val="001F7127"/>
    <w:rsid w:val="001F7503"/>
    <w:rsid w:val="001F79AE"/>
    <w:rsid w:val="001F7B19"/>
    <w:rsid w:val="001F7C24"/>
    <w:rsid w:val="00200456"/>
    <w:rsid w:val="0020079D"/>
    <w:rsid w:val="0020080B"/>
    <w:rsid w:val="00201A14"/>
    <w:rsid w:val="00202104"/>
    <w:rsid w:val="0020210F"/>
    <w:rsid w:val="002027CA"/>
    <w:rsid w:val="00202A58"/>
    <w:rsid w:val="0020315A"/>
    <w:rsid w:val="0020324A"/>
    <w:rsid w:val="0020376C"/>
    <w:rsid w:val="0020382C"/>
    <w:rsid w:val="00203AEE"/>
    <w:rsid w:val="00203BFC"/>
    <w:rsid w:val="00204192"/>
    <w:rsid w:val="002056AB"/>
    <w:rsid w:val="00206444"/>
    <w:rsid w:val="0020661A"/>
    <w:rsid w:val="002068BE"/>
    <w:rsid w:val="00207313"/>
    <w:rsid w:val="00207BEB"/>
    <w:rsid w:val="002102F0"/>
    <w:rsid w:val="002104C9"/>
    <w:rsid w:val="00211553"/>
    <w:rsid w:val="002115CB"/>
    <w:rsid w:val="002118E9"/>
    <w:rsid w:val="00212E53"/>
    <w:rsid w:val="00213579"/>
    <w:rsid w:val="00213F7C"/>
    <w:rsid w:val="00214713"/>
    <w:rsid w:val="00214B02"/>
    <w:rsid w:val="00214F07"/>
    <w:rsid w:val="00215441"/>
    <w:rsid w:val="0021568E"/>
    <w:rsid w:val="00215A78"/>
    <w:rsid w:val="00215EEA"/>
    <w:rsid w:val="002160BF"/>
    <w:rsid w:val="00216147"/>
    <w:rsid w:val="00216EF6"/>
    <w:rsid w:val="0022019F"/>
    <w:rsid w:val="002201E3"/>
    <w:rsid w:val="00220627"/>
    <w:rsid w:val="00221318"/>
    <w:rsid w:val="00221BCD"/>
    <w:rsid w:val="00221E6E"/>
    <w:rsid w:val="00222606"/>
    <w:rsid w:val="00222B1F"/>
    <w:rsid w:val="00222DE8"/>
    <w:rsid w:val="00223084"/>
    <w:rsid w:val="002237C1"/>
    <w:rsid w:val="00223AD0"/>
    <w:rsid w:val="00223E70"/>
    <w:rsid w:val="00224175"/>
    <w:rsid w:val="002243B7"/>
    <w:rsid w:val="0022490A"/>
    <w:rsid w:val="00225119"/>
    <w:rsid w:val="002257C8"/>
    <w:rsid w:val="00225AF8"/>
    <w:rsid w:val="00226199"/>
    <w:rsid w:val="00227048"/>
    <w:rsid w:val="00227854"/>
    <w:rsid w:val="00227E5B"/>
    <w:rsid w:val="0023056D"/>
    <w:rsid w:val="00230A66"/>
    <w:rsid w:val="00231218"/>
    <w:rsid w:val="00232004"/>
    <w:rsid w:val="00233C63"/>
    <w:rsid w:val="00233C64"/>
    <w:rsid w:val="00233E2D"/>
    <w:rsid w:val="00235241"/>
    <w:rsid w:val="00235891"/>
    <w:rsid w:val="00236544"/>
    <w:rsid w:val="002370A6"/>
    <w:rsid w:val="0023796A"/>
    <w:rsid w:val="00237F46"/>
    <w:rsid w:val="00240A65"/>
    <w:rsid w:val="00240EB5"/>
    <w:rsid w:val="002410F8"/>
    <w:rsid w:val="0024112A"/>
    <w:rsid w:val="0024171A"/>
    <w:rsid w:val="00241C9A"/>
    <w:rsid w:val="00242827"/>
    <w:rsid w:val="00243ED6"/>
    <w:rsid w:val="002447C1"/>
    <w:rsid w:val="00244A44"/>
    <w:rsid w:val="00244DA0"/>
    <w:rsid w:val="002453C3"/>
    <w:rsid w:val="00245B81"/>
    <w:rsid w:val="00246D93"/>
    <w:rsid w:val="00246F35"/>
    <w:rsid w:val="00247090"/>
    <w:rsid w:val="002472A7"/>
    <w:rsid w:val="00247C3C"/>
    <w:rsid w:val="00250174"/>
    <w:rsid w:val="00250AFD"/>
    <w:rsid w:val="00250E4C"/>
    <w:rsid w:val="0025186E"/>
    <w:rsid w:val="00251DC5"/>
    <w:rsid w:val="002522C7"/>
    <w:rsid w:val="002528DD"/>
    <w:rsid w:val="00253256"/>
    <w:rsid w:val="002537FB"/>
    <w:rsid w:val="00254962"/>
    <w:rsid w:val="00254ADA"/>
    <w:rsid w:val="00254B4C"/>
    <w:rsid w:val="00254E23"/>
    <w:rsid w:val="0025662E"/>
    <w:rsid w:val="00256773"/>
    <w:rsid w:val="002569C2"/>
    <w:rsid w:val="00256C14"/>
    <w:rsid w:val="00257968"/>
    <w:rsid w:val="002608F8"/>
    <w:rsid w:val="00260928"/>
    <w:rsid w:val="002618C1"/>
    <w:rsid w:val="00261A28"/>
    <w:rsid w:val="00262B74"/>
    <w:rsid w:val="0026338E"/>
    <w:rsid w:val="00263672"/>
    <w:rsid w:val="00263B7C"/>
    <w:rsid w:val="00264D6D"/>
    <w:rsid w:val="00265083"/>
    <w:rsid w:val="002651CB"/>
    <w:rsid w:val="002651E7"/>
    <w:rsid w:val="002663D4"/>
    <w:rsid w:val="00266E50"/>
    <w:rsid w:val="00266F6B"/>
    <w:rsid w:val="002671C4"/>
    <w:rsid w:val="00267C84"/>
    <w:rsid w:val="00270100"/>
    <w:rsid w:val="00270555"/>
    <w:rsid w:val="0027154C"/>
    <w:rsid w:val="00271CAE"/>
    <w:rsid w:val="00273488"/>
    <w:rsid w:val="00273ADD"/>
    <w:rsid w:val="00274098"/>
    <w:rsid w:val="00274E6B"/>
    <w:rsid w:val="0027501C"/>
    <w:rsid w:val="0027513F"/>
    <w:rsid w:val="002760AB"/>
    <w:rsid w:val="002774BC"/>
    <w:rsid w:val="00277E4D"/>
    <w:rsid w:val="0028007B"/>
    <w:rsid w:val="00281271"/>
    <w:rsid w:val="00281580"/>
    <w:rsid w:val="00281916"/>
    <w:rsid w:val="00282903"/>
    <w:rsid w:val="00282B50"/>
    <w:rsid w:val="00282BAD"/>
    <w:rsid w:val="00282EB1"/>
    <w:rsid w:val="00282F58"/>
    <w:rsid w:val="0028332D"/>
    <w:rsid w:val="00283485"/>
    <w:rsid w:val="002834EF"/>
    <w:rsid w:val="002836C6"/>
    <w:rsid w:val="00283F42"/>
    <w:rsid w:val="002857D9"/>
    <w:rsid w:val="00285AFF"/>
    <w:rsid w:val="00285EDD"/>
    <w:rsid w:val="00286065"/>
    <w:rsid w:val="002863EA"/>
    <w:rsid w:val="00286797"/>
    <w:rsid w:val="0028768A"/>
    <w:rsid w:val="002900FC"/>
    <w:rsid w:val="00290100"/>
    <w:rsid w:val="00290EE7"/>
    <w:rsid w:val="00291B07"/>
    <w:rsid w:val="002920D7"/>
    <w:rsid w:val="002926B2"/>
    <w:rsid w:val="00292AE0"/>
    <w:rsid w:val="00292C44"/>
    <w:rsid w:val="002930E1"/>
    <w:rsid w:val="00293288"/>
    <w:rsid w:val="002935BA"/>
    <w:rsid w:val="002936C4"/>
    <w:rsid w:val="00293B07"/>
    <w:rsid w:val="002950BB"/>
    <w:rsid w:val="0029510B"/>
    <w:rsid w:val="00295814"/>
    <w:rsid w:val="00295E76"/>
    <w:rsid w:val="00295E85"/>
    <w:rsid w:val="00295F00"/>
    <w:rsid w:val="00296006"/>
    <w:rsid w:val="002967EB"/>
    <w:rsid w:val="002969AD"/>
    <w:rsid w:val="00296C1A"/>
    <w:rsid w:val="00296D91"/>
    <w:rsid w:val="002970EE"/>
    <w:rsid w:val="002971CD"/>
    <w:rsid w:val="00297670"/>
    <w:rsid w:val="00297726"/>
    <w:rsid w:val="00297A4E"/>
    <w:rsid w:val="00297B47"/>
    <w:rsid w:val="00297E9F"/>
    <w:rsid w:val="002A0ADF"/>
    <w:rsid w:val="002A0DF6"/>
    <w:rsid w:val="002A1032"/>
    <w:rsid w:val="002A254F"/>
    <w:rsid w:val="002A2B18"/>
    <w:rsid w:val="002A3236"/>
    <w:rsid w:val="002A3481"/>
    <w:rsid w:val="002A3807"/>
    <w:rsid w:val="002A3F6A"/>
    <w:rsid w:val="002A48F4"/>
    <w:rsid w:val="002A49AE"/>
    <w:rsid w:val="002A4A19"/>
    <w:rsid w:val="002A5456"/>
    <w:rsid w:val="002A5F2C"/>
    <w:rsid w:val="002A6C3B"/>
    <w:rsid w:val="002A71CE"/>
    <w:rsid w:val="002A7671"/>
    <w:rsid w:val="002B03F4"/>
    <w:rsid w:val="002B0555"/>
    <w:rsid w:val="002B0B34"/>
    <w:rsid w:val="002B11E6"/>
    <w:rsid w:val="002B1626"/>
    <w:rsid w:val="002B1ACA"/>
    <w:rsid w:val="002B24A7"/>
    <w:rsid w:val="002B3710"/>
    <w:rsid w:val="002B41E8"/>
    <w:rsid w:val="002B5527"/>
    <w:rsid w:val="002B5D0B"/>
    <w:rsid w:val="002B646F"/>
    <w:rsid w:val="002B6BF2"/>
    <w:rsid w:val="002B6F41"/>
    <w:rsid w:val="002B7845"/>
    <w:rsid w:val="002B7C77"/>
    <w:rsid w:val="002C047C"/>
    <w:rsid w:val="002C120A"/>
    <w:rsid w:val="002C1467"/>
    <w:rsid w:val="002C1C1E"/>
    <w:rsid w:val="002C2BC1"/>
    <w:rsid w:val="002C2BE2"/>
    <w:rsid w:val="002C30F4"/>
    <w:rsid w:val="002C32EC"/>
    <w:rsid w:val="002C3466"/>
    <w:rsid w:val="002C34B7"/>
    <w:rsid w:val="002C35A8"/>
    <w:rsid w:val="002C372D"/>
    <w:rsid w:val="002C3AAB"/>
    <w:rsid w:val="002C4206"/>
    <w:rsid w:val="002C4830"/>
    <w:rsid w:val="002C5310"/>
    <w:rsid w:val="002C53A5"/>
    <w:rsid w:val="002C54B6"/>
    <w:rsid w:val="002C5544"/>
    <w:rsid w:val="002C5800"/>
    <w:rsid w:val="002C59BD"/>
    <w:rsid w:val="002C6786"/>
    <w:rsid w:val="002C6AFE"/>
    <w:rsid w:val="002C7170"/>
    <w:rsid w:val="002C7462"/>
    <w:rsid w:val="002C7B7F"/>
    <w:rsid w:val="002D10A1"/>
    <w:rsid w:val="002D1822"/>
    <w:rsid w:val="002D18BF"/>
    <w:rsid w:val="002D21C4"/>
    <w:rsid w:val="002D30FC"/>
    <w:rsid w:val="002D38F8"/>
    <w:rsid w:val="002D4102"/>
    <w:rsid w:val="002D47FE"/>
    <w:rsid w:val="002D492B"/>
    <w:rsid w:val="002D4A16"/>
    <w:rsid w:val="002D4E61"/>
    <w:rsid w:val="002D5728"/>
    <w:rsid w:val="002D58AC"/>
    <w:rsid w:val="002D59DE"/>
    <w:rsid w:val="002D5C28"/>
    <w:rsid w:val="002D5CE0"/>
    <w:rsid w:val="002D681A"/>
    <w:rsid w:val="002D6843"/>
    <w:rsid w:val="002D6921"/>
    <w:rsid w:val="002D7950"/>
    <w:rsid w:val="002E06F0"/>
    <w:rsid w:val="002E071B"/>
    <w:rsid w:val="002E0D55"/>
    <w:rsid w:val="002E0DA6"/>
    <w:rsid w:val="002E102F"/>
    <w:rsid w:val="002E1AA7"/>
    <w:rsid w:val="002E20E4"/>
    <w:rsid w:val="002E21A5"/>
    <w:rsid w:val="002E21F0"/>
    <w:rsid w:val="002E2BCE"/>
    <w:rsid w:val="002E32F7"/>
    <w:rsid w:val="002E3594"/>
    <w:rsid w:val="002E376C"/>
    <w:rsid w:val="002E3D08"/>
    <w:rsid w:val="002E49CA"/>
    <w:rsid w:val="002E5231"/>
    <w:rsid w:val="002E5399"/>
    <w:rsid w:val="002E55D4"/>
    <w:rsid w:val="002E6333"/>
    <w:rsid w:val="002E67CB"/>
    <w:rsid w:val="002E6C8A"/>
    <w:rsid w:val="002E71E1"/>
    <w:rsid w:val="002E7565"/>
    <w:rsid w:val="002E7F84"/>
    <w:rsid w:val="002F0F45"/>
    <w:rsid w:val="002F1304"/>
    <w:rsid w:val="002F16FA"/>
    <w:rsid w:val="002F1874"/>
    <w:rsid w:val="002F1D10"/>
    <w:rsid w:val="002F1D53"/>
    <w:rsid w:val="002F239B"/>
    <w:rsid w:val="002F2929"/>
    <w:rsid w:val="002F295D"/>
    <w:rsid w:val="002F2EE4"/>
    <w:rsid w:val="002F3089"/>
    <w:rsid w:val="002F34EC"/>
    <w:rsid w:val="002F38F8"/>
    <w:rsid w:val="002F40FE"/>
    <w:rsid w:val="002F4E6C"/>
    <w:rsid w:val="002F5496"/>
    <w:rsid w:val="002F66A8"/>
    <w:rsid w:val="002F69BB"/>
    <w:rsid w:val="002F6A6B"/>
    <w:rsid w:val="002F6BF5"/>
    <w:rsid w:val="002F6E93"/>
    <w:rsid w:val="002F7578"/>
    <w:rsid w:val="002F75C7"/>
    <w:rsid w:val="002F760B"/>
    <w:rsid w:val="002F77A7"/>
    <w:rsid w:val="002F7DEF"/>
    <w:rsid w:val="00300062"/>
    <w:rsid w:val="00300134"/>
    <w:rsid w:val="00302E80"/>
    <w:rsid w:val="00303C93"/>
    <w:rsid w:val="00303FDE"/>
    <w:rsid w:val="00304093"/>
    <w:rsid w:val="003045D2"/>
    <w:rsid w:val="003047FA"/>
    <w:rsid w:val="003056AC"/>
    <w:rsid w:val="00305B1E"/>
    <w:rsid w:val="00305EE4"/>
    <w:rsid w:val="00310402"/>
    <w:rsid w:val="00310D6C"/>
    <w:rsid w:val="00310E39"/>
    <w:rsid w:val="003111C8"/>
    <w:rsid w:val="00311E28"/>
    <w:rsid w:val="00312E13"/>
    <w:rsid w:val="003131A1"/>
    <w:rsid w:val="003131F9"/>
    <w:rsid w:val="00313C23"/>
    <w:rsid w:val="003146F5"/>
    <w:rsid w:val="00314D4F"/>
    <w:rsid w:val="00315BAF"/>
    <w:rsid w:val="00315EDF"/>
    <w:rsid w:val="003168B3"/>
    <w:rsid w:val="00316A5D"/>
    <w:rsid w:val="00316DF5"/>
    <w:rsid w:val="00316F56"/>
    <w:rsid w:val="003171A4"/>
    <w:rsid w:val="003205FE"/>
    <w:rsid w:val="00320FD3"/>
    <w:rsid w:val="00321644"/>
    <w:rsid w:val="00321CB7"/>
    <w:rsid w:val="003222E2"/>
    <w:rsid w:val="00323C18"/>
    <w:rsid w:val="00323E6E"/>
    <w:rsid w:val="00324158"/>
    <w:rsid w:val="00324171"/>
    <w:rsid w:val="0032443C"/>
    <w:rsid w:val="00324D1A"/>
    <w:rsid w:val="00324F9E"/>
    <w:rsid w:val="00325F22"/>
    <w:rsid w:val="00326FBB"/>
    <w:rsid w:val="003300FC"/>
    <w:rsid w:val="00330875"/>
    <w:rsid w:val="00330C66"/>
    <w:rsid w:val="00330F15"/>
    <w:rsid w:val="00331113"/>
    <w:rsid w:val="0033127C"/>
    <w:rsid w:val="003315B2"/>
    <w:rsid w:val="00332416"/>
    <w:rsid w:val="00332456"/>
    <w:rsid w:val="0033286F"/>
    <w:rsid w:val="00332E89"/>
    <w:rsid w:val="00332FF1"/>
    <w:rsid w:val="00333690"/>
    <w:rsid w:val="00333A4E"/>
    <w:rsid w:val="00333C57"/>
    <w:rsid w:val="00334167"/>
    <w:rsid w:val="0033493E"/>
    <w:rsid w:val="00334B56"/>
    <w:rsid w:val="00334F16"/>
    <w:rsid w:val="003353EB"/>
    <w:rsid w:val="003354E6"/>
    <w:rsid w:val="00335A60"/>
    <w:rsid w:val="0033705D"/>
    <w:rsid w:val="003371E8"/>
    <w:rsid w:val="00340DE6"/>
    <w:rsid w:val="00341171"/>
    <w:rsid w:val="003411C9"/>
    <w:rsid w:val="003414DC"/>
    <w:rsid w:val="0034244F"/>
    <w:rsid w:val="0034364E"/>
    <w:rsid w:val="00343707"/>
    <w:rsid w:val="00345165"/>
    <w:rsid w:val="0034517A"/>
    <w:rsid w:val="00345880"/>
    <w:rsid w:val="00345DE9"/>
    <w:rsid w:val="00346202"/>
    <w:rsid w:val="003463FD"/>
    <w:rsid w:val="00346E0C"/>
    <w:rsid w:val="00347027"/>
    <w:rsid w:val="00347180"/>
    <w:rsid w:val="003476FA"/>
    <w:rsid w:val="00347F0B"/>
    <w:rsid w:val="00347F7D"/>
    <w:rsid w:val="00350866"/>
    <w:rsid w:val="00350B0C"/>
    <w:rsid w:val="0035162E"/>
    <w:rsid w:val="00351A61"/>
    <w:rsid w:val="00351EE3"/>
    <w:rsid w:val="00352652"/>
    <w:rsid w:val="00352BF6"/>
    <w:rsid w:val="00353448"/>
    <w:rsid w:val="00353BBE"/>
    <w:rsid w:val="00354A29"/>
    <w:rsid w:val="00354F19"/>
    <w:rsid w:val="0035503A"/>
    <w:rsid w:val="00355317"/>
    <w:rsid w:val="003559AE"/>
    <w:rsid w:val="00355E8F"/>
    <w:rsid w:val="00356256"/>
    <w:rsid w:val="00356514"/>
    <w:rsid w:val="00356D2F"/>
    <w:rsid w:val="0035729C"/>
    <w:rsid w:val="00357365"/>
    <w:rsid w:val="00357AF4"/>
    <w:rsid w:val="00357F8C"/>
    <w:rsid w:val="00360027"/>
    <w:rsid w:val="00360448"/>
    <w:rsid w:val="0036115B"/>
    <w:rsid w:val="003611FA"/>
    <w:rsid w:val="003615C8"/>
    <w:rsid w:val="00361A64"/>
    <w:rsid w:val="003623F9"/>
    <w:rsid w:val="003625F5"/>
    <w:rsid w:val="00362632"/>
    <w:rsid w:val="00362D2A"/>
    <w:rsid w:val="00362E8E"/>
    <w:rsid w:val="003633E0"/>
    <w:rsid w:val="00363E78"/>
    <w:rsid w:val="00363E7D"/>
    <w:rsid w:val="00364136"/>
    <w:rsid w:val="003648F0"/>
    <w:rsid w:val="00365678"/>
    <w:rsid w:val="00365E47"/>
    <w:rsid w:val="00366209"/>
    <w:rsid w:val="003662D9"/>
    <w:rsid w:val="003667B4"/>
    <w:rsid w:val="00366CE0"/>
    <w:rsid w:val="00367345"/>
    <w:rsid w:val="00367572"/>
    <w:rsid w:val="00370634"/>
    <w:rsid w:val="00370B15"/>
    <w:rsid w:val="00371610"/>
    <w:rsid w:val="00371C81"/>
    <w:rsid w:val="00372128"/>
    <w:rsid w:val="003722C6"/>
    <w:rsid w:val="0037230C"/>
    <w:rsid w:val="00372A0B"/>
    <w:rsid w:val="0037423D"/>
    <w:rsid w:val="0037427E"/>
    <w:rsid w:val="00374C19"/>
    <w:rsid w:val="00375224"/>
    <w:rsid w:val="00375822"/>
    <w:rsid w:val="00377120"/>
    <w:rsid w:val="00377658"/>
    <w:rsid w:val="0037771E"/>
    <w:rsid w:val="00377BDA"/>
    <w:rsid w:val="00377F38"/>
    <w:rsid w:val="00377F8F"/>
    <w:rsid w:val="00380144"/>
    <w:rsid w:val="0038069B"/>
    <w:rsid w:val="00380CEA"/>
    <w:rsid w:val="00380E06"/>
    <w:rsid w:val="00381D39"/>
    <w:rsid w:val="003828C3"/>
    <w:rsid w:val="00382E4B"/>
    <w:rsid w:val="00383E80"/>
    <w:rsid w:val="0038489B"/>
    <w:rsid w:val="00384B36"/>
    <w:rsid w:val="00384D9B"/>
    <w:rsid w:val="00385006"/>
    <w:rsid w:val="00385DA3"/>
    <w:rsid w:val="003863BC"/>
    <w:rsid w:val="003902FC"/>
    <w:rsid w:val="00390495"/>
    <w:rsid w:val="00390743"/>
    <w:rsid w:val="0039128D"/>
    <w:rsid w:val="0039181F"/>
    <w:rsid w:val="00391C3E"/>
    <w:rsid w:val="00391D34"/>
    <w:rsid w:val="003923C1"/>
    <w:rsid w:val="003930F5"/>
    <w:rsid w:val="00393512"/>
    <w:rsid w:val="003936C1"/>
    <w:rsid w:val="00393FAA"/>
    <w:rsid w:val="00394055"/>
    <w:rsid w:val="00394157"/>
    <w:rsid w:val="0039440A"/>
    <w:rsid w:val="00394CB0"/>
    <w:rsid w:val="003955EF"/>
    <w:rsid w:val="00395989"/>
    <w:rsid w:val="003960E6"/>
    <w:rsid w:val="0039752B"/>
    <w:rsid w:val="003976AF"/>
    <w:rsid w:val="00397D35"/>
    <w:rsid w:val="003A056A"/>
    <w:rsid w:val="003A087B"/>
    <w:rsid w:val="003A2547"/>
    <w:rsid w:val="003A30B2"/>
    <w:rsid w:val="003A37B8"/>
    <w:rsid w:val="003A3C31"/>
    <w:rsid w:val="003A3C4E"/>
    <w:rsid w:val="003A3F88"/>
    <w:rsid w:val="003A4237"/>
    <w:rsid w:val="003A49C9"/>
    <w:rsid w:val="003A5F17"/>
    <w:rsid w:val="003A658C"/>
    <w:rsid w:val="003A79E0"/>
    <w:rsid w:val="003B000B"/>
    <w:rsid w:val="003B00E1"/>
    <w:rsid w:val="003B098C"/>
    <w:rsid w:val="003B0FF0"/>
    <w:rsid w:val="003B1CE1"/>
    <w:rsid w:val="003B1E95"/>
    <w:rsid w:val="003B23FC"/>
    <w:rsid w:val="003B25C7"/>
    <w:rsid w:val="003B405C"/>
    <w:rsid w:val="003B4641"/>
    <w:rsid w:val="003B4673"/>
    <w:rsid w:val="003B4C8C"/>
    <w:rsid w:val="003B4FD1"/>
    <w:rsid w:val="003B5571"/>
    <w:rsid w:val="003B560F"/>
    <w:rsid w:val="003B664E"/>
    <w:rsid w:val="003B7564"/>
    <w:rsid w:val="003B761A"/>
    <w:rsid w:val="003B779D"/>
    <w:rsid w:val="003B7CCF"/>
    <w:rsid w:val="003B7E40"/>
    <w:rsid w:val="003C02AD"/>
    <w:rsid w:val="003C046B"/>
    <w:rsid w:val="003C0E63"/>
    <w:rsid w:val="003C15CD"/>
    <w:rsid w:val="003C1633"/>
    <w:rsid w:val="003C187B"/>
    <w:rsid w:val="003C1AEA"/>
    <w:rsid w:val="003C2223"/>
    <w:rsid w:val="003C22A6"/>
    <w:rsid w:val="003C2BEA"/>
    <w:rsid w:val="003C3046"/>
    <w:rsid w:val="003C45AA"/>
    <w:rsid w:val="003C53A2"/>
    <w:rsid w:val="003C5713"/>
    <w:rsid w:val="003C5CC1"/>
    <w:rsid w:val="003C6EAD"/>
    <w:rsid w:val="003C7177"/>
    <w:rsid w:val="003C73D0"/>
    <w:rsid w:val="003C7AC3"/>
    <w:rsid w:val="003C7FF4"/>
    <w:rsid w:val="003D08EF"/>
    <w:rsid w:val="003D0DDC"/>
    <w:rsid w:val="003D15FD"/>
    <w:rsid w:val="003D24AB"/>
    <w:rsid w:val="003D2E20"/>
    <w:rsid w:val="003D2E79"/>
    <w:rsid w:val="003D3918"/>
    <w:rsid w:val="003D404A"/>
    <w:rsid w:val="003D46A0"/>
    <w:rsid w:val="003D4954"/>
    <w:rsid w:val="003D49EC"/>
    <w:rsid w:val="003D5420"/>
    <w:rsid w:val="003D66BA"/>
    <w:rsid w:val="003D7CD5"/>
    <w:rsid w:val="003D7F2B"/>
    <w:rsid w:val="003E14E7"/>
    <w:rsid w:val="003E1A82"/>
    <w:rsid w:val="003E260E"/>
    <w:rsid w:val="003E2B30"/>
    <w:rsid w:val="003E2D06"/>
    <w:rsid w:val="003E2E95"/>
    <w:rsid w:val="003E36A8"/>
    <w:rsid w:val="003E3AFC"/>
    <w:rsid w:val="003E47A8"/>
    <w:rsid w:val="003E4A94"/>
    <w:rsid w:val="003E5432"/>
    <w:rsid w:val="003E54BD"/>
    <w:rsid w:val="003E58D1"/>
    <w:rsid w:val="003E5C2C"/>
    <w:rsid w:val="003E5EF2"/>
    <w:rsid w:val="003E6E2C"/>
    <w:rsid w:val="003E7003"/>
    <w:rsid w:val="003E7C9B"/>
    <w:rsid w:val="003E7E47"/>
    <w:rsid w:val="003E7F34"/>
    <w:rsid w:val="003F08B1"/>
    <w:rsid w:val="003F0DC1"/>
    <w:rsid w:val="003F12A4"/>
    <w:rsid w:val="003F1C35"/>
    <w:rsid w:val="003F251C"/>
    <w:rsid w:val="003F270D"/>
    <w:rsid w:val="003F2AAA"/>
    <w:rsid w:val="003F2FC2"/>
    <w:rsid w:val="003F3405"/>
    <w:rsid w:val="003F5588"/>
    <w:rsid w:val="003F5948"/>
    <w:rsid w:val="003F5BD2"/>
    <w:rsid w:val="003F5F10"/>
    <w:rsid w:val="003F676D"/>
    <w:rsid w:val="003F6CEB"/>
    <w:rsid w:val="003F76EB"/>
    <w:rsid w:val="003F7E58"/>
    <w:rsid w:val="003F7EB1"/>
    <w:rsid w:val="0040043A"/>
    <w:rsid w:val="00400F43"/>
    <w:rsid w:val="00401120"/>
    <w:rsid w:val="004017B6"/>
    <w:rsid w:val="004017D5"/>
    <w:rsid w:val="00401C03"/>
    <w:rsid w:val="00401C18"/>
    <w:rsid w:val="00402892"/>
    <w:rsid w:val="00402FDD"/>
    <w:rsid w:val="004045BA"/>
    <w:rsid w:val="004052AC"/>
    <w:rsid w:val="0040569E"/>
    <w:rsid w:val="00406186"/>
    <w:rsid w:val="004063D2"/>
    <w:rsid w:val="004070DD"/>
    <w:rsid w:val="004111F0"/>
    <w:rsid w:val="004113AE"/>
    <w:rsid w:val="00412FF8"/>
    <w:rsid w:val="0041358B"/>
    <w:rsid w:val="004135E2"/>
    <w:rsid w:val="004142B9"/>
    <w:rsid w:val="00414339"/>
    <w:rsid w:val="00414A04"/>
    <w:rsid w:val="00414D73"/>
    <w:rsid w:val="00414FCE"/>
    <w:rsid w:val="004155E3"/>
    <w:rsid w:val="004156CE"/>
    <w:rsid w:val="00415CF0"/>
    <w:rsid w:val="00415F6D"/>
    <w:rsid w:val="004160C9"/>
    <w:rsid w:val="004163E7"/>
    <w:rsid w:val="0041678D"/>
    <w:rsid w:val="0041682D"/>
    <w:rsid w:val="0041696C"/>
    <w:rsid w:val="004175C4"/>
    <w:rsid w:val="00417898"/>
    <w:rsid w:val="00417947"/>
    <w:rsid w:val="00420030"/>
    <w:rsid w:val="00420251"/>
    <w:rsid w:val="004212D8"/>
    <w:rsid w:val="00421DD9"/>
    <w:rsid w:val="00422189"/>
    <w:rsid w:val="0042255B"/>
    <w:rsid w:val="0042267F"/>
    <w:rsid w:val="00422BE2"/>
    <w:rsid w:val="004235C0"/>
    <w:rsid w:val="00424326"/>
    <w:rsid w:val="00424FCB"/>
    <w:rsid w:val="004259C0"/>
    <w:rsid w:val="00425B56"/>
    <w:rsid w:val="00425C5D"/>
    <w:rsid w:val="00425DDE"/>
    <w:rsid w:val="004263B7"/>
    <w:rsid w:val="00426E79"/>
    <w:rsid w:val="00426EE3"/>
    <w:rsid w:val="00426FFE"/>
    <w:rsid w:val="0042708C"/>
    <w:rsid w:val="004273D3"/>
    <w:rsid w:val="00427499"/>
    <w:rsid w:val="004274AA"/>
    <w:rsid w:val="00430448"/>
    <w:rsid w:val="004306E1"/>
    <w:rsid w:val="0043104B"/>
    <w:rsid w:val="004315E3"/>
    <w:rsid w:val="004317A6"/>
    <w:rsid w:val="00431A19"/>
    <w:rsid w:val="00431E24"/>
    <w:rsid w:val="00431FEA"/>
    <w:rsid w:val="00432573"/>
    <w:rsid w:val="004337F3"/>
    <w:rsid w:val="004340A6"/>
    <w:rsid w:val="004341F2"/>
    <w:rsid w:val="00434F2E"/>
    <w:rsid w:val="00434FF2"/>
    <w:rsid w:val="004350B5"/>
    <w:rsid w:val="00435468"/>
    <w:rsid w:val="0043546F"/>
    <w:rsid w:val="00435707"/>
    <w:rsid w:val="00435AD3"/>
    <w:rsid w:val="00435FB6"/>
    <w:rsid w:val="00436199"/>
    <w:rsid w:val="004361E3"/>
    <w:rsid w:val="00437123"/>
    <w:rsid w:val="0043759D"/>
    <w:rsid w:val="00437841"/>
    <w:rsid w:val="00440E03"/>
    <w:rsid w:val="00440F20"/>
    <w:rsid w:val="00441772"/>
    <w:rsid w:val="00441930"/>
    <w:rsid w:val="00442F02"/>
    <w:rsid w:val="00442F9A"/>
    <w:rsid w:val="00442FD3"/>
    <w:rsid w:val="00443941"/>
    <w:rsid w:val="00443BDF"/>
    <w:rsid w:val="00444BFA"/>
    <w:rsid w:val="00446391"/>
    <w:rsid w:val="00446B54"/>
    <w:rsid w:val="004476F7"/>
    <w:rsid w:val="00450108"/>
    <w:rsid w:val="00450BDC"/>
    <w:rsid w:val="00451634"/>
    <w:rsid w:val="00451BBA"/>
    <w:rsid w:val="00451D66"/>
    <w:rsid w:val="004524AC"/>
    <w:rsid w:val="00452E33"/>
    <w:rsid w:val="004533B3"/>
    <w:rsid w:val="00453719"/>
    <w:rsid w:val="00453811"/>
    <w:rsid w:val="004543F5"/>
    <w:rsid w:val="00454A7D"/>
    <w:rsid w:val="004557A5"/>
    <w:rsid w:val="0045704D"/>
    <w:rsid w:val="0045750E"/>
    <w:rsid w:val="0045772C"/>
    <w:rsid w:val="0046044A"/>
    <w:rsid w:val="00461A20"/>
    <w:rsid w:val="004623E0"/>
    <w:rsid w:val="00462895"/>
    <w:rsid w:val="0046352C"/>
    <w:rsid w:val="00463E71"/>
    <w:rsid w:val="004640AF"/>
    <w:rsid w:val="0046414C"/>
    <w:rsid w:val="00464422"/>
    <w:rsid w:val="004645D7"/>
    <w:rsid w:val="00464BCD"/>
    <w:rsid w:val="0046506D"/>
    <w:rsid w:val="00465217"/>
    <w:rsid w:val="00465463"/>
    <w:rsid w:val="00465CC9"/>
    <w:rsid w:val="00465D16"/>
    <w:rsid w:val="004666C8"/>
    <w:rsid w:val="0046686B"/>
    <w:rsid w:val="00466E38"/>
    <w:rsid w:val="00467528"/>
    <w:rsid w:val="004702CE"/>
    <w:rsid w:val="00470ABB"/>
    <w:rsid w:val="00470F16"/>
    <w:rsid w:val="00470F2D"/>
    <w:rsid w:val="0047160B"/>
    <w:rsid w:val="00471CC6"/>
    <w:rsid w:val="00471EA6"/>
    <w:rsid w:val="00472142"/>
    <w:rsid w:val="00472768"/>
    <w:rsid w:val="00472B09"/>
    <w:rsid w:val="00472B14"/>
    <w:rsid w:val="0047439D"/>
    <w:rsid w:val="00474A66"/>
    <w:rsid w:val="00474C1B"/>
    <w:rsid w:val="00474E45"/>
    <w:rsid w:val="00475176"/>
    <w:rsid w:val="00475E56"/>
    <w:rsid w:val="00476289"/>
    <w:rsid w:val="00476583"/>
    <w:rsid w:val="004765D5"/>
    <w:rsid w:val="00476A44"/>
    <w:rsid w:val="00476F3D"/>
    <w:rsid w:val="00477A2F"/>
    <w:rsid w:val="00477AD4"/>
    <w:rsid w:val="00480519"/>
    <w:rsid w:val="004809EE"/>
    <w:rsid w:val="00480AB0"/>
    <w:rsid w:val="00480DAB"/>
    <w:rsid w:val="00481007"/>
    <w:rsid w:val="00481254"/>
    <w:rsid w:val="00481C2A"/>
    <w:rsid w:val="00481C87"/>
    <w:rsid w:val="004831BA"/>
    <w:rsid w:val="0048325D"/>
    <w:rsid w:val="00483CCA"/>
    <w:rsid w:val="00483E39"/>
    <w:rsid w:val="00484461"/>
    <w:rsid w:val="00484538"/>
    <w:rsid w:val="00485A5A"/>
    <w:rsid w:val="00486435"/>
    <w:rsid w:val="00486D5A"/>
    <w:rsid w:val="0048752A"/>
    <w:rsid w:val="004879B1"/>
    <w:rsid w:val="00487A76"/>
    <w:rsid w:val="00487B26"/>
    <w:rsid w:val="0049061E"/>
    <w:rsid w:val="00490676"/>
    <w:rsid w:val="00490AD2"/>
    <w:rsid w:val="00490CFB"/>
    <w:rsid w:val="00491D4D"/>
    <w:rsid w:val="00491EBD"/>
    <w:rsid w:val="00491FF1"/>
    <w:rsid w:val="0049203E"/>
    <w:rsid w:val="004924D6"/>
    <w:rsid w:val="00492981"/>
    <w:rsid w:val="00492CC5"/>
    <w:rsid w:val="004944FD"/>
    <w:rsid w:val="00495A75"/>
    <w:rsid w:val="00495D18"/>
    <w:rsid w:val="00496063"/>
    <w:rsid w:val="00496EA2"/>
    <w:rsid w:val="00497030"/>
    <w:rsid w:val="00497186"/>
    <w:rsid w:val="004A0FBF"/>
    <w:rsid w:val="004A1042"/>
    <w:rsid w:val="004A1163"/>
    <w:rsid w:val="004A1236"/>
    <w:rsid w:val="004A13F5"/>
    <w:rsid w:val="004A18F4"/>
    <w:rsid w:val="004A1EA8"/>
    <w:rsid w:val="004A2755"/>
    <w:rsid w:val="004A27AA"/>
    <w:rsid w:val="004A3DA8"/>
    <w:rsid w:val="004A3E02"/>
    <w:rsid w:val="004A3FF3"/>
    <w:rsid w:val="004A434D"/>
    <w:rsid w:val="004A43BB"/>
    <w:rsid w:val="004A5C05"/>
    <w:rsid w:val="004A6721"/>
    <w:rsid w:val="004A6AD6"/>
    <w:rsid w:val="004A6C71"/>
    <w:rsid w:val="004A76D3"/>
    <w:rsid w:val="004A79CB"/>
    <w:rsid w:val="004A7B35"/>
    <w:rsid w:val="004B0669"/>
    <w:rsid w:val="004B072B"/>
    <w:rsid w:val="004B0E56"/>
    <w:rsid w:val="004B13C5"/>
    <w:rsid w:val="004B1B29"/>
    <w:rsid w:val="004B274A"/>
    <w:rsid w:val="004B2C7F"/>
    <w:rsid w:val="004B333D"/>
    <w:rsid w:val="004B3817"/>
    <w:rsid w:val="004B3B40"/>
    <w:rsid w:val="004B42F8"/>
    <w:rsid w:val="004B625A"/>
    <w:rsid w:val="004B65C0"/>
    <w:rsid w:val="004B66FE"/>
    <w:rsid w:val="004B7F43"/>
    <w:rsid w:val="004B7FF8"/>
    <w:rsid w:val="004C000F"/>
    <w:rsid w:val="004C10CE"/>
    <w:rsid w:val="004C2607"/>
    <w:rsid w:val="004C2F24"/>
    <w:rsid w:val="004C3440"/>
    <w:rsid w:val="004C3A63"/>
    <w:rsid w:val="004C5755"/>
    <w:rsid w:val="004C5EF9"/>
    <w:rsid w:val="004C6173"/>
    <w:rsid w:val="004C6DE1"/>
    <w:rsid w:val="004C6E2E"/>
    <w:rsid w:val="004C6F1F"/>
    <w:rsid w:val="004C7125"/>
    <w:rsid w:val="004C7B3E"/>
    <w:rsid w:val="004D0023"/>
    <w:rsid w:val="004D0367"/>
    <w:rsid w:val="004D083D"/>
    <w:rsid w:val="004D0981"/>
    <w:rsid w:val="004D1529"/>
    <w:rsid w:val="004D16F4"/>
    <w:rsid w:val="004D17F2"/>
    <w:rsid w:val="004D1AB3"/>
    <w:rsid w:val="004D21DD"/>
    <w:rsid w:val="004D2351"/>
    <w:rsid w:val="004D242E"/>
    <w:rsid w:val="004D2873"/>
    <w:rsid w:val="004D2D16"/>
    <w:rsid w:val="004D2E12"/>
    <w:rsid w:val="004D372E"/>
    <w:rsid w:val="004D38B2"/>
    <w:rsid w:val="004D3C83"/>
    <w:rsid w:val="004D51C4"/>
    <w:rsid w:val="004D5458"/>
    <w:rsid w:val="004D59B9"/>
    <w:rsid w:val="004D601F"/>
    <w:rsid w:val="004D6081"/>
    <w:rsid w:val="004D6B4E"/>
    <w:rsid w:val="004D7792"/>
    <w:rsid w:val="004D7A53"/>
    <w:rsid w:val="004D7DD7"/>
    <w:rsid w:val="004D7E4F"/>
    <w:rsid w:val="004E034A"/>
    <w:rsid w:val="004E0373"/>
    <w:rsid w:val="004E0923"/>
    <w:rsid w:val="004E0E9C"/>
    <w:rsid w:val="004E0F28"/>
    <w:rsid w:val="004E1062"/>
    <w:rsid w:val="004E14E5"/>
    <w:rsid w:val="004E1997"/>
    <w:rsid w:val="004E2055"/>
    <w:rsid w:val="004E296D"/>
    <w:rsid w:val="004E314D"/>
    <w:rsid w:val="004E33E5"/>
    <w:rsid w:val="004E36A3"/>
    <w:rsid w:val="004E419F"/>
    <w:rsid w:val="004E46ED"/>
    <w:rsid w:val="004E47C9"/>
    <w:rsid w:val="004E4A90"/>
    <w:rsid w:val="004E4CD3"/>
    <w:rsid w:val="004E4D6E"/>
    <w:rsid w:val="004E50BC"/>
    <w:rsid w:val="004E50E2"/>
    <w:rsid w:val="004E5454"/>
    <w:rsid w:val="004E5749"/>
    <w:rsid w:val="004E5B2B"/>
    <w:rsid w:val="004E63D5"/>
    <w:rsid w:val="004E6566"/>
    <w:rsid w:val="004E67D6"/>
    <w:rsid w:val="004E6AA4"/>
    <w:rsid w:val="004E7179"/>
    <w:rsid w:val="004E78F0"/>
    <w:rsid w:val="004E7D62"/>
    <w:rsid w:val="004F0853"/>
    <w:rsid w:val="004F0F0F"/>
    <w:rsid w:val="004F2019"/>
    <w:rsid w:val="004F237C"/>
    <w:rsid w:val="004F2406"/>
    <w:rsid w:val="004F3A29"/>
    <w:rsid w:val="004F3AEB"/>
    <w:rsid w:val="004F3C09"/>
    <w:rsid w:val="004F474F"/>
    <w:rsid w:val="004F729A"/>
    <w:rsid w:val="0050020B"/>
    <w:rsid w:val="005002CD"/>
    <w:rsid w:val="005007A4"/>
    <w:rsid w:val="00500A12"/>
    <w:rsid w:val="00500C66"/>
    <w:rsid w:val="005017CF"/>
    <w:rsid w:val="00501E20"/>
    <w:rsid w:val="00502002"/>
    <w:rsid w:val="0050227D"/>
    <w:rsid w:val="00503176"/>
    <w:rsid w:val="005034E8"/>
    <w:rsid w:val="005037AA"/>
    <w:rsid w:val="00503DFF"/>
    <w:rsid w:val="00504B4F"/>
    <w:rsid w:val="00505544"/>
    <w:rsid w:val="00505ADA"/>
    <w:rsid w:val="00505D94"/>
    <w:rsid w:val="00506510"/>
    <w:rsid w:val="005066DD"/>
    <w:rsid w:val="0050699F"/>
    <w:rsid w:val="005069D7"/>
    <w:rsid w:val="0051010C"/>
    <w:rsid w:val="0051025A"/>
    <w:rsid w:val="005111C3"/>
    <w:rsid w:val="00511211"/>
    <w:rsid w:val="00511544"/>
    <w:rsid w:val="005127AD"/>
    <w:rsid w:val="00513537"/>
    <w:rsid w:val="0051371D"/>
    <w:rsid w:val="00514659"/>
    <w:rsid w:val="00514A18"/>
    <w:rsid w:val="00515948"/>
    <w:rsid w:val="00515ACC"/>
    <w:rsid w:val="00515E07"/>
    <w:rsid w:val="00515FBE"/>
    <w:rsid w:val="005168B0"/>
    <w:rsid w:val="005176E4"/>
    <w:rsid w:val="0052057E"/>
    <w:rsid w:val="00520A6F"/>
    <w:rsid w:val="00521ECE"/>
    <w:rsid w:val="005221DE"/>
    <w:rsid w:val="005230D6"/>
    <w:rsid w:val="005233F3"/>
    <w:rsid w:val="00523BB1"/>
    <w:rsid w:val="00523F57"/>
    <w:rsid w:val="00524194"/>
    <w:rsid w:val="005241D6"/>
    <w:rsid w:val="0052456A"/>
    <w:rsid w:val="0052489E"/>
    <w:rsid w:val="00524B9B"/>
    <w:rsid w:val="00524C90"/>
    <w:rsid w:val="00524F94"/>
    <w:rsid w:val="005251F8"/>
    <w:rsid w:val="005252C1"/>
    <w:rsid w:val="0052556F"/>
    <w:rsid w:val="0052639B"/>
    <w:rsid w:val="00526A76"/>
    <w:rsid w:val="00526B81"/>
    <w:rsid w:val="00527472"/>
    <w:rsid w:val="00527543"/>
    <w:rsid w:val="0053009E"/>
    <w:rsid w:val="00530737"/>
    <w:rsid w:val="00530861"/>
    <w:rsid w:val="00530E36"/>
    <w:rsid w:val="005316C6"/>
    <w:rsid w:val="00531775"/>
    <w:rsid w:val="00531B20"/>
    <w:rsid w:val="00531C5C"/>
    <w:rsid w:val="00532229"/>
    <w:rsid w:val="005329FF"/>
    <w:rsid w:val="0053317D"/>
    <w:rsid w:val="005336D6"/>
    <w:rsid w:val="005337DD"/>
    <w:rsid w:val="00534700"/>
    <w:rsid w:val="00534DCA"/>
    <w:rsid w:val="00535134"/>
    <w:rsid w:val="00535224"/>
    <w:rsid w:val="005363F6"/>
    <w:rsid w:val="00536C8E"/>
    <w:rsid w:val="00537287"/>
    <w:rsid w:val="0053731F"/>
    <w:rsid w:val="00537794"/>
    <w:rsid w:val="00537AB1"/>
    <w:rsid w:val="00540585"/>
    <w:rsid w:val="005405E9"/>
    <w:rsid w:val="005406A2"/>
    <w:rsid w:val="00540E37"/>
    <w:rsid w:val="00541AF0"/>
    <w:rsid w:val="005423DF"/>
    <w:rsid w:val="00542473"/>
    <w:rsid w:val="00542B71"/>
    <w:rsid w:val="00542DDD"/>
    <w:rsid w:val="00542DE4"/>
    <w:rsid w:val="00543776"/>
    <w:rsid w:val="00543FC8"/>
    <w:rsid w:val="00544AE6"/>
    <w:rsid w:val="00544E7F"/>
    <w:rsid w:val="00544F86"/>
    <w:rsid w:val="005450B0"/>
    <w:rsid w:val="005464A4"/>
    <w:rsid w:val="00547090"/>
    <w:rsid w:val="00547294"/>
    <w:rsid w:val="0054751A"/>
    <w:rsid w:val="00547784"/>
    <w:rsid w:val="00547A0E"/>
    <w:rsid w:val="005520DF"/>
    <w:rsid w:val="005523DC"/>
    <w:rsid w:val="005525C4"/>
    <w:rsid w:val="005525D8"/>
    <w:rsid w:val="00552979"/>
    <w:rsid w:val="0055306F"/>
    <w:rsid w:val="00553424"/>
    <w:rsid w:val="00554B01"/>
    <w:rsid w:val="0055570E"/>
    <w:rsid w:val="005557CD"/>
    <w:rsid w:val="00555C7F"/>
    <w:rsid w:val="00555F3B"/>
    <w:rsid w:val="00555F8A"/>
    <w:rsid w:val="00557B09"/>
    <w:rsid w:val="00560309"/>
    <w:rsid w:val="00560E17"/>
    <w:rsid w:val="00560EE5"/>
    <w:rsid w:val="005613D3"/>
    <w:rsid w:val="00561C00"/>
    <w:rsid w:val="0056238C"/>
    <w:rsid w:val="00562425"/>
    <w:rsid w:val="00562924"/>
    <w:rsid w:val="00562962"/>
    <w:rsid w:val="00563205"/>
    <w:rsid w:val="00564212"/>
    <w:rsid w:val="00564293"/>
    <w:rsid w:val="005643E7"/>
    <w:rsid w:val="00564AC7"/>
    <w:rsid w:val="00564B88"/>
    <w:rsid w:val="00564C71"/>
    <w:rsid w:val="00565C26"/>
    <w:rsid w:val="00565E02"/>
    <w:rsid w:val="005660CB"/>
    <w:rsid w:val="0056632C"/>
    <w:rsid w:val="005665F5"/>
    <w:rsid w:val="005666DA"/>
    <w:rsid w:val="00566D10"/>
    <w:rsid w:val="00566EC5"/>
    <w:rsid w:val="00567921"/>
    <w:rsid w:val="00567979"/>
    <w:rsid w:val="00570064"/>
    <w:rsid w:val="005705D0"/>
    <w:rsid w:val="00570744"/>
    <w:rsid w:val="005716D7"/>
    <w:rsid w:val="005718AC"/>
    <w:rsid w:val="00571A73"/>
    <w:rsid w:val="00571F8E"/>
    <w:rsid w:val="005721DD"/>
    <w:rsid w:val="00572844"/>
    <w:rsid w:val="005732FC"/>
    <w:rsid w:val="0057353F"/>
    <w:rsid w:val="00573791"/>
    <w:rsid w:val="005739AD"/>
    <w:rsid w:val="00573B9C"/>
    <w:rsid w:val="005745C2"/>
    <w:rsid w:val="00574B41"/>
    <w:rsid w:val="00575766"/>
    <w:rsid w:val="00575826"/>
    <w:rsid w:val="00576AC8"/>
    <w:rsid w:val="005774EF"/>
    <w:rsid w:val="0057762D"/>
    <w:rsid w:val="00577771"/>
    <w:rsid w:val="005778A2"/>
    <w:rsid w:val="00577954"/>
    <w:rsid w:val="00577C69"/>
    <w:rsid w:val="00577E43"/>
    <w:rsid w:val="005806AE"/>
    <w:rsid w:val="0058159D"/>
    <w:rsid w:val="005831B5"/>
    <w:rsid w:val="00584A96"/>
    <w:rsid w:val="00584FB9"/>
    <w:rsid w:val="00585330"/>
    <w:rsid w:val="0058535B"/>
    <w:rsid w:val="005856A4"/>
    <w:rsid w:val="0058591C"/>
    <w:rsid w:val="00585D69"/>
    <w:rsid w:val="00586551"/>
    <w:rsid w:val="00586B0A"/>
    <w:rsid w:val="00586DEF"/>
    <w:rsid w:val="00587044"/>
    <w:rsid w:val="00587C07"/>
    <w:rsid w:val="00587DCD"/>
    <w:rsid w:val="005905D0"/>
    <w:rsid w:val="00591440"/>
    <w:rsid w:val="0059197E"/>
    <w:rsid w:val="005919E6"/>
    <w:rsid w:val="00591B70"/>
    <w:rsid w:val="00592679"/>
    <w:rsid w:val="00593059"/>
    <w:rsid w:val="00593F11"/>
    <w:rsid w:val="005947E0"/>
    <w:rsid w:val="00594F36"/>
    <w:rsid w:val="00595744"/>
    <w:rsid w:val="00595A8C"/>
    <w:rsid w:val="00595F2B"/>
    <w:rsid w:val="005A07C6"/>
    <w:rsid w:val="005A0C03"/>
    <w:rsid w:val="005A1403"/>
    <w:rsid w:val="005A172A"/>
    <w:rsid w:val="005A2482"/>
    <w:rsid w:val="005A2849"/>
    <w:rsid w:val="005A2899"/>
    <w:rsid w:val="005A29E0"/>
    <w:rsid w:val="005A45E6"/>
    <w:rsid w:val="005A46D9"/>
    <w:rsid w:val="005A4BC4"/>
    <w:rsid w:val="005A5056"/>
    <w:rsid w:val="005A53FD"/>
    <w:rsid w:val="005A5462"/>
    <w:rsid w:val="005A5CF4"/>
    <w:rsid w:val="005A7030"/>
    <w:rsid w:val="005A711A"/>
    <w:rsid w:val="005A7DF6"/>
    <w:rsid w:val="005A7E9C"/>
    <w:rsid w:val="005B0D5C"/>
    <w:rsid w:val="005B0F2A"/>
    <w:rsid w:val="005B184B"/>
    <w:rsid w:val="005B1B99"/>
    <w:rsid w:val="005B24B0"/>
    <w:rsid w:val="005B2A01"/>
    <w:rsid w:val="005B3160"/>
    <w:rsid w:val="005B33C6"/>
    <w:rsid w:val="005B345A"/>
    <w:rsid w:val="005B39AA"/>
    <w:rsid w:val="005B3C65"/>
    <w:rsid w:val="005B4BAA"/>
    <w:rsid w:val="005B5DCA"/>
    <w:rsid w:val="005B607E"/>
    <w:rsid w:val="005B744D"/>
    <w:rsid w:val="005B7773"/>
    <w:rsid w:val="005B7C58"/>
    <w:rsid w:val="005C007A"/>
    <w:rsid w:val="005C0597"/>
    <w:rsid w:val="005C0C16"/>
    <w:rsid w:val="005C12D2"/>
    <w:rsid w:val="005C12E6"/>
    <w:rsid w:val="005C1663"/>
    <w:rsid w:val="005C1740"/>
    <w:rsid w:val="005C17CE"/>
    <w:rsid w:val="005C1962"/>
    <w:rsid w:val="005C1FE5"/>
    <w:rsid w:val="005C2AF9"/>
    <w:rsid w:val="005C2C13"/>
    <w:rsid w:val="005C2C97"/>
    <w:rsid w:val="005C2EF1"/>
    <w:rsid w:val="005C379C"/>
    <w:rsid w:val="005C3CE7"/>
    <w:rsid w:val="005C3E56"/>
    <w:rsid w:val="005C4F0E"/>
    <w:rsid w:val="005C54B8"/>
    <w:rsid w:val="005C572C"/>
    <w:rsid w:val="005C5D75"/>
    <w:rsid w:val="005C796C"/>
    <w:rsid w:val="005C7ACE"/>
    <w:rsid w:val="005D180A"/>
    <w:rsid w:val="005D228F"/>
    <w:rsid w:val="005D241F"/>
    <w:rsid w:val="005D2445"/>
    <w:rsid w:val="005D2651"/>
    <w:rsid w:val="005D2F0A"/>
    <w:rsid w:val="005D3F96"/>
    <w:rsid w:val="005D43EF"/>
    <w:rsid w:val="005D5AE1"/>
    <w:rsid w:val="005D5D20"/>
    <w:rsid w:val="005D5FB8"/>
    <w:rsid w:val="005D6878"/>
    <w:rsid w:val="005D6FB2"/>
    <w:rsid w:val="005D764F"/>
    <w:rsid w:val="005D79F2"/>
    <w:rsid w:val="005D7EEA"/>
    <w:rsid w:val="005E0192"/>
    <w:rsid w:val="005E05BB"/>
    <w:rsid w:val="005E0DF1"/>
    <w:rsid w:val="005E0E0E"/>
    <w:rsid w:val="005E0F9A"/>
    <w:rsid w:val="005E1239"/>
    <w:rsid w:val="005E145D"/>
    <w:rsid w:val="005E1983"/>
    <w:rsid w:val="005E20C2"/>
    <w:rsid w:val="005E271E"/>
    <w:rsid w:val="005E285F"/>
    <w:rsid w:val="005E2AC2"/>
    <w:rsid w:val="005E2EEA"/>
    <w:rsid w:val="005E34B0"/>
    <w:rsid w:val="005E448D"/>
    <w:rsid w:val="005E46AD"/>
    <w:rsid w:val="005E4936"/>
    <w:rsid w:val="005E4AB6"/>
    <w:rsid w:val="005E4FBC"/>
    <w:rsid w:val="005E5236"/>
    <w:rsid w:val="005E534F"/>
    <w:rsid w:val="005E6379"/>
    <w:rsid w:val="005E669D"/>
    <w:rsid w:val="005E75EE"/>
    <w:rsid w:val="005E7A27"/>
    <w:rsid w:val="005E7A4E"/>
    <w:rsid w:val="005F04E4"/>
    <w:rsid w:val="005F163B"/>
    <w:rsid w:val="005F1819"/>
    <w:rsid w:val="005F2124"/>
    <w:rsid w:val="005F242A"/>
    <w:rsid w:val="005F2E2A"/>
    <w:rsid w:val="005F356A"/>
    <w:rsid w:val="005F36D3"/>
    <w:rsid w:val="005F3E36"/>
    <w:rsid w:val="005F43B7"/>
    <w:rsid w:val="005F455C"/>
    <w:rsid w:val="005F4926"/>
    <w:rsid w:val="005F4B40"/>
    <w:rsid w:val="005F4BED"/>
    <w:rsid w:val="005F5639"/>
    <w:rsid w:val="005F5D52"/>
    <w:rsid w:val="005F6328"/>
    <w:rsid w:val="005F643E"/>
    <w:rsid w:val="005F717A"/>
    <w:rsid w:val="005F7AFB"/>
    <w:rsid w:val="006005DD"/>
    <w:rsid w:val="00600AD5"/>
    <w:rsid w:val="00600B62"/>
    <w:rsid w:val="0060131D"/>
    <w:rsid w:val="006013FF"/>
    <w:rsid w:val="00601A2E"/>
    <w:rsid w:val="00602149"/>
    <w:rsid w:val="006021AC"/>
    <w:rsid w:val="0060262F"/>
    <w:rsid w:val="00602B2B"/>
    <w:rsid w:val="00602F9F"/>
    <w:rsid w:val="0060360F"/>
    <w:rsid w:val="006039B4"/>
    <w:rsid w:val="00603F69"/>
    <w:rsid w:val="00604130"/>
    <w:rsid w:val="00604F02"/>
    <w:rsid w:val="006051BA"/>
    <w:rsid w:val="006054DE"/>
    <w:rsid w:val="006059C8"/>
    <w:rsid w:val="006062E7"/>
    <w:rsid w:val="0060657B"/>
    <w:rsid w:val="006067A6"/>
    <w:rsid w:val="006068AB"/>
    <w:rsid w:val="00606E21"/>
    <w:rsid w:val="006073E8"/>
    <w:rsid w:val="00607423"/>
    <w:rsid w:val="006075D1"/>
    <w:rsid w:val="0061135E"/>
    <w:rsid w:val="00611F60"/>
    <w:rsid w:val="0061213C"/>
    <w:rsid w:val="006122CB"/>
    <w:rsid w:val="00612345"/>
    <w:rsid w:val="006123C0"/>
    <w:rsid w:val="00612FB5"/>
    <w:rsid w:val="006139DD"/>
    <w:rsid w:val="00613BC3"/>
    <w:rsid w:val="00614155"/>
    <w:rsid w:val="006148EE"/>
    <w:rsid w:val="0061557A"/>
    <w:rsid w:val="0061598A"/>
    <w:rsid w:val="006159AB"/>
    <w:rsid w:val="00615CBC"/>
    <w:rsid w:val="00615D1C"/>
    <w:rsid w:val="0061620B"/>
    <w:rsid w:val="00616AAE"/>
    <w:rsid w:val="00616AE0"/>
    <w:rsid w:val="00617C9F"/>
    <w:rsid w:val="0062017C"/>
    <w:rsid w:val="00620654"/>
    <w:rsid w:val="0062076A"/>
    <w:rsid w:val="0062077F"/>
    <w:rsid w:val="0062139D"/>
    <w:rsid w:val="0062146D"/>
    <w:rsid w:val="00621BBF"/>
    <w:rsid w:val="00621E5B"/>
    <w:rsid w:val="00623479"/>
    <w:rsid w:val="00623740"/>
    <w:rsid w:val="00623ED4"/>
    <w:rsid w:val="006241D7"/>
    <w:rsid w:val="00624CA9"/>
    <w:rsid w:val="0062517B"/>
    <w:rsid w:val="006253AA"/>
    <w:rsid w:val="00625519"/>
    <w:rsid w:val="00626BF2"/>
    <w:rsid w:val="00626D87"/>
    <w:rsid w:val="00627D6A"/>
    <w:rsid w:val="00627EA0"/>
    <w:rsid w:val="00630171"/>
    <w:rsid w:val="006301C0"/>
    <w:rsid w:val="00631667"/>
    <w:rsid w:val="00631E74"/>
    <w:rsid w:val="0063216F"/>
    <w:rsid w:val="00633CF9"/>
    <w:rsid w:val="00633DAE"/>
    <w:rsid w:val="006341AA"/>
    <w:rsid w:val="0063443B"/>
    <w:rsid w:val="00634633"/>
    <w:rsid w:val="00634697"/>
    <w:rsid w:val="0063479F"/>
    <w:rsid w:val="006353FD"/>
    <w:rsid w:val="00635765"/>
    <w:rsid w:val="0063584C"/>
    <w:rsid w:val="00636D5A"/>
    <w:rsid w:val="006370FF"/>
    <w:rsid w:val="006371ED"/>
    <w:rsid w:val="006374C8"/>
    <w:rsid w:val="00637887"/>
    <w:rsid w:val="00640388"/>
    <w:rsid w:val="00640AD7"/>
    <w:rsid w:val="00641B37"/>
    <w:rsid w:val="00641B49"/>
    <w:rsid w:val="00641B8D"/>
    <w:rsid w:val="006423BB"/>
    <w:rsid w:val="0064240C"/>
    <w:rsid w:val="00642576"/>
    <w:rsid w:val="006429E9"/>
    <w:rsid w:val="00642FE5"/>
    <w:rsid w:val="00643C04"/>
    <w:rsid w:val="00644CEF"/>
    <w:rsid w:val="0064544C"/>
    <w:rsid w:val="006461A9"/>
    <w:rsid w:val="006464DF"/>
    <w:rsid w:val="006468CE"/>
    <w:rsid w:val="0064722A"/>
    <w:rsid w:val="0064749D"/>
    <w:rsid w:val="006476EB"/>
    <w:rsid w:val="00647878"/>
    <w:rsid w:val="00647912"/>
    <w:rsid w:val="00647FB5"/>
    <w:rsid w:val="00647FD7"/>
    <w:rsid w:val="006501E7"/>
    <w:rsid w:val="006505F6"/>
    <w:rsid w:val="00650C10"/>
    <w:rsid w:val="00651226"/>
    <w:rsid w:val="0065145C"/>
    <w:rsid w:val="00651487"/>
    <w:rsid w:val="00651AF6"/>
    <w:rsid w:val="00651E86"/>
    <w:rsid w:val="00652263"/>
    <w:rsid w:val="0065272F"/>
    <w:rsid w:val="0065283F"/>
    <w:rsid w:val="00653DDA"/>
    <w:rsid w:val="0065493A"/>
    <w:rsid w:val="006553EC"/>
    <w:rsid w:val="006558C1"/>
    <w:rsid w:val="006559A3"/>
    <w:rsid w:val="00656B65"/>
    <w:rsid w:val="00656F92"/>
    <w:rsid w:val="00657513"/>
    <w:rsid w:val="0065791A"/>
    <w:rsid w:val="006618D8"/>
    <w:rsid w:val="006618FB"/>
    <w:rsid w:val="00661998"/>
    <w:rsid w:val="006626E7"/>
    <w:rsid w:val="0066273D"/>
    <w:rsid w:val="00662FDD"/>
    <w:rsid w:val="006660CA"/>
    <w:rsid w:val="006663B6"/>
    <w:rsid w:val="00666845"/>
    <w:rsid w:val="006671E4"/>
    <w:rsid w:val="006677F7"/>
    <w:rsid w:val="00667D9F"/>
    <w:rsid w:val="00670194"/>
    <w:rsid w:val="0067077A"/>
    <w:rsid w:val="00670888"/>
    <w:rsid w:val="0067178F"/>
    <w:rsid w:val="00671B6A"/>
    <w:rsid w:val="00671BD1"/>
    <w:rsid w:val="00672106"/>
    <w:rsid w:val="006721C9"/>
    <w:rsid w:val="00672400"/>
    <w:rsid w:val="006724BB"/>
    <w:rsid w:val="0067261C"/>
    <w:rsid w:val="00672818"/>
    <w:rsid w:val="00672CD9"/>
    <w:rsid w:val="00673A17"/>
    <w:rsid w:val="00673FE3"/>
    <w:rsid w:val="00674F10"/>
    <w:rsid w:val="00675173"/>
    <w:rsid w:val="0067529F"/>
    <w:rsid w:val="006754C2"/>
    <w:rsid w:val="006756CC"/>
    <w:rsid w:val="00675D93"/>
    <w:rsid w:val="00676161"/>
    <w:rsid w:val="0067645B"/>
    <w:rsid w:val="006769D3"/>
    <w:rsid w:val="00676B58"/>
    <w:rsid w:val="00676C25"/>
    <w:rsid w:val="00677540"/>
    <w:rsid w:val="00677F6E"/>
    <w:rsid w:val="00680AFB"/>
    <w:rsid w:val="006821C6"/>
    <w:rsid w:val="0068304F"/>
    <w:rsid w:val="0068370F"/>
    <w:rsid w:val="0068389D"/>
    <w:rsid w:val="006840B1"/>
    <w:rsid w:val="0068486D"/>
    <w:rsid w:val="00684D6C"/>
    <w:rsid w:val="00684E4B"/>
    <w:rsid w:val="00685182"/>
    <w:rsid w:val="00685B96"/>
    <w:rsid w:val="006865CD"/>
    <w:rsid w:val="00686E3A"/>
    <w:rsid w:val="00686EA0"/>
    <w:rsid w:val="00687DD9"/>
    <w:rsid w:val="00690143"/>
    <w:rsid w:val="00690A2E"/>
    <w:rsid w:val="0069160F"/>
    <w:rsid w:val="00691749"/>
    <w:rsid w:val="00691D4A"/>
    <w:rsid w:val="0069291E"/>
    <w:rsid w:val="00692F58"/>
    <w:rsid w:val="00693212"/>
    <w:rsid w:val="0069325B"/>
    <w:rsid w:val="006933F8"/>
    <w:rsid w:val="00693A14"/>
    <w:rsid w:val="00693E47"/>
    <w:rsid w:val="00693EAB"/>
    <w:rsid w:val="00694776"/>
    <w:rsid w:val="006947AC"/>
    <w:rsid w:val="00694B6B"/>
    <w:rsid w:val="00694F59"/>
    <w:rsid w:val="006952D0"/>
    <w:rsid w:val="0069539F"/>
    <w:rsid w:val="0069587E"/>
    <w:rsid w:val="006966B1"/>
    <w:rsid w:val="00696B36"/>
    <w:rsid w:val="00696CAA"/>
    <w:rsid w:val="00696CF1"/>
    <w:rsid w:val="00697E00"/>
    <w:rsid w:val="006A066D"/>
    <w:rsid w:val="006A19C2"/>
    <w:rsid w:val="006A2387"/>
    <w:rsid w:val="006A2923"/>
    <w:rsid w:val="006A2F93"/>
    <w:rsid w:val="006A3AFB"/>
    <w:rsid w:val="006A41B0"/>
    <w:rsid w:val="006A49F0"/>
    <w:rsid w:val="006A5ED6"/>
    <w:rsid w:val="006A6B21"/>
    <w:rsid w:val="006A6C98"/>
    <w:rsid w:val="006A6D6E"/>
    <w:rsid w:val="006A7096"/>
    <w:rsid w:val="006A78E3"/>
    <w:rsid w:val="006A7A3D"/>
    <w:rsid w:val="006A7AC0"/>
    <w:rsid w:val="006A7AD6"/>
    <w:rsid w:val="006A7EF5"/>
    <w:rsid w:val="006B0ABC"/>
    <w:rsid w:val="006B0BD1"/>
    <w:rsid w:val="006B0FA3"/>
    <w:rsid w:val="006B10BE"/>
    <w:rsid w:val="006B10F2"/>
    <w:rsid w:val="006B1BC6"/>
    <w:rsid w:val="006B22BF"/>
    <w:rsid w:val="006B22CC"/>
    <w:rsid w:val="006B2932"/>
    <w:rsid w:val="006B2BB1"/>
    <w:rsid w:val="006B390E"/>
    <w:rsid w:val="006B4064"/>
    <w:rsid w:val="006B4CCC"/>
    <w:rsid w:val="006B515A"/>
    <w:rsid w:val="006B52F7"/>
    <w:rsid w:val="006B5E2D"/>
    <w:rsid w:val="006B5F49"/>
    <w:rsid w:val="006B6D66"/>
    <w:rsid w:val="006B7179"/>
    <w:rsid w:val="006B7E1C"/>
    <w:rsid w:val="006C06DC"/>
    <w:rsid w:val="006C1262"/>
    <w:rsid w:val="006C1C3B"/>
    <w:rsid w:val="006C1C49"/>
    <w:rsid w:val="006C2166"/>
    <w:rsid w:val="006C2504"/>
    <w:rsid w:val="006C2D03"/>
    <w:rsid w:val="006C3CB9"/>
    <w:rsid w:val="006C4376"/>
    <w:rsid w:val="006C48D8"/>
    <w:rsid w:val="006C4CA5"/>
    <w:rsid w:val="006C5BDA"/>
    <w:rsid w:val="006C6AE7"/>
    <w:rsid w:val="006C7527"/>
    <w:rsid w:val="006D1659"/>
    <w:rsid w:val="006D18E2"/>
    <w:rsid w:val="006D1B4C"/>
    <w:rsid w:val="006D21D6"/>
    <w:rsid w:val="006D2388"/>
    <w:rsid w:val="006D24F6"/>
    <w:rsid w:val="006D2A0C"/>
    <w:rsid w:val="006D2B79"/>
    <w:rsid w:val="006D2B9A"/>
    <w:rsid w:val="006D2C9D"/>
    <w:rsid w:val="006D37A2"/>
    <w:rsid w:val="006D4105"/>
    <w:rsid w:val="006D4704"/>
    <w:rsid w:val="006D4739"/>
    <w:rsid w:val="006D4945"/>
    <w:rsid w:val="006D4E55"/>
    <w:rsid w:val="006D5101"/>
    <w:rsid w:val="006D5F3A"/>
    <w:rsid w:val="006D64F9"/>
    <w:rsid w:val="006D6AD8"/>
    <w:rsid w:val="006D75A9"/>
    <w:rsid w:val="006D7914"/>
    <w:rsid w:val="006E009B"/>
    <w:rsid w:val="006E1203"/>
    <w:rsid w:val="006E143A"/>
    <w:rsid w:val="006E1503"/>
    <w:rsid w:val="006E1F5B"/>
    <w:rsid w:val="006E2D78"/>
    <w:rsid w:val="006E3632"/>
    <w:rsid w:val="006E401D"/>
    <w:rsid w:val="006E4434"/>
    <w:rsid w:val="006E4769"/>
    <w:rsid w:val="006E48F6"/>
    <w:rsid w:val="006E51B6"/>
    <w:rsid w:val="006E5E13"/>
    <w:rsid w:val="006E6B64"/>
    <w:rsid w:val="006E6E87"/>
    <w:rsid w:val="006E7D66"/>
    <w:rsid w:val="006E7F7D"/>
    <w:rsid w:val="006F02FE"/>
    <w:rsid w:val="006F038C"/>
    <w:rsid w:val="006F13CC"/>
    <w:rsid w:val="006F2072"/>
    <w:rsid w:val="006F2345"/>
    <w:rsid w:val="006F2AAD"/>
    <w:rsid w:val="006F2FC4"/>
    <w:rsid w:val="006F36E8"/>
    <w:rsid w:val="006F39E1"/>
    <w:rsid w:val="006F3A12"/>
    <w:rsid w:val="006F4846"/>
    <w:rsid w:val="006F4F81"/>
    <w:rsid w:val="006F5104"/>
    <w:rsid w:val="006F59B4"/>
    <w:rsid w:val="006F5A81"/>
    <w:rsid w:val="006F690C"/>
    <w:rsid w:val="006F692E"/>
    <w:rsid w:val="006F7620"/>
    <w:rsid w:val="006F789A"/>
    <w:rsid w:val="00700F06"/>
    <w:rsid w:val="00702308"/>
    <w:rsid w:val="007027BC"/>
    <w:rsid w:val="00702C55"/>
    <w:rsid w:val="0070364D"/>
    <w:rsid w:val="007038C9"/>
    <w:rsid w:val="00703B1D"/>
    <w:rsid w:val="00703DE1"/>
    <w:rsid w:val="00704300"/>
    <w:rsid w:val="00704C5E"/>
    <w:rsid w:val="00704ED7"/>
    <w:rsid w:val="00704EE8"/>
    <w:rsid w:val="00705509"/>
    <w:rsid w:val="00705D47"/>
    <w:rsid w:val="00706728"/>
    <w:rsid w:val="00706F49"/>
    <w:rsid w:val="007075F8"/>
    <w:rsid w:val="00710264"/>
    <w:rsid w:val="0071082C"/>
    <w:rsid w:val="00711ECB"/>
    <w:rsid w:val="00711FF2"/>
    <w:rsid w:val="007121C8"/>
    <w:rsid w:val="007128B8"/>
    <w:rsid w:val="00712F1A"/>
    <w:rsid w:val="007130F4"/>
    <w:rsid w:val="007131BB"/>
    <w:rsid w:val="00713B16"/>
    <w:rsid w:val="007141C6"/>
    <w:rsid w:val="007148C6"/>
    <w:rsid w:val="00714AF2"/>
    <w:rsid w:val="00714B5A"/>
    <w:rsid w:val="00714C31"/>
    <w:rsid w:val="00714D3A"/>
    <w:rsid w:val="007154FA"/>
    <w:rsid w:val="00717785"/>
    <w:rsid w:val="00717802"/>
    <w:rsid w:val="00717A50"/>
    <w:rsid w:val="00720349"/>
    <w:rsid w:val="0072048E"/>
    <w:rsid w:val="00720EDC"/>
    <w:rsid w:val="007211EB"/>
    <w:rsid w:val="007213AC"/>
    <w:rsid w:val="007214D7"/>
    <w:rsid w:val="007215A6"/>
    <w:rsid w:val="00721926"/>
    <w:rsid w:val="007222A3"/>
    <w:rsid w:val="007228D4"/>
    <w:rsid w:val="00722DB8"/>
    <w:rsid w:val="00722DFD"/>
    <w:rsid w:val="00723076"/>
    <w:rsid w:val="00723249"/>
    <w:rsid w:val="0072423E"/>
    <w:rsid w:val="007246DB"/>
    <w:rsid w:val="00724887"/>
    <w:rsid w:val="00724A6A"/>
    <w:rsid w:val="00724EF9"/>
    <w:rsid w:val="007252CA"/>
    <w:rsid w:val="007261C4"/>
    <w:rsid w:val="00726236"/>
    <w:rsid w:val="007266B5"/>
    <w:rsid w:val="007267CC"/>
    <w:rsid w:val="00726A71"/>
    <w:rsid w:val="007276B1"/>
    <w:rsid w:val="0072775A"/>
    <w:rsid w:val="007277ED"/>
    <w:rsid w:val="00727F6E"/>
    <w:rsid w:val="00730028"/>
    <w:rsid w:val="0073006C"/>
    <w:rsid w:val="0073047F"/>
    <w:rsid w:val="00730714"/>
    <w:rsid w:val="0073149B"/>
    <w:rsid w:val="00731993"/>
    <w:rsid w:val="00731F19"/>
    <w:rsid w:val="0073208A"/>
    <w:rsid w:val="00733934"/>
    <w:rsid w:val="00733B55"/>
    <w:rsid w:val="00734718"/>
    <w:rsid w:val="007348B5"/>
    <w:rsid w:val="007349C9"/>
    <w:rsid w:val="00734A72"/>
    <w:rsid w:val="00734EFD"/>
    <w:rsid w:val="00735AE2"/>
    <w:rsid w:val="00735EBC"/>
    <w:rsid w:val="00736ED6"/>
    <w:rsid w:val="00736FB7"/>
    <w:rsid w:val="007374A9"/>
    <w:rsid w:val="00737B9B"/>
    <w:rsid w:val="00737D58"/>
    <w:rsid w:val="00737E79"/>
    <w:rsid w:val="00737EAB"/>
    <w:rsid w:val="007405A1"/>
    <w:rsid w:val="00740698"/>
    <w:rsid w:val="007407A5"/>
    <w:rsid w:val="0074115D"/>
    <w:rsid w:val="007415FE"/>
    <w:rsid w:val="007421A2"/>
    <w:rsid w:val="007421AE"/>
    <w:rsid w:val="007427FF"/>
    <w:rsid w:val="0074287B"/>
    <w:rsid w:val="0074377A"/>
    <w:rsid w:val="0074438B"/>
    <w:rsid w:val="007444F1"/>
    <w:rsid w:val="0074459F"/>
    <w:rsid w:val="00744C2A"/>
    <w:rsid w:val="0074528C"/>
    <w:rsid w:val="0074569A"/>
    <w:rsid w:val="00746EC4"/>
    <w:rsid w:val="00747004"/>
    <w:rsid w:val="00747D28"/>
    <w:rsid w:val="00747FCA"/>
    <w:rsid w:val="007508DA"/>
    <w:rsid w:val="00751306"/>
    <w:rsid w:val="0075152A"/>
    <w:rsid w:val="00751821"/>
    <w:rsid w:val="00751D10"/>
    <w:rsid w:val="00751FE3"/>
    <w:rsid w:val="0075265E"/>
    <w:rsid w:val="00752969"/>
    <w:rsid w:val="00752CD1"/>
    <w:rsid w:val="007531C7"/>
    <w:rsid w:val="007537E8"/>
    <w:rsid w:val="00753F39"/>
    <w:rsid w:val="00754097"/>
    <w:rsid w:val="00754EF4"/>
    <w:rsid w:val="00755D09"/>
    <w:rsid w:val="00756005"/>
    <w:rsid w:val="0075652B"/>
    <w:rsid w:val="00756BEA"/>
    <w:rsid w:val="00756D4F"/>
    <w:rsid w:val="00756E91"/>
    <w:rsid w:val="007573FA"/>
    <w:rsid w:val="00757B19"/>
    <w:rsid w:val="00760103"/>
    <w:rsid w:val="0076060A"/>
    <w:rsid w:val="0076156D"/>
    <w:rsid w:val="00761CE3"/>
    <w:rsid w:val="00761EF9"/>
    <w:rsid w:val="00761F8E"/>
    <w:rsid w:val="00762057"/>
    <w:rsid w:val="0076220A"/>
    <w:rsid w:val="00762295"/>
    <w:rsid w:val="00762815"/>
    <w:rsid w:val="00762AE0"/>
    <w:rsid w:val="00762FD0"/>
    <w:rsid w:val="007630CE"/>
    <w:rsid w:val="00763507"/>
    <w:rsid w:val="0076374A"/>
    <w:rsid w:val="00763FCC"/>
    <w:rsid w:val="00764048"/>
    <w:rsid w:val="007644EC"/>
    <w:rsid w:val="007645B9"/>
    <w:rsid w:val="0076491D"/>
    <w:rsid w:val="00764A74"/>
    <w:rsid w:val="00765074"/>
    <w:rsid w:val="00765261"/>
    <w:rsid w:val="007656F2"/>
    <w:rsid w:val="00765B46"/>
    <w:rsid w:val="00765B79"/>
    <w:rsid w:val="00766809"/>
    <w:rsid w:val="00766877"/>
    <w:rsid w:val="00766C70"/>
    <w:rsid w:val="007670C0"/>
    <w:rsid w:val="00767863"/>
    <w:rsid w:val="00767B6A"/>
    <w:rsid w:val="00767BA7"/>
    <w:rsid w:val="00771EED"/>
    <w:rsid w:val="007723E4"/>
    <w:rsid w:val="00772B58"/>
    <w:rsid w:val="00772BD7"/>
    <w:rsid w:val="00772EFB"/>
    <w:rsid w:val="00773AE1"/>
    <w:rsid w:val="00774B6C"/>
    <w:rsid w:val="00775D02"/>
    <w:rsid w:val="00777236"/>
    <w:rsid w:val="007773CA"/>
    <w:rsid w:val="00777628"/>
    <w:rsid w:val="00777694"/>
    <w:rsid w:val="00777D41"/>
    <w:rsid w:val="00781080"/>
    <w:rsid w:val="00781304"/>
    <w:rsid w:val="007813A5"/>
    <w:rsid w:val="0078186D"/>
    <w:rsid w:val="007819BE"/>
    <w:rsid w:val="00781BB3"/>
    <w:rsid w:val="00782188"/>
    <w:rsid w:val="007826BB"/>
    <w:rsid w:val="00782A55"/>
    <w:rsid w:val="00783CC2"/>
    <w:rsid w:val="00785337"/>
    <w:rsid w:val="0078561F"/>
    <w:rsid w:val="0078598D"/>
    <w:rsid w:val="00785E72"/>
    <w:rsid w:val="007861CB"/>
    <w:rsid w:val="007871B4"/>
    <w:rsid w:val="0079057C"/>
    <w:rsid w:val="0079085B"/>
    <w:rsid w:val="00790FDD"/>
    <w:rsid w:val="00791A2B"/>
    <w:rsid w:val="00791DF7"/>
    <w:rsid w:val="007923A6"/>
    <w:rsid w:val="007929BA"/>
    <w:rsid w:val="00793024"/>
    <w:rsid w:val="00793173"/>
    <w:rsid w:val="0079393B"/>
    <w:rsid w:val="007947ED"/>
    <w:rsid w:val="0079511D"/>
    <w:rsid w:val="007A1F7B"/>
    <w:rsid w:val="007A217A"/>
    <w:rsid w:val="007A266F"/>
    <w:rsid w:val="007A2B47"/>
    <w:rsid w:val="007A3446"/>
    <w:rsid w:val="007A392C"/>
    <w:rsid w:val="007A393A"/>
    <w:rsid w:val="007A3C0F"/>
    <w:rsid w:val="007A3CDA"/>
    <w:rsid w:val="007A48E2"/>
    <w:rsid w:val="007A4C43"/>
    <w:rsid w:val="007A5740"/>
    <w:rsid w:val="007A5990"/>
    <w:rsid w:val="007A5C30"/>
    <w:rsid w:val="007A5EE0"/>
    <w:rsid w:val="007A6145"/>
    <w:rsid w:val="007A6298"/>
    <w:rsid w:val="007A642E"/>
    <w:rsid w:val="007A66A0"/>
    <w:rsid w:val="007A67D6"/>
    <w:rsid w:val="007A69C6"/>
    <w:rsid w:val="007A71B9"/>
    <w:rsid w:val="007A72B3"/>
    <w:rsid w:val="007A75DE"/>
    <w:rsid w:val="007A786C"/>
    <w:rsid w:val="007A7A48"/>
    <w:rsid w:val="007A7C28"/>
    <w:rsid w:val="007B042C"/>
    <w:rsid w:val="007B191F"/>
    <w:rsid w:val="007B1B89"/>
    <w:rsid w:val="007B1D23"/>
    <w:rsid w:val="007B21A4"/>
    <w:rsid w:val="007B26AD"/>
    <w:rsid w:val="007B277B"/>
    <w:rsid w:val="007B2910"/>
    <w:rsid w:val="007B34A5"/>
    <w:rsid w:val="007B34EA"/>
    <w:rsid w:val="007B3FD6"/>
    <w:rsid w:val="007B4967"/>
    <w:rsid w:val="007B57E8"/>
    <w:rsid w:val="007B5A28"/>
    <w:rsid w:val="007B61DE"/>
    <w:rsid w:val="007B635C"/>
    <w:rsid w:val="007B642E"/>
    <w:rsid w:val="007B6441"/>
    <w:rsid w:val="007B66D3"/>
    <w:rsid w:val="007B7759"/>
    <w:rsid w:val="007C099D"/>
    <w:rsid w:val="007C0E23"/>
    <w:rsid w:val="007C176F"/>
    <w:rsid w:val="007C1990"/>
    <w:rsid w:val="007C19BF"/>
    <w:rsid w:val="007C19E2"/>
    <w:rsid w:val="007C2427"/>
    <w:rsid w:val="007C3081"/>
    <w:rsid w:val="007C40AB"/>
    <w:rsid w:val="007C4678"/>
    <w:rsid w:val="007C4B3B"/>
    <w:rsid w:val="007C53A7"/>
    <w:rsid w:val="007C54CF"/>
    <w:rsid w:val="007C56CD"/>
    <w:rsid w:val="007C5766"/>
    <w:rsid w:val="007C5FDA"/>
    <w:rsid w:val="007C7273"/>
    <w:rsid w:val="007C72B4"/>
    <w:rsid w:val="007C7C54"/>
    <w:rsid w:val="007D008C"/>
    <w:rsid w:val="007D0117"/>
    <w:rsid w:val="007D05D3"/>
    <w:rsid w:val="007D0EC6"/>
    <w:rsid w:val="007D1604"/>
    <w:rsid w:val="007D2722"/>
    <w:rsid w:val="007D2B8B"/>
    <w:rsid w:val="007D386D"/>
    <w:rsid w:val="007D38B1"/>
    <w:rsid w:val="007D3D86"/>
    <w:rsid w:val="007D412F"/>
    <w:rsid w:val="007D41FE"/>
    <w:rsid w:val="007D4382"/>
    <w:rsid w:val="007D49FF"/>
    <w:rsid w:val="007D54F8"/>
    <w:rsid w:val="007D5F42"/>
    <w:rsid w:val="007D7855"/>
    <w:rsid w:val="007D7CC7"/>
    <w:rsid w:val="007E07B5"/>
    <w:rsid w:val="007E0C2C"/>
    <w:rsid w:val="007E2258"/>
    <w:rsid w:val="007E28FF"/>
    <w:rsid w:val="007E2F1F"/>
    <w:rsid w:val="007E32C1"/>
    <w:rsid w:val="007E34D3"/>
    <w:rsid w:val="007E3BE7"/>
    <w:rsid w:val="007E4714"/>
    <w:rsid w:val="007E4DB0"/>
    <w:rsid w:val="007E52A3"/>
    <w:rsid w:val="007E52CF"/>
    <w:rsid w:val="007E55F4"/>
    <w:rsid w:val="007E569B"/>
    <w:rsid w:val="007E5EE7"/>
    <w:rsid w:val="007E6917"/>
    <w:rsid w:val="007E6B8C"/>
    <w:rsid w:val="007E7F79"/>
    <w:rsid w:val="007F086F"/>
    <w:rsid w:val="007F0B75"/>
    <w:rsid w:val="007F1645"/>
    <w:rsid w:val="007F16F7"/>
    <w:rsid w:val="007F1927"/>
    <w:rsid w:val="007F3587"/>
    <w:rsid w:val="007F3680"/>
    <w:rsid w:val="007F3965"/>
    <w:rsid w:val="007F3984"/>
    <w:rsid w:val="007F39BA"/>
    <w:rsid w:val="007F39EE"/>
    <w:rsid w:val="007F4748"/>
    <w:rsid w:val="007F4D6D"/>
    <w:rsid w:val="007F5380"/>
    <w:rsid w:val="007F5C8B"/>
    <w:rsid w:val="007F5D74"/>
    <w:rsid w:val="007F67C0"/>
    <w:rsid w:val="007F68D5"/>
    <w:rsid w:val="007F79D0"/>
    <w:rsid w:val="007F7DF0"/>
    <w:rsid w:val="008000A6"/>
    <w:rsid w:val="0080163F"/>
    <w:rsid w:val="0080262D"/>
    <w:rsid w:val="0080301A"/>
    <w:rsid w:val="008042E2"/>
    <w:rsid w:val="008045A1"/>
    <w:rsid w:val="008052A9"/>
    <w:rsid w:val="008056F5"/>
    <w:rsid w:val="00805B09"/>
    <w:rsid w:val="00805E03"/>
    <w:rsid w:val="00805EBD"/>
    <w:rsid w:val="00806203"/>
    <w:rsid w:val="008067C6"/>
    <w:rsid w:val="00806C8C"/>
    <w:rsid w:val="00807D7F"/>
    <w:rsid w:val="008104F7"/>
    <w:rsid w:val="008115F0"/>
    <w:rsid w:val="008118FF"/>
    <w:rsid w:val="00811BE0"/>
    <w:rsid w:val="00811C19"/>
    <w:rsid w:val="00811FF2"/>
    <w:rsid w:val="008123FB"/>
    <w:rsid w:val="00812AD2"/>
    <w:rsid w:val="00812AED"/>
    <w:rsid w:val="00813045"/>
    <w:rsid w:val="008135B0"/>
    <w:rsid w:val="00814601"/>
    <w:rsid w:val="00814A7C"/>
    <w:rsid w:val="0081526E"/>
    <w:rsid w:val="00815B44"/>
    <w:rsid w:val="008162FC"/>
    <w:rsid w:val="008169EE"/>
    <w:rsid w:val="00817341"/>
    <w:rsid w:val="00820059"/>
    <w:rsid w:val="00820B6C"/>
    <w:rsid w:val="00820EC1"/>
    <w:rsid w:val="0082123D"/>
    <w:rsid w:val="0082128D"/>
    <w:rsid w:val="00821BE9"/>
    <w:rsid w:val="008220CC"/>
    <w:rsid w:val="0082213B"/>
    <w:rsid w:val="00822B39"/>
    <w:rsid w:val="00822EB5"/>
    <w:rsid w:val="00823180"/>
    <w:rsid w:val="008238D7"/>
    <w:rsid w:val="00823AA5"/>
    <w:rsid w:val="008240A6"/>
    <w:rsid w:val="00824224"/>
    <w:rsid w:val="008263E8"/>
    <w:rsid w:val="008264E3"/>
    <w:rsid w:val="00827E8C"/>
    <w:rsid w:val="0083034F"/>
    <w:rsid w:val="0083062A"/>
    <w:rsid w:val="00830EB8"/>
    <w:rsid w:val="00830FE0"/>
    <w:rsid w:val="008314E2"/>
    <w:rsid w:val="0083198C"/>
    <w:rsid w:val="0083332A"/>
    <w:rsid w:val="00833463"/>
    <w:rsid w:val="00833547"/>
    <w:rsid w:val="00835953"/>
    <w:rsid w:val="00835E1C"/>
    <w:rsid w:val="0083662A"/>
    <w:rsid w:val="008367B0"/>
    <w:rsid w:val="00836D7D"/>
    <w:rsid w:val="00837024"/>
    <w:rsid w:val="00837247"/>
    <w:rsid w:val="00837353"/>
    <w:rsid w:val="00837E12"/>
    <w:rsid w:val="0084055B"/>
    <w:rsid w:val="008408D0"/>
    <w:rsid w:val="00840A40"/>
    <w:rsid w:val="00840CA3"/>
    <w:rsid w:val="0084183F"/>
    <w:rsid w:val="00842679"/>
    <w:rsid w:val="00842B1E"/>
    <w:rsid w:val="00842D72"/>
    <w:rsid w:val="00843668"/>
    <w:rsid w:val="00843E20"/>
    <w:rsid w:val="00843EA4"/>
    <w:rsid w:val="00844748"/>
    <w:rsid w:val="00844E2F"/>
    <w:rsid w:val="00845341"/>
    <w:rsid w:val="00845785"/>
    <w:rsid w:val="0084623B"/>
    <w:rsid w:val="008464D3"/>
    <w:rsid w:val="008474DA"/>
    <w:rsid w:val="0084782E"/>
    <w:rsid w:val="0085006D"/>
    <w:rsid w:val="00850465"/>
    <w:rsid w:val="00850711"/>
    <w:rsid w:val="0085156E"/>
    <w:rsid w:val="00851A8C"/>
    <w:rsid w:val="00852340"/>
    <w:rsid w:val="00853BDF"/>
    <w:rsid w:val="00854134"/>
    <w:rsid w:val="008548C2"/>
    <w:rsid w:val="008552D8"/>
    <w:rsid w:val="00855B1E"/>
    <w:rsid w:val="00855C5E"/>
    <w:rsid w:val="0085635D"/>
    <w:rsid w:val="00856661"/>
    <w:rsid w:val="008567C8"/>
    <w:rsid w:val="00856D0C"/>
    <w:rsid w:val="008570C4"/>
    <w:rsid w:val="0085725D"/>
    <w:rsid w:val="008575FF"/>
    <w:rsid w:val="0086022A"/>
    <w:rsid w:val="00860560"/>
    <w:rsid w:val="008607A5"/>
    <w:rsid w:val="00861E40"/>
    <w:rsid w:val="008625F2"/>
    <w:rsid w:val="00862FB7"/>
    <w:rsid w:val="00863110"/>
    <w:rsid w:val="00863851"/>
    <w:rsid w:val="00863A65"/>
    <w:rsid w:val="00863BD9"/>
    <w:rsid w:val="00863CA1"/>
    <w:rsid w:val="00863E29"/>
    <w:rsid w:val="00865300"/>
    <w:rsid w:val="00865E49"/>
    <w:rsid w:val="00866CC6"/>
    <w:rsid w:val="00866F8E"/>
    <w:rsid w:val="00866F9A"/>
    <w:rsid w:val="008677A5"/>
    <w:rsid w:val="0086789C"/>
    <w:rsid w:val="00867E30"/>
    <w:rsid w:val="00870542"/>
    <w:rsid w:val="008706C4"/>
    <w:rsid w:val="008713B0"/>
    <w:rsid w:val="00871D07"/>
    <w:rsid w:val="00871D1A"/>
    <w:rsid w:val="00871DDC"/>
    <w:rsid w:val="008729BE"/>
    <w:rsid w:val="00872DA2"/>
    <w:rsid w:val="00872F8D"/>
    <w:rsid w:val="008735F4"/>
    <w:rsid w:val="008739E2"/>
    <w:rsid w:val="00873DE4"/>
    <w:rsid w:val="008742D2"/>
    <w:rsid w:val="0087457E"/>
    <w:rsid w:val="00874977"/>
    <w:rsid w:val="00876027"/>
    <w:rsid w:val="00876244"/>
    <w:rsid w:val="00876BEE"/>
    <w:rsid w:val="008771BB"/>
    <w:rsid w:val="00877564"/>
    <w:rsid w:val="00877623"/>
    <w:rsid w:val="00877DA2"/>
    <w:rsid w:val="00880182"/>
    <w:rsid w:val="0088066B"/>
    <w:rsid w:val="00880A37"/>
    <w:rsid w:val="00880A46"/>
    <w:rsid w:val="00880C3B"/>
    <w:rsid w:val="00880CC0"/>
    <w:rsid w:val="008822D0"/>
    <w:rsid w:val="0088252F"/>
    <w:rsid w:val="00882F6D"/>
    <w:rsid w:val="008833A5"/>
    <w:rsid w:val="008840CC"/>
    <w:rsid w:val="00885EA6"/>
    <w:rsid w:val="00886C1F"/>
    <w:rsid w:val="008874C9"/>
    <w:rsid w:val="00887D69"/>
    <w:rsid w:val="00887DDA"/>
    <w:rsid w:val="0089054A"/>
    <w:rsid w:val="0089119F"/>
    <w:rsid w:val="00891D3A"/>
    <w:rsid w:val="008927F2"/>
    <w:rsid w:val="00892D68"/>
    <w:rsid w:val="008930C8"/>
    <w:rsid w:val="00893105"/>
    <w:rsid w:val="00894BC1"/>
    <w:rsid w:val="00895354"/>
    <w:rsid w:val="00896741"/>
    <w:rsid w:val="0089691D"/>
    <w:rsid w:val="00896BBC"/>
    <w:rsid w:val="00896D29"/>
    <w:rsid w:val="00896DD4"/>
    <w:rsid w:val="008972D8"/>
    <w:rsid w:val="00897671"/>
    <w:rsid w:val="008A03F8"/>
    <w:rsid w:val="008A0460"/>
    <w:rsid w:val="008A0A3F"/>
    <w:rsid w:val="008A188A"/>
    <w:rsid w:val="008A2849"/>
    <w:rsid w:val="008A292C"/>
    <w:rsid w:val="008A2EE4"/>
    <w:rsid w:val="008A2FA6"/>
    <w:rsid w:val="008A3499"/>
    <w:rsid w:val="008A39F3"/>
    <w:rsid w:val="008A3B63"/>
    <w:rsid w:val="008A412B"/>
    <w:rsid w:val="008A44BF"/>
    <w:rsid w:val="008A456C"/>
    <w:rsid w:val="008A4878"/>
    <w:rsid w:val="008A4FB1"/>
    <w:rsid w:val="008A5DAB"/>
    <w:rsid w:val="008A709C"/>
    <w:rsid w:val="008A750F"/>
    <w:rsid w:val="008A75D9"/>
    <w:rsid w:val="008A7982"/>
    <w:rsid w:val="008B089F"/>
    <w:rsid w:val="008B08BB"/>
    <w:rsid w:val="008B0E5A"/>
    <w:rsid w:val="008B150E"/>
    <w:rsid w:val="008B16B9"/>
    <w:rsid w:val="008B2349"/>
    <w:rsid w:val="008B2D77"/>
    <w:rsid w:val="008B31E7"/>
    <w:rsid w:val="008B35AE"/>
    <w:rsid w:val="008B3A54"/>
    <w:rsid w:val="008B43B5"/>
    <w:rsid w:val="008B45C8"/>
    <w:rsid w:val="008B6327"/>
    <w:rsid w:val="008B74FC"/>
    <w:rsid w:val="008B7B9E"/>
    <w:rsid w:val="008B7C2C"/>
    <w:rsid w:val="008B7E93"/>
    <w:rsid w:val="008C113A"/>
    <w:rsid w:val="008C1159"/>
    <w:rsid w:val="008C11F4"/>
    <w:rsid w:val="008C1211"/>
    <w:rsid w:val="008C12B8"/>
    <w:rsid w:val="008C1505"/>
    <w:rsid w:val="008C2686"/>
    <w:rsid w:val="008C283C"/>
    <w:rsid w:val="008C2FBC"/>
    <w:rsid w:val="008C3AD2"/>
    <w:rsid w:val="008C4A64"/>
    <w:rsid w:val="008C4C7A"/>
    <w:rsid w:val="008C4E31"/>
    <w:rsid w:val="008C5266"/>
    <w:rsid w:val="008C5587"/>
    <w:rsid w:val="008C5692"/>
    <w:rsid w:val="008C56B0"/>
    <w:rsid w:val="008C5A2D"/>
    <w:rsid w:val="008C619A"/>
    <w:rsid w:val="008C6415"/>
    <w:rsid w:val="008C75F8"/>
    <w:rsid w:val="008C79BB"/>
    <w:rsid w:val="008C7BF7"/>
    <w:rsid w:val="008D055F"/>
    <w:rsid w:val="008D05A4"/>
    <w:rsid w:val="008D0ABF"/>
    <w:rsid w:val="008D0AD4"/>
    <w:rsid w:val="008D0EA5"/>
    <w:rsid w:val="008D12A1"/>
    <w:rsid w:val="008D156D"/>
    <w:rsid w:val="008D16C0"/>
    <w:rsid w:val="008D1851"/>
    <w:rsid w:val="008D1896"/>
    <w:rsid w:val="008D2047"/>
    <w:rsid w:val="008D23E9"/>
    <w:rsid w:val="008D3335"/>
    <w:rsid w:val="008D392D"/>
    <w:rsid w:val="008D396D"/>
    <w:rsid w:val="008D3B5B"/>
    <w:rsid w:val="008D4566"/>
    <w:rsid w:val="008D4A91"/>
    <w:rsid w:val="008D5234"/>
    <w:rsid w:val="008D590D"/>
    <w:rsid w:val="008D5ACE"/>
    <w:rsid w:val="008D5BD5"/>
    <w:rsid w:val="008D5D34"/>
    <w:rsid w:val="008D5EEC"/>
    <w:rsid w:val="008D6139"/>
    <w:rsid w:val="008D642B"/>
    <w:rsid w:val="008D66AC"/>
    <w:rsid w:val="008E0423"/>
    <w:rsid w:val="008E09FB"/>
    <w:rsid w:val="008E0CD9"/>
    <w:rsid w:val="008E0EF5"/>
    <w:rsid w:val="008E10E6"/>
    <w:rsid w:val="008E1BB9"/>
    <w:rsid w:val="008E2593"/>
    <w:rsid w:val="008E2A5A"/>
    <w:rsid w:val="008E3584"/>
    <w:rsid w:val="008E53E8"/>
    <w:rsid w:val="008E56AC"/>
    <w:rsid w:val="008E5B9F"/>
    <w:rsid w:val="008E5C63"/>
    <w:rsid w:val="008E613C"/>
    <w:rsid w:val="008E6519"/>
    <w:rsid w:val="008E6F0C"/>
    <w:rsid w:val="008E7C15"/>
    <w:rsid w:val="008E7E05"/>
    <w:rsid w:val="008F007E"/>
    <w:rsid w:val="008F0E99"/>
    <w:rsid w:val="008F1495"/>
    <w:rsid w:val="008F18E6"/>
    <w:rsid w:val="008F3BBA"/>
    <w:rsid w:val="008F4728"/>
    <w:rsid w:val="008F4D04"/>
    <w:rsid w:val="008F5A50"/>
    <w:rsid w:val="008F7639"/>
    <w:rsid w:val="008F7D66"/>
    <w:rsid w:val="009000AD"/>
    <w:rsid w:val="009000B5"/>
    <w:rsid w:val="009002D1"/>
    <w:rsid w:val="00900388"/>
    <w:rsid w:val="0090060A"/>
    <w:rsid w:val="0090107C"/>
    <w:rsid w:val="009017C5"/>
    <w:rsid w:val="00902237"/>
    <w:rsid w:val="0090259C"/>
    <w:rsid w:val="00902D63"/>
    <w:rsid w:val="0090311C"/>
    <w:rsid w:val="009033F7"/>
    <w:rsid w:val="00903742"/>
    <w:rsid w:val="00904D30"/>
    <w:rsid w:val="00904DDC"/>
    <w:rsid w:val="00905036"/>
    <w:rsid w:val="00905043"/>
    <w:rsid w:val="0090528E"/>
    <w:rsid w:val="009053F9"/>
    <w:rsid w:val="009063AC"/>
    <w:rsid w:val="00906EAC"/>
    <w:rsid w:val="00906F80"/>
    <w:rsid w:val="0090794E"/>
    <w:rsid w:val="009100FC"/>
    <w:rsid w:val="0091017A"/>
    <w:rsid w:val="00910841"/>
    <w:rsid w:val="00912CFB"/>
    <w:rsid w:val="00912D62"/>
    <w:rsid w:val="009130F6"/>
    <w:rsid w:val="00913E69"/>
    <w:rsid w:val="00913FE0"/>
    <w:rsid w:val="009144FC"/>
    <w:rsid w:val="00914D44"/>
    <w:rsid w:val="00914D4E"/>
    <w:rsid w:val="0091590B"/>
    <w:rsid w:val="00915961"/>
    <w:rsid w:val="0091796F"/>
    <w:rsid w:val="00917A86"/>
    <w:rsid w:val="00917B4B"/>
    <w:rsid w:val="00920767"/>
    <w:rsid w:val="0092099E"/>
    <w:rsid w:val="00921024"/>
    <w:rsid w:val="0092106C"/>
    <w:rsid w:val="00921CBB"/>
    <w:rsid w:val="00921E75"/>
    <w:rsid w:val="00922314"/>
    <w:rsid w:val="00923021"/>
    <w:rsid w:val="0092393F"/>
    <w:rsid w:val="00923B75"/>
    <w:rsid w:val="00923D88"/>
    <w:rsid w:val="009246D6"/>
    <w:rsid w:val="00924FBC"/>
    <w:rsid w:val="009259EF"/>
    <w:rsid w:val="00925AE1"/>
    <w:rsid w:val="0092612D"/>
    <w:rsid w:val="0092661F"/>
    <w:rsid w:val="00926BB9"/>
    <w:rsid w:val="0093008C"/>
    <w:rsid w:val="00930B5B"/>
    <w:rsid w:val="009313BE"/>
    <w:rsid w:val="00931A0A"/>
    <w:rsid w:val="00932075"/>
    <w:rsid w:val="0093240C"/>
    <w:rsid w:val="00932734"/>
    <w:rsid w:val="009327E6"/>
    <w:rsid w:val="00933345"/>
    <w:rsid w:val="009336A4"/>
    <w:rsid w:val="00934BA0"/>
    <w:rsid w:val="00935ADF"/>
    <w:rsid w:val="00936049"/>
    <w:rsid w:val="00936B07"/>
    <w:rsid w:val="00936F80"/>
    <w:rsid w:val="009402C8"/>
    <w:rsid w:val="009403F0"/>
    <w:rsid w:val="00940694"/>
    <w:rsid w:val="00940F7A"/>
    <w:rsid w:val="00940F8A"/>
    <w:rsid w:val="009423C5"/>
    <w:rsid w:val="009428AC"/>
    <w:rsid w:val="009431DF"/>
    <w:rsid w:val="009432EB"/>
    <w:rsid w:val="00943885"/>
    <w:rsid w:val="00943AFC"/>
    <w:rsid w:val="00943D67"/>
    <w:rsid w:val="00943E03"/>
    <w:rsid w:val="00944716"/>
    <w:rsid w:val="0094485A"/>
    <w:rsid w:val="00944E20"/>
    <w:rsid w:val="0094542D"/>
    <w:rsid w:val="00947827"/>
    <w:rsid w:val="009502B6"/>
    <w:rsid w:val="00950802"/>
    <w:rsid w:val="00950972"/>
    <w:rsid w:val="00951681"/>
    <w:rsid w:val="00952233"/>
    <w:rsid w:val="00952A11"/>
    <w:rsid w:val="00952EAD"/>
    <w:rsid w:val="00953058"/>
    <w:rsid w:val="00953712"/>
    <w:rsid w:val="0095392C"/>
    <w:rsid w:val="00953D9C"/>
    <w:rsid w:val="00954ADB"/>
    <w:rsid w:val="00954AEF"/>
    <w:rsid w:val="00954E3B"/>
    <w:rsid w:val="00955BA2"/>
    <w:rsid w:val="0095645D"/>
    <w:rsid w:val="00956AA9"/>
    <w:rsid w:val="00957A74"/>
    <w:rsid w:val="00957E52"/>
    <w:rsid w:val="00960243"/>
    <w:rsid w:val="009604E8"/>
    <w:rsid w:val="00960BEE"/>
    <w:rsid w:val="00960D25"/>
    <w:rsid w:val="00960E7F"/>
    <w:rsid w:val="009618B0"/>
    <w:rsid w:val="00961B7A"/>
    <w:rsid w:val="0096246D"/>
    <w:rsid w:val="009624D5"/>
    <w:rsid w:val="0096293E"/>
    <w:rsid w:val="00963226"/>
    <w:rsid w:val="00963800"/>
    <w:rsid w:val="00963F5B"/>
    <w:rsid w:val="00964809"/>
    <w:rsid w:val="009652A1"/>
    <w:rsid w:val="009656AE"/>
    <w:rsid w:val="00965790"/>
    <w:rsid w:val="009672A5"/>
    <w:rsid w:val="0096741F"/>
    <w:rsid w:val="0096745C"/>
    <w:rsid w:val="00970001"/>
    <w:rsid w:val="009702B6"/>
    <w:rsid w:val="00971499"/>
    <w:rsid w:val="00972688"/>
    <w:rsid w:val="0097364D"/>
    <w:rsid w:val="00973AFD"/>
    <w:rsid w:val="00973D61"/>
    <w:rsid w:val="00974E2E"/>
    <w:rsid w:val="00974F0F"/>
    <w:rsid w:val="009753A4"/>
    <w:rsid w:val="00975488"/>
    <w:rsid w:val="009755BC"/>
    <w:rsid w:val="00975854"/>
    <w:rsid w:val="00975960"/>
    <w:rsid w:val="00975E55"/>
    <w:rsid w:val="0097608A"/>
    <w:rsid w:val="0097610E"/>
    <w:rsid w:val="0097647A"/>
    <w:rsid w:val="00977AFB"/>
    <w:rsid w:val="00977B52"/>
    <w:rsid w:val="0098060A"/>
    <w:rsid w:val="00980DEE"/>
    <w:rsid w:val="00981BAB"/>
    <w:rsid w:val="00981F2D"/>
    <w:rsid w:val="00982633"/>
    <w:rsid w:val="009827A5"/>
    <w:rsid w:val="0098284E"/>
    <w:rsid w:val="009836D3"/>
    <w:rsid w:val="00983894"/>
    <w:rsid w:val="00983AE4"/>
    <w:rsid w:val="00983C7C"/>
    <w:rsid w:val="00984410"/>
    <w:rsid w:val="00984D91"/>
    <w:rsid w:val="009851B5"/>
    <w:rsid w:val="00985538"/>
    <w:rsid w:val="0098557E"/>
    <w:rsid w:val="0098578C"/>
    <w:rsid w:val="009862EB"/>
    <w:rsid w:val="00986591"/>
    <w:rsid w:val="009874D4"/>
    <w:rsid w:val="00987523"/>
    <w:rsid w:val="00987CEB"/>
    <w:rsid w:val="00993294"/>
    <w:rsid w:val="00993E36"/>
    <w:rsid w:val="00994A8D"/>
    <w:rsid w:val="00994DF5"/>
    <w:rsid w:val="00995136"/>
    <w:rsid w:val="009A14A7"/>
    <w:rsid w:val="009A1599"/>
    <w:rsid w:val="009A19F7"/>
    <w:rsid w:val="009A1E2C"/>
    <w:rsid w:val="009A200C"/>
    <w:rsid w:val="009A28E1"/>
    <w:rsid w:val="009A295A"/>
    <w:rsid w:val="009A40DE"/>
    <w:rsid w:val="009A4306"/>
    <w:rsid w:val="009A4A17"/>
    <w:rsid w:val="009A4AB1"/>
    <w:rsid w:val="009A4FA3"/>
    <w:rsid w:val="009A51EA"/>
    <w:rsid w:val="009A5CB6"/>
    <w:rsid w:val="009A69DA"/>
    <w:rsid w:val="009A6C01"/>
    <w:rsid w:val="009A728E"/>
    <w:rsid w:val="009B01B5"/>
    <w:rsid w:val="009B0DB6"/>
    <w:rsid w:val="009B1424"/>
    <w:rsid w:val="009B1AC7"/>
    <w:rsid w:val="009B231B"/>
    <w:rsid w:val="009B2839"/>
    <w:rsid w:val="009B3065"/>
    <w:rsid w:val="009B36CA"/>
    <w:rsid w:val="009B3F11"/>
    <w:rsid w:val="009B40A2"/>
    <w:rsid w:val="009B44E8"/>
    <w:rsid w:val="009B478C"/>
    <w:rsid w:val="009B4B49"/>
    <w:rsid w:val="009B71EB"/>
    <w:rsid w:val="009B75A6"/>
    <w:rsid w:val="009C078D"/>
    <w:rsid w:val="009C1198"/>
    <w:rsid w:val="009C1477"/>
    <w:rsid w:val="009C1688"/>
    <w:rsid w:val="009C1EE4"/>
    <w:rsid w:val="009C2248"/>
    <w:rsid w:val="009C274C"/>
    <w:rsid w:val="009C2CC2"/>
    <w:rsid w:val="009C3EB2"/>
    <w:rsid w:val="009C3FB0"/>
    <w:rsid w:val="009C4084"/>
    <w:rsid w:val="009C43A7"/>
    <w:rsid w:val="009C55C7"/>
    <w:rsid w:val="009C5627"/>
    <w:rsid w:val="009C5FC1"/>
    <w:rsid w:val="009C6518"/>
    <w:rsid w:val="009C78F2"/>
    <w:rsid w:val="009D029B"/>
    <w:rsid w:val="009D0B15"/>
    <w:rsid w:val="009D1074"/>
    <w:rsid w:val="009D151C"/>
    <w:rsid w:val="009D181A"/>
    <w:rsid w:val="009D2225"/>
    <w:rsid w:val="009D3509"/>
    <w:rsid w:val="009D3826"/>
    <w:rsid w:val="009D3D9D"/>
    <w:rsid w:val="009D4077"/>
    <w:rsid w:val="009D40B8"/>
    <w:rsid w:val="009D455E"/>
    <w:rsid w:val="009D49D8"/>
    <w:rsid w:val="009D500D"/>
    <w:rsid w:val="009D5496"/>
    <w:rsid w:val="009D5C9B"/>
    <w:rsid w:val="009D61F6"/>
    <w:rsid w:val="009D6330"/>
    <w:rsid w:val="009D67A5"/>
    <w:rsid w:val="009D6BC5"/>
    <w:rsid w:val="009D6D55"/>
    <w:rsid w:val="009D712F"/>
    <w:rsid w:val="009E10BC"/>
    <w:rsid w:val="009E2445"/>
    <w:rsid w:val="009E3929"/>
    <w:rsid w:val="009E45B5"/>
    <w:rsid w:val="009E4745"/>
    <w:rsid w:val="009E4919"/>
    <w:rsid w:val="009E4CBF"/>
    <w:rsid w:val="009E4CCC"/>
    <w:rsid w:val="009E4F1C"/>
    <w:rsid w:val="009E5D04"/>
    <w:rsid w:val="009E6EAF"/>
    <w:rsid w:val="009E7255"/>
    <w:rsid w:val="009E7A23"/>
    <w:rsid w:val="009E7CAB"/>
    <w:rsid w:val="009E7CFC"/>
    <w:rsid w:val="009E7DE9"/>
    <w:rsid w:val="009F095E"/>
    <w:rsid w:val="009F0A33"/>
    <w:rsid w:val="009F19DE"/>
    <w:rsid w:val="009F1C13"/>
    <w:rsid w:val="009F2014"/>
    <w:rsid w:val="009F22C3"/>
    <w:rsid w:val="009F23D7"/>
    <w:rsid w:val="009F24AE"/>
    <w:rsid w:val="009F2B26"/>
    <w:rsid w:val="009F2EE9"/>
    <w:rsid w:val="009F314B"/>
    <w:rsid w:val="009F460C"/>
    <w:rsid w:val="009F4E36"/>
    <w:rsid w:val="009F56C1"/>
    <w:rsid w:val="009F5F2E"/>
    <w:rsid w:val="009F6248"/>
    <w:rsid w:val="009F6685"/>
    <w:rsid w:val="009F697E"/>
    <w:rsid w:val="00A0011E"/>
    <w:rsid w:val="00A002F2"/>
    <w:rsid w:val="00A0098B"/>
    <w:rsid w:val="00A01003"/>
    <w:rsid w:val="00A01255"/>
    <w:rsid w:val="00A018C1"/>
    <w:rsid w:val="00A02645"/>
    <w:rsid w:val="00A033DF"/>
    <w:rsid w:val="00A0341C"/>
    <w:rsid w:val="00A03B54"/>
    <w:rsid w:val="00A03E2B"/>
    <w:rsid w:val="00A04B97"/>
    <w:rsid w:val="00A04D02"/>
    <w:rsid w:val="00A0502A"/>
    <w:rsid w:val="00A0510A"/>
    <w:rsid w:val="00A05576"/>
    <w:rsid w:val="00A058D3"/>
    <w:rsid w:val="00A05D76"/>
    <w:rsid w:val="00A05F3B"/>
    <w:rsid w:val="00A07290"/>
    <w:rsid w:val="00A07352"/>
    <w:rsid w:val="00A07FE7"/>
    <w:rsid w:val="00A10413"/>
    <w:rsid w:val="00A10C56"/>
    <w:rsid w:val="00A114A2"/>
    <w:rsid w:val="00A119CF"/>
    <w:rsid w:val="00A12446"/>
    <w:rsid w:val="00A128F9"/>
    <w:rsid w:val="00A1303E"/>
    <w:rsid w:val="00A14A7D"/>
    <w:rsid w:val="00A15622"/>
    <w:rsid w:val="00A15A74"/>
    <w:rsid w:val="00A16544"/>
    <w:rsid w:val="00A16BA2"/>
    <w:rsid w:val="00A17501"/>
    <w:rsid w:val="00A20211"/>
    <w:rsid w:val="00A21692"/>
    <w:rsid w:val="00A22892"/>
    <w:rsid w:val="00A2309E"/>
    <w:rsid w:val="00A23680"/>
    <w:rsid w:val="00A265CC"/>
    <w:rsid w:val="00A26FA9"/>
    <w:rsid w:val="00A27650"/>
    <w:rsid w:val="00A27ED6"/>
    <w:rsid w:val="00A302B5"/>
    <w:rsid w:val="00A3061B"/>
    <w:rsid w:val="00A3153C"/>
    <w:rsid w:val="00A31590"/>
    <w:rsid w:val="00A3190F"/>
    <w:rsid w:val="00A32228"/>
    <w:rsid w:val="00A32A87"/>
    <w:rsid w:val="00A339E4"/>
    <w:rsid w:val="00A33A38"/>
    <w:rsid w:val="00A346F2"/>
    <w:rsid w:val="00A34740"/>
    <w:rsid w:val="00A34E45"/>
    <w:rsid w:val="00A35199"/>
    <w:rsid w:val="00A357EA"/>
    <w:rsid w:val="00A378D1"/>
    <w:rsid w:val="00A378DC"/>
    <w:rsid w:val="00A37B35"/>
    <w:rsid w:val="00A37BA8"/>
    <w:rsid w:val="00A40B50"/>
    <w:rsid w:val="00A4174F"/>
    <w:rsid w:val="00A41A8F"/>
    <w:rsid w:val="00A41B49"/>
    <w:rsid w:val="00A41EA3"/>
    <w:rsid w:val="00A42716"/>
    <w:rsid w:val="00A42726"/>
    <w:rsid w:val="00A42969"/>
    <w:rsid w:val="00A42C46"/>
    <w:rsid w:val="00A42F8C"/>
    <w:rsid w:val="00A4414C"/>
    <w:rsid w:val="00A44722"/>
    <w:rsid w:val="00A454C4"/>
    <w:rsid w:val="00A45EA5"/>
    <w:rsid w:val="00A4607E"/>
    <w:rsid w:val="00A46695"/>
    <w:rsid w:val="00A471D8"/>
    <w:rsid w:val="00A4736B"/>
    <w:rsid w:val="00A47A33"/>
    <w:rsid w:val="00A47D2D"/>
    <w:rsid w:val="00A50970"/>
    <w:rsid w:val="00A5167B"/>
    <w:rsid w:val="00A51971"/>
    <w:rsid w:val="00A5206B"/>
    <w:rsid w:val="00A5269C"/>
    <w:rsid w:val="00A52A42"/>
    <w:rsid w:val="00A52B09"/>
    <w:rsid w:val="00A52C9B"/>
    <w:rsid w:val="00A52EE2"/>
    <w:rsid w:val="00A536A3"/>
    <w:rsid w:val="00A53A8A"/>
    <w:rsid w:val="00A53FBB"/>
    <w:rsid w:val="00A545B0"/>
    <w:rsid w:val="00A54B58"/>
    <w:rsid w:val="00A54D7D"/>
    <w:rsid w:val="00A55611"/>
    <w:rsid w:val="00A55EB9"/>
    <w:rsid w:val="00A562AB"/>
    <w:rsid w:val="00A5696E"/>
    <w:rsid w:val="00A56C3B"/>
    <w:rsid w:val="00A56D16"/>
    <w:rsid w:val="00A56EF0"/>
    <w:rsid w:val="00A56FB8"/>
    <w:rsid w:val="00A57639"/>
    <w:rsid w:val="00A57D6E"/>
    <w:rsid w:val="00A600DB"/>
    <w:rsid w:val="00A6031B"/>
    <w:rsid w:val="00A61DEF"/>
    <w:rsid w:val="00A623A6"/>
    <w:rsid w:val="00A6310A"/>
    <w:rsid w:val="00A63D50"/>
    <w:rsid w:val="00A63F60"/>
    <w:rsid w:val="00A64100"/>
    <w:rsid w:val="00A64460"/>
    <w:rsid w:val="00A6453F"/>
    <w:rsid w:val="00A6477E"/>
    <w:rsid w:val="00A64A31"/>
    <w:rsid w:val="00A64CF4"/>
    <w:rsid w:val="00A666C5"/>
    <w:rsid w:val="00A66FB2"/>
    <w:rsid w:val="00A67692"/>
    <w:rsid w:val="00A67CE8"/>
    <w:rsid w:val="00A71D1E"/>
    <w:rsid w:val="00A71D92"/>
    <w:rsid w:val="00A72306"/>
    <w:rsid w:val="00A724F3"/>
    <w:rsid w:val="00A72DBD"/>
    <w:rsid w:val="00A73202"/>
    <w:rsid w:val="00A739D2"/>
    <w:rsid w:val="00A73A86"/>
    <w:rsid w:val="00A74144"/>
    <w:rsid w:val="00A74ADE"/>
    <w:rsid w:val="00A74F54"/>
    <w:rsid w:val="00A75C54"/>
    <w:rsid w:val="00A763B8"/>
    <w:rsid w:val="00A76D7D"/>
    <w:rsid w:val="00A77A65"/>
    <w:rsid w:val="00A77EC4"/>
    <w:rsid w:val="00A8095D"/>
    <w:rsid w:val="00A8097A"/>
    <w:rsid w:val="00A80DAA"/>
    <w:rsid w:val="00A81081"/>
    <w:rsid w:val="00A81A35"/>
    <w:rsid w:val="00A821F8"/>
    <w:rsid w:val="00A82274"/>
    <w:rsid w:val="00A82C2D"/>
    <w:rsid w:val="00A832B0"/>
    <w:rsid w:val="00A836B1"/>
    <w:rsid w:val="00A838CA"/>
    <w:rsid w:val="00A83FCD"/>
    <w:rsid w:val="00A84EA3"/>
    <w:rsid w:val="00A850FD"/>
    <w:rsid w:val="00A85583"/>
    <w:rsid w:val="00A8593B"/>
    <w:rsid w:val="00A859B6"/>
    <w:rsid w:val="00A863B2"/>
    <w:rsid w:val="00A86A94"/>
    <w:rsid w:val="00A87145"/>
    <w:rsid w:val="00A87E22"/>
    <w:rsid w:val="00A9091A"/>
    <w:rsid w:val="00A926E2"/>
    <w:rsid w:val="00A92800"/>
    <w:rsid w:val="00A931D7"/>
    <w:rsid w:val="00A93359"/>
    <w:rsid w:val="00A93DEE"/>
    <w:rsid w:val="00A9413B"/>
    <w:rsid w:val="00A94810"/>
    <w:rsid w:val="00A95202"/>
    <w:rsid w:val="00A95501"/>
    <w:rsid w:val="00A95563"/>
    <w:rsid w:val="00A969CB"/>
    <w:rsid w:val="00A971A3"/>
    <w:rsid w:val="00A973C1"/>
    <w:rsid w:val="00A97722"/>
    <w:rsid w:val="00A97F6D"/>
    <w:rsid w:val="00AA0A16"/>
    <w:rsid w:val="00AA1637"/>
    <w:rsid w:val="00AA16BC"/>
    <w:rsid w:val="00AA16F6"/>
    <w:rsid w:val="00AA1981"/>
    <w:rsid w:val="00AA1BC4"/>
    <w:rsid w:val="00AA2400"/>
    <w:rsid w:val="00AA26D6"/>
    <w:rsid w:val="00AA2D35"/>
    <w:rsid w:val="00AA3BD4"/>
    <w:rsid w:val="00AA440A"/>
    <w:rsid w:val="00AA4708"/>
    <w:rsid w:val="00AA47CC"/>
    <w:rsid w:val="00AA5166"/>
    <w:rsid w:val="00AA57EB"/>
    <w:rsid w:val="00AA5C41"/>
    <w:rsid w:val="00AA633C"/>
    <w:rsid w:val="00AA64DC"/>
    <w:rsid w:val="00AA717A"/>
    <w:rsid w:val="00AA79BF"/>
    <w:rsid w:val="00AA7B4D"/>
    <w:rsid w:val="00AA7C3E"/>
    <w:rsid w:val="00AB028F"/>
    <w:rsid w:val="00AB0FDD"/>
    <w:rsid w:val="00AB1032"/>
    <w:rsid w:val="00AB1234"/>
    <w:rsid w:val="00AB12CA"/>
    <w:rsid w:val="00AB208F"/>
    <w:rsid w:val="00AB22F2"/>
    <w:rsid w:val="00AB2CE2"/>
    <w:rsid w:val="00AB3599"/>
    <w:rsid w:val="00AB3BDF"/>
    <w:rsid w:val="00AB50A0"/>
    <w:rsid w:val="00AB54E5"/>
    <w:rsid w:val="00AB5A18"/>
    <w:rsid w:val="00AB5AA7"/>
    <w:rsid w:val="00AB6110"/>
    <w:rsid w:val="00AB6259"/>
    <w:rsid w:val="00AB671E"/>
    <w:rsid w:val="00AB6ADC"/>
    <w:rsid w:val="00AB7383"/>
    <w:rsid w:val="00AB7FFB"/>
    <w:rsid w:val="00AC01E6"/>
    <w:rsid w:val="00AC0205"/>
    <w:rsid w:val="00AC07B4"/>
    <w:rsid w:val="00AC15CB"/>
    <w:rsid w:val="00AC1F41"/>
    <w:rsid w:val="00AC24A2"/>
    <w:rsid w:val="00AC27BB"/>
    <w:rsid w:val="00AC2A15"/>
    <w:rsid w:val="00AC2B7B"/>
    <w:rsid w:val="00AC3A23"/>
    <w:rsid w:val="00AC3EFB"/>
    <w:rsid w:val="00AC409A"/>
    <w:rsid w:val="00AC502B"/>
    <w:rsid w:val="00AC5BBF"/>
    <w:rsid w:val="00AC5F8B"/>
    <w:rsid w:val="00AC610B"/>
    <w:rsid w:val="00AC68E0"/>
    <w:rsid w:val="00AC6B04"/>
    <w:rsid w:val="00AC6C7D"/>
    <w:rsid w:val="00AC7095"/>
    <w:rsid w:val="00AC7DB6"/>
    <w:rsid w:val="00AD0193"/>
    <w:rsid w:val="00AD02C0"/>
    <w:rsid w:val="00AD03EB"/>
    <w:rsid w:val="00AD1680"/>
    <w:rsid w:val="00AD19AD"/>
    <w:rsid w:val="00AD28C3"/>
    <w:rsid w:val="00AD2DD8"/>
    <w:rsid w:val="00AD2F32"/>
    <w:rsid w:val="00AD506E"/>
    <w:rsid w:val="00AD6396"/>
    <w:rsid w:val="00AD66AA"/>
    <w:rsid w:val="00AD7AF3"/>
    <w:rsid w:val="00AE01A9"/>
    <w:rsid w:val="00AE06F2"/>
    <w:rsid w:val="00AE0858"/>
    <w:rsid w:val="00AE0CDA"/>
    <w:rsid w:val="00AE100D"/>
    <w:rsid w:val="00AE10A8"/>
    <w:rsid w:val="00AE1816"/>
    <w:rsid w:val="00AE1F4F"/>
    <w:rsid w:val="00AE2843"/>
    <w:rsid w:val="00AE2BB2"/>
    <w:rsid w:val="00AE2BEB"/>
    <w:rsid w:val="00AE3721"/>
    <w:rsid w:val="00AE3737"/>
    <w:rsid w:val="00AE4D8D"/>
    <w:rsid w:val="00AE51F7"/>
    <w:rsid w:val="00AE56A0"/>
    <w:rsid w:val="00AE579D"/>
    <w:rsid w:val="00AE58AB"/>
    <w:rsid w:val="00AE5AFF"/>
    <w:rsid w:val="00AE5E07"/>
    <w:rsid w:val="00AE6D45"/>
    <w:rsid w:val="00AE6F0E"/>
    <w:rsid w:val="00AE7F19"/>
    <w:rsid w:val="00AF03CE"/>
    <w:rsid w:val="00AF173E"/>
    <w:rsid w:val="00AF1EB1"/>
    <w:rsid w:val="00AF20D8"/>
    <w:rsid w:val="00AF21DC"/>
    <w:rsid w:val="00AF220E"/>
    <w:rsid w:val="00AF2400"/>
    <w:rsid w:val="00AF32E1"/>
    <w:rsid w:val="00AF3330"/>
    <w:rsid w:val="00AF3C55"/>
    <w:rsid w:val="00AF4349"/>
    <w:rsid w:val="00AF4D2F"/>
    <w:rsid w:val="00AF4DC5"/>
    <w:rsid w:val="00AF5124"/>
    <w:rsid w:val="00AF5192"/>
    <w:rsid w:val="00AF5A21"/>
    <w:rsid w:val="00AF5BFC"/>
    <w:rsid w:val="00AF6929"/>
    <w:rsid w:val="00AF6D04"/>
    <w:rsid w:val="00AF7066"/>
    <w:rsid w:val="00B0028B"/>
    <w:rsid w:val="00B0067E"/>
    <w:rsid w:val="00B00A63"/>
    <w:rsid w:val="00B00DAD"/>
    <w:rsid w:val="00B0144A"/>
    <w:rsid w:val="00B01D73"/>
    <w:rsid w:val="00B01EF1"/>
    <w:rsid w:val="00B02057"/>
    <w:rsid w:val="00B02812"/>
    <w:rsid w:val="00B02C92"/>
    <w:rsid w:val="00B02DE4"/>
    <w:rsid w:val="00B02F5E"/>
    <w:rsid w:val="00B03601"/>
    <w:rsid w:val="00B03B00"/>
    <w:rsid w:val="00B03E67"/>
    <w:rsid w:val="00B04A7E"/>
    <w:rsid w:val="00B05374"/>
    <w:rsid w:val="00B0577E"/>
    <w:rsid w:val="00B05C93"/>
    <w:rsid w:val="00B05D1B"/>
    <w:rsid w:val="00B05D58"/>
    <w:rsid w:val="00B05E42"/>
    <w:rsid w:val="00B07C19"/>
    <w:rsid w:val="00B1008F"/>
    <w:rsid w:val="00B10545"/>
    <w:rsid w:val="00B10A81"/>
    <w:rsid w:val="00B116CF"/>
    <w:rsid w:val="00B1194A"/>
    <w:rsid w:val="00B11FF4"/>
    <w:rsid w:val="00B1215E"/>
    <w:rsid w:val="00B12A28"/>
    <w:rsid w:val="00B12AFE"/>
    <w:rsid w:val="00B12C20"/>
    <w:rsid w:val="00B12E72"/>
    <w:rsid w:val="00B1376A"/>
    <w:rsid w:val="00B139DB"/>
    <w:rsid w:val="00B14008"/>
    <w:rsid w:val="00B14A58"/>
    <w:rsid w:val="00B14FE6"/>
    <w:rsid w:val="00B153B9"/>
    <w:rsid w:val="00B155A6"/>
    <w:rsid w:val="00B1575B"/>
    <w:rsid w:val="00B175AD"/>
    <w:rsid w:val="00B17870"/>
    <w:rsid w:val="00B20690"/>
    <w:rsid w:val="00B211C5"/>
    <w:rsid w:val="00B217C8"/>
    <w:rsid w:val="00B21F8B"/>
    <w:rsid w:val="00B2219A"/>
    <w:rsid w:val="00B22352"/>
    <w:rsid w:val="00B2358E"/>
    <w:rsid w:val="00B235F5"/>
    <w:rsid w:val="00B238F2"/>
    <w:rsid w:val="00B24448"/>
    <w:rsid w:val="00B24706"/>
    <w:rsid w:val="00B24EF6"/>
    <w:rsid w:val="00B254F8"/>
    <w:rsid w:val="00B25F4F"/>
    <w:rsid w:val="00B25FF4"/>
    <w:rsid w:val="00B26C1B"/>
    <w:rsid w:val="00B26E8E"/>
    <w:rsid w:val="00B26E99"/>
    <w:rsid w:val="00B300C6"/>
    <w:rsid w:val="00B300E9"/>
    <w:rsid w:val="00B30172"/>
    <w:rsid w:val="00B30315"/>
    <w:rsid w:val="00B3037F"/>
    <w:rsid w:val="00B3057B"/>
    <w:rsid w:val="00B31289"/>
    <w:rsid w:val="00B3132E"/>
    <w:rsid w:val="00B313DA"/>
    <w:rsid w:val="00B31AF5"/>
    <w:rsid w:val="00B326F6"/>
    <w:rsid w:val="00B32C0D"/>
    <w:rsid w:val="00B32E93"/>
    <w:rsid w:val="00B32F08"/>
    <w:rsid w:val="00B3320D"/>
    <w:rsid w:val="00B332EE"/>
    <w:rsid w:val="00B3330A"/>
    <w:rsid w:val="00B3400B"/>
    <w:rsid w:val="00B34529"/>
    <w:rsid w:val="00B3583A"/>
    <w:rsid w:val="00B360BC"/>
    <w:rsid w:val="00B365B7"/>
    <w:rsid w:val="00B368F1"/>
    <w:rsid w:val="00B376E5"/>
    <w:rsid w:val="00B37A0B"/>
    <w:rsid w:val="00B37FB6"/>
    <w:rsid w:val="00B418D8"/>
    <w:rsid w:val="00B42095"/>
    <w:rsid w:val="00B42A9E"/>
    <w:rsid w:val="00B42ECB"/>
    <w:rsid w:val="00B42F4F"/>
    <w:rsid w:val="00B436B4"/>
    <w:rsid w:val="00B44766"/>
    <w:rsid w:val="00B45298"/>
    <w:rsid w:val="00B45BA3"/>
    <w:rsid w:val="00B46CAE"/>
    <w:rsid w:val="00B470FA"/>
    <w:rsid w:val="00B47FB3"/>
    <w:rsid w:val="00B50370"/>
    <w:rsid w:val="00B504C6"/>
    <w:rsid w:val="00B50F30"/>
    <w:rsid w:val="00B510A5"/>
    <w:rsid w:val="00B527A6"/>
    <w:rsid w:val="00B52C01"/>
    <w:rsid w:val="00B53051"/>
    <w:rsid w:val="00B532C0"/>
    <w:rsid w:val="00B53715"/>
    <w:rsid w:val="00B539EF"/>
    <w:rsid w:val="00B54753"/>
    <w:rsid w:val="00B54B42"/>
    <w:rsid w:val="00B54B8F"/>
    <w:rsid w:val="00B54EC8"/>
    <w:rsid w:val="00B55452"/>
    <w:rsid w:val="00B55DB0"/>
    <w:rsid w:val="00B56194"/>
    <w:rsid w:val="00B5648C"/>
    <w:rsid w:val="00B56AC6"/>
    <w:rsid w:val="00B57F40"/>
    <w:rsid w:val="00B60D1E"/>
    <w:rsid w:val="00B61286"/>
    <w:rsid w:val="00B6134E"/>
    <w:rsid w:val="00B621C9"/>
    <w:rsid w:val="00B6282B"/>
    <w:rsid w:val="00B629EA"/>
    <w:rsid w:val="00B631D6"/>
    <w:rsid w:val="00B63390"/>
    <w:rsid w:val="00B637FA"/>
    <w:rsid w:val="00B63809"/>
    <w:rsid w:val="00B63995"/>
    <w:rsid w:val="00B63BD1"/>
    <w:rsid w:val="00B63C65"/>
    <w:rsid w:val="00B641E3"/>
    <w:rsid w:val="00B64C44"/>
    <w:rsid w:val="00B64CBD"/>
    <w:rsid w:val="00B64E05"/>
    <w:rsid w:val="00B64E28"/>
    <w:rsid w:val="00B6508B"/>
    <w:rsid w:val="00B6551D"/>
    <w:rsid w:val="00B66358"/>
    <w:rsid w:val="00B6646A"/>
    <w:rsid w:val="00B6666B"/>
    <w:rsid w:val="00B66D43"/>
    <w:rsid w:val="00B67414"/>
    <w:rsid w:val="00B6777C"/>
    <w:rsid w:val="00B67BB0"/>
    <w:rsid w:val="00B67CB4"/>
    <w:rsid w:val="00B7062B"/>
    <w:rsid w:val="00B70BCF"/>
    <w:rsid w:val="00B71420"/>
    <w:rsid w:val="00B714B5"/>
    <w:rsid w:val="00B71A75"/>
    <w:rsid w:val="00B71CF3"/>
    <w:rsid w:val="00B71EE6"/>
    <w:rsid w:val="00B72530"/>
    <w:rsid w:val="00B72B50"/>
    <w:rsid w:val="00B732A8"/>
    <w:rsid w:val="00B73E8A"/>
    <w:rsid w:val="00B7411D"/>
    <w:rsid w:val="00B74651"/>
    <w:rsid w:val="00B75249"/>
    <w:rsid w:val="00B75A51"/>
    <w:rsid w:val="00B7617D"/>
    <w:rsid w:val="00B761FB"/>
    <w:rsid w:val="00B764B2"/>
    <w:rsid w:val="00B7670E"/>
    <w:rsid w:val="00B76ED8"/>
    <w:rsid w:val="00B77CBE"/>
    <w:rsid w:val="00B800B9"/>
    <w:rsid w:val="00B80481"/>
    <w:rsid w:val="00B804B6"/>
    <w:rsid w:val="00B80AD9"/>
    <w:rsid w:val="00B815F3"/>
    <w:rsid w:val="00B8168E"/>
    <w:rsid w:val="00B81855"/>
    <w:rsid w:val="00B824BB"/>
    <w:rsid w:val="00B83055"/>
    <w:rsid w:val="00B83CB5"/>
    <w:rsid w:val="00B841AF"/>
    <w:rsid w:val="00B84D81"/>
    <w:rsid w:val="00B85B15"/>
    <w:rsid w:val="00B86082"/>
    <w:rsid w:val="00B862AF"/>
    <w:rsid w:val="00B865F8"/>
    <w:rsid w:val="00B86630"/>
    <w:rsid w:val="00B8666F"/>
    <w:rsid w:val="00B86E50"/>
    <w:rsid w:val="00B8771C"/>
    <w:rsid w:val="00B8774D"/>
    <w:rsid w:val="00B87DAE"/>
    <w:rsid w:val="00B90F6C"/>
    <w:rsid w:val="00B90FDF"/>
    <w:rsid w:val="00B917C6"/>
    <w:rsid w:val="00B91BD9"/>
    <w:rsid w:val="00B91CF4"/>
    <w:rsid w:val="00B91D8B"/>
    <w:rsid w:val="00B91E60"/>
    <w:rsid w:val="00B91FEA"/>
    <w:rsid w:val="00B92341"/>
    <w:rsid w:val="00B92363"/>
    <w:rsid w:val="00B92834"/>
    <w:rsid w:val="00B932EE"/>
    <w:rsid w:val="00B934F1"/>
    <w:rsid w:val="00B936E2"/>
    <w:rsid w:val="00B93743"/>
    <w:rsid w:val="00B93B06"/>
    <w:rsid w:val="00B93C04"/>
    <w:rsid w:val="00B94CBB"/>
    <w:rsid w:val="00B94E4D"/>
    <w:rsid w:val="00B952F2"/>
    <w:rsid w:val="00B9550C"/>
    <w:rsid w:val="00B95575"/>
    <w:rsid w:val="00B95CCB"/>
    <w:rsid w:val="00B95CDD"/>
    <w:rsid w:val="00B97565"/>
    <w:rsid w:val="00B97909"/>
    <w:rsid w:val="00BA04EF"/>
    <w:rsid w:val="00BA1A23"/>
    <w:rsid w:val="00BA254F"/>
    <w:rsid w:val="00BA260D"/>
    <w:rsid w:val="00BA2A5E"/>
    <w:rsid w:val="00BA2CF1"/>
    <w:rsid w:val="00BA4115"/>
    <w:rsid w:val="00BA49D1"/>
    <w:rsid w:val="00BA5441"/>
    <w:rsid w:val="00BA664C"/>
    <w:rsid w:val="00BA6A98"/>
    <w:rsid w:val="00BA6CC8"/>
    <w:rsid w:val="00BA6D9E"/>
    <w:rsid w:val="00BA7067"/>
    <w:rsid w:val="00BA7183"/>
    <w:rsid w:val="00BA718E"/>
    <w:rsid w:val="00BA78E5"/>
    <w:rsid w:val="00BA7E27"/>
    <w:rsid w:val="00BB03CA"/>
    <w:rsid w:val="00BB133A"/>
    <w:rsid w:val="00BB1347"/>
    <w:rsid w:val="00BB1B74"/>
    <w:rsid w:val="00BB2214"/>
    <w:rsid w:val="00BB2561"/>
    <w:rsid w:val="00BB2654"/>
    <w:rsid w:val="00BB2858"/>
    <w:rsid w:val="00BB2EA7"/>
    <w:rsid w:val="00BB3181"/>
    <w:rsid w:val="00BB3A59"/>
    <w:rsid w:val="00BB3AF8"/>
    <w:rsid w:val="00BB3B90"/>
    <w:rsid w:val="00BB3DDA"/>
    <w:rsid w:val="00BB4261"/>
    <w:rsid w:val="00BB4BE0"/>
    <w:rsid w:val="00BB4C67"/>
    <w:rsid w:val="00BB4F71"/>
    <w:rsid w:val="00BB528D"/>
    <w:rsid w:val="00BB5A4C"/>
    <w:rsid w:val="00BB672B"/>
    <w:rsid w:val="00BB6A8E"/>
    <w:rsid w:val="00BB6CB1"/>
    <w:rsid w:val="00BB7470"/>
    <w:rsid w:val="00BC0051"/>
    <w:rsid w:val="00BC0222"/>
    <w:rsid w:val="00BC02C7"/>
    <w:rsid w:val="00BC0729"/>
    <w:rsid w:val="00BC0DE0"/>
    <w:rsid w:val="00BC149C"/>
    <w:rsid w:val="00BC1521"/>
    <w:rsid w:val="00BC1C79"/>
    <w:rsid w:val="00BC1FB9"/>
    <w:rsid w:val="00BC257B"/>
    <w:rsid w:val="00BC2A88"/>
    <w:rsid w:val="00BC2F85"/>
    <w:rsid w:val="00BC3502"/>
    <w:rsid w:val="00BC3C62"/>
    <w:rsid w:val="00BC3E86"/>
    <w:rsid w:val="00BC41DA"/>
    <w:rsid w:val="00BC4273"/>
    <w:rsid w:val="00BC4A92"/>
    <w:rsid w:val="00BC4D88"/>
    <w:rsid w:val="00BC5BA7"/>
    <w:rsid w:val="00BC64CD"/>
    <w:rsid w:val="00BC6577"/>
    <w:rsid w:val="00BC70C4"/>
    <w:rsid w:val="00BC7175"/>
    <w:rsid w:val="00BC7976"/>
    <w:rsid w:val="00BD130D"/>
    <w:rsid w:val="00BD137C"/>
    <w:rsid w:val="00BD2721"/>
    <w:rsid w:val="00BD3698"/>
    <w:rsid w:val="00BD37F8"/>
    <w:rsid w:val="00BD4015"/>
    <w:rsid w:val="00BD42F7"/>
    <w:rsid w:val="00BD496E"/>
    <w:rsid w:val="00BD4B45"/>
    <w:rsid w:val="00BD4CDC"/>
    <w:rsid w:val="00BD50B6"/>
    <w:rsid w:val="00BD5164"/>
    <w:rsid w:val="00BD51B0"/>
    <w:rsid w:val="00BD5950"/>
    <w:rsid w:val="00BD6192"/>
    <w:rsid w:val="00BD628C"/>
    <w:rsid w:val="00BD63A0"/>
    <w:rsid w:val="00BD658A"/>
    <w:rsid w:val="00BD6C8B"/>
    <w:rsid w:val="00BD6EC5"/>
    <w:rsid w:val="00BD7891"/>
    <w:rsid w:val="00BD7B79"/>
    <w:rsid w:val="00BD7F23"/>
    <w:rsid w:val="00BE0173"/>
    <w:rsid w:val="00BE034E"/>
    <w:rsid w:val="00BE0479"/>
    <w:rsid w:val="00BE0A2B"/>
    <w:rsid w:val="00BE128B"/>
    <w:rsid w:val="00BE150F"/>
    <w:rsid w:val="00BE15E2"/>
    <w:rsid w:val="00BE28B7"/>
    <w:rsid w:val="00BE3677"/>
    <w:rsid w:val="00BE37FA"/>
    <w:rsid w:val="00BE3F40"/>
    <w:rsid w:val="00BE40C5"/>
    <w:rsid w:val="00BE4392"/>
    <w:rsid w:val="00BE45D7"/>
    <w:rsid w:val="00BE4610"/>
    <w:rsid w:val="00BE4A0C"/>
    <w:rsid w:val="00BE4EDA"/>
    <w:rsid w:val="00BE5EEF"/>
    <w:rsid w:val="00BE66FE"/>
    <w:rsid w:val="00BE6751"/>
    <w:rsid w:val="00BE6918"/>
    <w:rsid w:val="00BE74F9"/>
    <w:rsid w:val="00BE788C"/>
    <w:rsid w:val="00BE79B0"/>
    <w:rsid w:val="00BE79E4"/>
    <w:rsid w:val="00BE7A06"/>
    <w:rsid w:val="00BF0291"/>
    <w:rsid w:val="00BF1248"/>
    <w:rsid w:val="00BF1862"/>
    <w:rsid w:val="00BF19B3"/>
    <w:rsid w:val="00BF1B7E"/>
    <w:rsid w:val="00BF1C1C"/>
    <w:rsid w:val="00BF1C34"/>
    <w:rsid w:val="00BF233F"/>
    <w:rsid w:val="00BF24D4"/>
    <w:rsid w:val="00BF252D"/>
    <w:rsid w:val="00BF2A01"/>
    <w:rsid w:val="00BF2AD3"/>
    <w:rsid w:val="00BF33B0"/>
    <w:rsid w:val="00BF477C"/>
    <w:rsid w:val="00BF48EF"/>
    <w:rsid w:val="00BF4C24"/>
    <w:rsid w:val="00BF4E4F"/>
    <w:rsid w:val="00BF5968"/>
    <w:rsid w:val="00BF645C"/>
    <w:rsid w:val="00BF6BCD"/>
    <w:rsid w:val="00BF6E5F"/>
    <w:rsid w:val="00BF6FBD"/>
    <w:rsid w:val="00C0101B"/>
    <w:rsid w:val="00C01A18"/>
    <w:rsid w:val="00C028C9"/>
    <w:rsid w:val="00C03D07"/>
    <w:rsid w:val="00C04216"/>
    <w:rsid w:val="00C047E5"/>
    <w:rsid w:val="00C04B0D"/>
    <w:rsid w:val="00C05E2C"/>
    <w:rsid w:val="00C0655B"/>
    <w:rsid w:val="00C07123"/>
    <w:rsid w:val="00C076A2"/>
    <w:rsid w:val="00C0781B"/>
    <w:rsid w:val="00C10DC4"/>
    <w:rsid w:val="00C1211E"/>
    <w:rsid w:val="00C121A2"/>
    <w:rsid w:val="00C1299B"/>
    <w:rsid w:val="00C130CD"/>
    <w:rsid w:val="00C143DC"/>
    <w:rsid w:val="00C143E9"/>
    <w:rsid w:val="00C144FE"/>
    <w:rsid w:val="00C148CC"/>
    <w:rsid w:val="00C148D6"/>
    <w:rsid w:val="00C14B06"/>
    <w:rsid w:val="00C150C1"/>
    <w:rsid w:val="00C179BB"/>
    <w:rsid w:val="00C20C85"/>
    <w:rsid w:val="00C21F0A"/>
    <w:rsid w:val="00C23305"/>
    <w:rsid w:val="00C23FC9"/>
    <w:rsid w:val="00C2448F"/>
    <w:rsid w:val="00C2501E"/>
    <w:rsid w:val="00C253A3"/>
    <w:rsid w:val="00C253F6"/>
    <w:rsid w:val="00C25648"/>
    <w:rsid w:val="00C259CA"/>
    <w:rsid w:val="00C25BAE"/>
    <w:rsid w:val="00C2611F"/>
    <w:rsid w:val="00C26334"/>
    <w:rsid w:val="00C2652D"/>
    <w:rsid w:val="00C26845"/>
    <w:rsid w:val="00C26B96"/>
    <w:rsid w:val="00C276B2"/>
    <w:rsid w:val="00C279AD"/>
    <w:rsid w:val="00C27AB5"/>
    <w:rsid w:val="00C27AD7"/>
    <w:rsid w:val="00C27B90"/>
    <w:rsid w:val="00C27C8E"/>
    <w:rsid w:val="00C27D78"/>
    <w:rsid w:val="00C30539"/>
    <w:rsid w:val="00C30CB8"/>
    <w:rsid w:val="00C30DAA"/>
    <w:rsid w:val="00C31F2C"/>
    <w:rsid w:val="00C330E8"/>
    <w:rsid w:val="00C33FCE"/>
    <w:rsid w:val="00C34046"/>
    <w:rsid w:val="00C34697"/>
    <w:rsid w:val="00C34E0F"/>
    <w:rsid w:val="00C35950"/>
    <w:rsid w:val="00C35A36"/>
    <w:rsid w:val="00C36460"/>
    <w:rsid w:val="00C364CC"/>
    <w:rsid w:val="00C36A66"/>
    <w:rsid w:val="00C37071"/>
    <w:rsid w:val="00C37270"/>
    <w:rsid w:val="00C3778F"/>
    <w:rsid w:val="00C4076C"/>
    <w:rsid w:val="00C40B5C"/>
    <w:rsid w:val="00C4161F"/>
    <w:rsid w:val="00C4228E"/>
    <w:rsid w:val="00C42970"/>
    <w:rsid w:val="00C447C7"/>
    <w:rsid w:val="00C44845"/>
    <w:rsid w:val="00C44DC1"/>
    <w:rsid w:val="00C450D8"/>
    <w:rsid w:val="00C451DA"/>
    <w:rsid w:val="00C45402"/>
    <w:rsid w:val="00C465E3"/>
    <w:rsid w:val="00C46630"/>
    <w:rsid w:val="00C471F1"/>
    <w:rsid w:val="00C4737B"/>
    <w:rsid w:val="00C4744B"/>
    <w:rsid w:val="00C475BB"/>
    <w:rsid w:val="00C4779F"/>
    <w:rsid w:val="00C47A33"/>
    <w:rsid w:val="00C50283"/>
    <w:rsid w:val="00C50376"/>
    <w:rsid w:val="00C50D3D"/>
    <w:rsid w:val="00C50E51"/>
    <w:rsid w:val="00C5111C"/>
    <w:rsid w:val="00C51858"/>
    <w:rsid w:val="00C51C67"/>
    <w:rsid w:val="00C522B0"/>
    <w:rsid w:val="00C53506"/>
    <w:rsid w:val="00C543D1"/>
    <w:rsid w:val="00C5445F"/>
    <w:rsid w:val="00C54E34"/>
    <w:rsid w:val="00C54FB3"/>
    <w:rsid w:val="00C550C6"/>
    <w:rsid w:val="00C55790"/>
    <w:rsid w:val="00C574CD"/>
    <w:rsid w:val="00C57E75"/>
    <w:rsid w:val="00C609C1"/>
    <w:rsid w:val="00C61353"/>
    <w:rsid w:val="00C613E3"/>
    <w:rsid w:val="00C618CE"/>
    <w:rsid w:val="00C619F9"/>
    <w:rsid w:val="00C621DD"/>
    <w:rsid w:val="00C62290"/>
    <w:rsid w:val="00C629D1"/>
    <w:rsid w:val="00C62B55"/>
    <w:rsid w:val="00C63EAC"/>
    <w:rsid w:val="00C64F98"/>
    <w:rsid w:val="00C657A1"/>
    <w:rsid w:val="00C65DEB"/>
    <w:rsid w:val="00C65EA8"/>
    <w:rsid w:val="00C66928"/>
    <w:rsid w:val="00C7060F"/>
    <w:rsid w:val="00C711C1"/>
    <w:rsid w:val="00C716C4"/>
    <w:rsid w:val="00C71777"/>
    <w:rsid w:val="00C718ED"/>
    <w:rsid w:val="00C7276D"/>
    <w:rsid w:val="00C7283F"/>
    <w:rsid w:val="00C73149"/>
    <w:rsid w:val="00C7325A"/>
    <w:rsid w:val="00C73310"/>
    <w:rsid w:val="00C7384F"/>
    <w:rsid w:val="00C74832"/>
    <w:rsid w:val="00C74AF7"/>
    <w:rsid w:val="00C74B37"/>
    <w:rsid w:val="00C75355"/>
    <w:rsid w:val="00C754E6"/>
    <w:rsid w:val="00C756A5"/>
    <w:rsid w:val="00C75781"/>
    <w:rsid w:val="00C75A18"/>
    <w:rsid w:val="00C75D35"/>
    <w:rsid w:val="00C76215"/>
    <w:rsid w:val="00C76288"/>
    <w:rsid w:val="00C76316"/>
    <w:rsid w:val="00C76512"/>
    <w:rsid w:val="00C7653E"/>
    <w:rsid w:val="00C768CA"/>
    <w:rsid w:val="00C76B5F"/>
    <w:rsid w:val="00C77768"/>
    <w:rsid w:val="00C809CC"/>
    <w:rsid w:val="00C813BD"/>
    <w:rsid w:val="00C8156A"/>
    <w:rsid w:val="00C81839"/>
    <w:rsid w:val="00C8191B"/>
    <w:rsid w:val="00C821C5"/>
    <w:rsid w:val="00C822EA"/>
    <w:rsid w:val="00C828DA"/>
    <w:rsid w:val="00C828E7"/>
    <w:rsid w:val="00C82D30"/>
    <w:rsid w:val="00C82DF4"/>
    <w:rsid w:val="00C8318F"/>
    <w:rsid w:val="00C8353F"/>
    <w:rsid w:val="00C838BC"/>
    <w:rsid w:val="00C83CCB"/>
    <w:rsid w:val="00C84148"/>
    <w:rsid w:val="00C845B8"/>
    <w:rsid w:val="00C85020"/>
    <w:rsid w:val="00C8512B"/>
    <w:rsid w:val="00C85940"/>
    <w:rsid w:val="00C8688F"/>
    <w:rsid w:val="00C86F7F"/>
    <w:rsid w:val="00C8763D"/>
    <w:rsid w:val="00C8777E"/>
    <w:rsid w:val="00C8796D"/>
    <w:rsid w:val="00C87D09"/>
    <w:rsid w:val="00C87DB0"/>
    <w:rsid w:val="00C90101"/>
    <w:rsid w:val="00C92025"/>
    <w:rsid w:val="00C9228D"/>
    <w:rsid w:val="00C927F1"/>
    <w:rsid w:val="00C92C7B"/>
    <w:rsid w:val="00C932E6"/>
    <w:rsid w:val="00C94F1E"/>
    <w:rsid w:val="00C94FA3"/>
    <w:rsid w:val="00C956B0"/>
    <w:rsid w:val="00C95A5E"/>
    <w:rsid w:val="00C95C0A"/>
    <w:rsid w:val="00C95E04"/>
    <w:rsid w:val="00C962C6"/>
    <w:rsid w:val="00C967E2"/>
    <w:rsid w:val="00C97A29"/>
    <w:rsid w:val="00CA02C5"/>
    <w:rsid w:val="00CA0826"/>
    <w:rsid w:val="00CA09D7"/>
    <w:rsid w:val="00CA0DD3"/>
    <w:rsid w:val="00CA10A6"/>
    <w:rsid w:val="00CA110C"/>
    <w:rsid w:val="00CA1A55"/>
    <w:rsid w:val="00CA1CD2"/>
    <w:rsid w:val="00CA1F69"/>
    <w:rsid w:val="00CA2C7D"/>
    <w:rsid w:val="00CA33C2"/>
    <w:rsid w:val="00CA3401"/>
    <w:rsid w:val="00CA3C27"/>
    <w:rsid w:val="00CA4AE7"/>
    <w:rsid w:val="00CA4F7F"/>
    <w:rsid w:val="00CA5264"/>
    <w:rsid w:val="00CA596F"/>
    <w:rsid w:val="00CA5A5A"/>
    <w:rsid w:val="00CA633E"/>
    <w:rsid w:val="00CA6D09"/>
    <w:rsid w:val="00CA7DC8"/>
    <w:rsid w:val="00CA7DF7"/>
    <w:rsid w:val="00CA7F0D"/>
    <w:rsid w:val="00CB187E"/>
    <w:rsid w:val="00CB1EA1"/>
    <w:rsid w:val="00CB28BF"/>
    <w:rsid w:val="00CB292D"/>
    <w:rsid w:val="00CB2A4E"/>
    <w:rsid w:val="00CB2E38"/>
    <w:rsid w:val="00CB3686"/>
    <w:rsid w:val="00CB3D2C"/>
    <w:rsid w:val="00CB400D"/>
    <w:rsid w:val="00CB403B"/>
    <w:rsid w:val="00CB5302"/>
    <w:rsid w:val="00CB5626"/>
    <w:rsid w:val="00CB60F7"/>
    <w:rsid w:val="00CB63B4"/>
    <w:rsid w:val="00CB65A7"/>
    <w:rsid w:val="00CB6636"/>
    <w:rsid w:val="00CB6B7A"/>
    <w:rsid w:val="00CB6EF4"/>
    <w:rsid w:val="00CB76D3"/>
    <w:rsid w:val="00CC09E9"/>
    <w:rsid w:val="00CC121A"/>
    <w:rsid w:val="00CC1249"/>
    <w:rsid w:val="00CC12C1"/>
    <w:rsid w:val="00CC24D1"/>
    <w:rsid w:val="00CC2C82"/>
    <w:rsid w:val="00CC2CE7"/>
    <w:rsid w:val="00CC2EB1"/>
    <w:rsid w:val="00CC3011"/>
    <w:rsid w:val="00CC3024"/>
    <w:rsid w:val="00CC30FB"/>
    <w:rsid w:val="00CC3149"/>
    <w:rsid w:val="00CC362D"/>
    <w:rsid w:val="00CC3B54"/>
    <w:rsid w:val="00CC4013"/>
    <w:rsid w:val="00CC4E1F"/>
    <w:rsid w:val="00CC5CD2"/>
    <w:rsid w:val="00CC5D97"/>
    <w:rsid w:val="00CC5DEC"/>
    <w:rsid w:val="00CC6395"/>
    <w:rsid w:val="00CC6973"/>
    <w:rsid w:val="00CC6BEB"/>
    <w:rsid w:val="00CC6C17"/>
    <w:rsid w:val="00CC78B0"/>
    <w:rsid w:val="00CC7EC0"/>
    <w:rsid w:val="00CD0241"/>
    <w:rsid w:val="00CD0393"/>
    <w:rsid w:val="00CD09AB"/>
    <w:rsid w:val="00CD1025"/>
    <w:rsid w:val="00CD2716"/>
    <w:rsid w:val="00CD294C"/>
    <w:rsid w:val="00CD298E"/>
    <w:rsid w:val="00CD2A1B"/>
    <w:rsid w:val="00CD3574"/>
    <w:rsid w:val="00CD3C15"/>
    <w:rsid w:val="00CD3E74"/>
    <w:rsid w:val="00CD43CB"/>
    <w:rsid w:val="00CD44E0"/>
    <w:rsid w:val="00CD4983"/>
    <w:rsid w:val="00CD4F04"/>
    <w:rsid w:val="00CD5C23"/>
    <w:rsid w:val="00CD5C3D"/>
    <w:rsid w:val="00CD5D23"/>
    <w:rsid w:val="00CD6117"/>
    <w:rsid w:val="00CD61B1"/>
    <w:rsid w:val="00CD61D3"/>
    <w:rsid w:val="00CD6626"/>
    <w:rsid w:val="00CD6B06"/>
    <w:rsid w:val="00CD7264"/>
    <w:rsid w:val="00CD780A"/>
    <w:rsid w:val="00CE12C1"/>
    <w:rsid w:val="00CE1AE5"/>
    <w:rsid w:val="00CE2080"/>
    <w:rsid w:val="00CE2883"/>
    <w:rsid w:val="00CE2913"/>
    <w:rsid w:val="00CE2A52"/>
    <w:rsid w:val="00CE2A6A"/>
    <w:rsid w:val="00CE2FD5"/>
    <w:rsid w:val="00CE34A5"/>
    <w:rsid w:val="00CE3966"/>
    <w:rsid w:val="00CE3FA6"/>
    <w:rsid w:val="00CE4B1C"/>
    <w:rsid w:val="00CE4E0C"/>
    <w:rsid w:val="00CE50DE"/>
    <w:rsid w:val="00CE517F"/>
    <w:rsid w:val="00CE51D2"/>
    <w:rsid w:val="00CE5868"/>
    <w:rsid w:val="00CE5C87"/>
    <w:rsid w:val="00CE6284"/>
    <w:rsid w:val="00CE7798"/>
    <w:rsid w:val="00CF00D9"/>
    <w:rsid w:val="00CF1A20"/>
    <w:rsid w:val="00CF1FBA"/>
    <w:rsid w:val="00CF2049"/>
    <w:rsid w:val="00CF4982"/>
    <w:rsid w:val="00CF4EC0"/>
    <w:rsid w:val="00CF5347"/>
    <w:rsid w:val="00CF593E"/>
    <w:rsid w:val="00CF61B4"/>
    <w:rsid w:val="00CF6559"/>
    <w:rsid w:val="00CF6862"/>
    <w:rsid w:val="00CF6C88"/>
    <w:rsid w:val="00D00034"/>
    <w:rsid w:val="00D00195"/>
    <w:rsid w:val="00D022A5"/>
    <w:rsid w:val="00D026C7"/>
    <w:rsid w:val="00D02B5D"/>
    <w:rsid w:val="00D03FD8"/>
    <w:rsid w:val="00D050D1"/>
    <w:rsid w:val="00D050F3"/>
    <w:rsid w:val="00D05306"/>
    <w:rsid w:val="00D05596"/>
    <w:rsid w:val="00D06200"/>
    <w:rsid w:val="00D0648C"/>
    <w:rsid w:val="00D06997"/>
    <w:rsid w:val="00D07286"/>
    <w:rsid w:val="00D078F4"/>
    <w:rsid w:val="00D1015D"/>
    <w:rsid w:val="00D102A8"/>
    <w:rsid w:val="00D1097F"/>
    <w:rsid w:val="00D11502"/>
    <w:rsid w:val="00D11527"/>
    <w:rsid w:val="00D12CD9"/>
    <w:rsid w:val="00D13192"/>
    <w:rsid w:val="00D13C6C"/>
    <w:rsid w:val="00D141F0"/>
    <w:rsid w:val="00D1476E"/>
    <w:rsid w:val="00D14827"/>
    <w:rsid w:val="00D153D8"/>
    <w:rsid w:val="00D15DB6"/>
    <w:rsid w:val="00D15FF6"/>
    <w:rsid w:val="00D1623E"/>
    <w:rsid w:val="00D168E4"/>
    <w:rsid w:val="00D169EA"/>
    <w:rsid w:val="00D16AC0"/>
    <w:rsid w:val="00D16AFB"/>
    <w:rsid w:val="00D1759F"/>
    <w:rsid w:val="00D17614"/>
    <w:rsid w:val="00D1768A"/>
    <w:rsid w:val="00D202C2"/>
    <w:rsid w:val="00D20F55"/>
    <w:rsid w:val="00D210F4"/>
    <w:rsid w:val="00D211A8"/>
    <w:rsid w:val="00D21268"/>
    <w:rsid w:val="00D21271"/>
    <w:rsid w:val="00D219F4"/>
    <w:rsid w:val="00D22060"/>
    <w:rsid w:val="00D22219"/>
    <w:rsid w:val="00D23102"/>
    <w:rsid w:val="00D23F97"/>
    <w:rsid w:val="00D2437A"/>
    <w:rsid w:val="00D24813"/>
    <w:rsid w:val="00D24A73"/>
    <w:rsid w:val="00D24C94"/>
    <w:rsid w:val="00D250E4"/>
    <w:rsid w:val="00D257DF"/>
    <w:rsid w:val="00D25A2B"/>
    <w:rsid w:val="00D25A2E"/>
    <w:rsid w:val="00D25A97"/>
    <w:rsid w:val="00D25F49"/>
    <w:rsid w:val="00D260D3"/>
    <w:rsid w:val="00D26962"/>
    <w:rsid w:val="00D269D8"/>
    <w:rsid w:val="00D26A3E"/>
    <w:rsid w:val="00D27084"/>
    <w:rsid w:val="00D2727A"/>
    <w:rsid w:val="00D27339"/>
    <w:rsid w:val="00D27952"/>
    <w:rsid w:val="00D30206"/>
    <w:rsid w:val="00D30293"/>
    <w:rsid w:val="00D31BE4"/>
    <w:rsid w:val="00D31D38"/>
    <w:rsid w:val="00D32206"/>
    <w:rsid w:val="00D3260A"/>
    <w:rsid w:val="00D329A6"/>
    <w:rsid w:val="00D32F20"/>
    <w:rsid w:val="00D331D0"/>
    <w:rsid w:val="00D33471"/>
    <w:rsid w:val="00D339B9"/>
    <w:rsid w:val="00D348CD"/>
    <w:rsid w:val="00D34B5F"/>
    <w:rsid w:val="00D35D5F"/>
    <w:rsid w:val="00D36B1D"/>
    <w:rsid w:val="00D36E63"/>
    <w:rsid w:val="00D37DC3"/>
    <w:rsid w:val="00D40098"/>
    <w:rsid w:val="00D407CB"/>
    <w:rsid w:val="00D40E61"/>
    <w:rsid w:val="00D41233"/>
    <w:rsid w:val="00D41873"/>
    <w:rsid w:val="00D41901"/>
    <w:rsid w:val="00D41D0F"/>
    <w:rsid w:val="00D422A2"/>
    <w:rsid w:val="00D433D3"/>
    <w:rsid w:val="00D4345D"/>
    <w:rsid w:val="00D4467C"/>
    <w:rsid w:val="00D4593A"/>
    <w:rsid w:val="00D46AFD"/>
    <w:rsid w:val="00D50009"/>
    <w:rsid w:val="00D50248"/>
    <w:rsid w:val="00D507A7"/>
    <w:rsid w:val="00D50AC6"/>
    <w:rsid w:val="00D50C02"/>
    <w:rsid w:val="00D50CA8"/>
    <w:rsid w:val="00D510C6"/>
    <w:rsid w:val="00D51BB4"/>
    <w:rsid w:val="00D51D4E"/>
    <w:rsid w:val="00D51D6F"/>
    <w:rsid w:val="00D523F6"/>
    <w:rsid w:val="00D52782"/>
    <w:rsid w:val="00D52F73"/>
    <w:rsid w:val="00D53D29"/>
    <w:rsid w:val="00D53D78"/>
    <w:rsid w:val="00D5402D"/>
    <w:rsid w:val="00D548C7"/>
    <w:rsid w:val="00D54B48"/>
    <w:rsid w:val="00D553BB"/>
    <w:rsid w:val="00D5547D"/>
    <w:rsid w:val="00D556D8"/>
    <w:rsid w:val="00D55D9A"/>
    <w:rsid w:val="00D572ED"/>
    <w:rsid w:val="00D5748A"/>
    <w:rsid w:val="00D6030D"/>
    <w:rsid w:val="00D60AFB"/>
    <w:rsid w:val="00D60E66"/>
    <w:rsid w:val="00D6256B"/>
    <w:rsid w:val="00D62710"/>
    <w:rsid w:val="00D62AE8"/>
    <w:rsid w:val="00D6303D"/>
    <w:rsid w:val="00D63330"/>
    <w:rsid w:val="00D63C22"/>
    <w:rsid w:val="00D63DD9"/>
    <w:rsid w:val="00D63F09"/>
    <w:rsid w:val="00D643D4"/>
    <w:rsid w:val="00D64728"/>
    <w:rsid w:val="00D64CD3"/>
    <w:rsid w:val="00D64D5C"/>
    <w:rsid w:val="00D64D7F"/>
    <w:rsid w:val="00D65134"/>
    <w:rsid w:val="00D656D4"/>
    <w:rsid w:val="00D6647F"/>
    <w:rsid w:val="00D666CF"/>
    <w:rsid w:val="00D6675A"/>
    <w:rsid w:val="00D66BAB"/>
    <w:rsid w:val="00D67342"/>
    <w:rsid w:val="00D67E6A"/>
    <w:rsid w:val="00D703A6"/>
    <w:rsid w:val="00D707B6"/>
    <w:rsid w:val="00D70B7B"/>
    <w:rsid w:val="00D714EC"/>
    <w:rsid w:val="00D718FD"/>
    <w:rsid w:val="00D724ED"/>
    <w:rsid w:val="00D73002"/>
    <w:rsid w:val="00D73AAD"/>
    <w:rsid w:val="00D7472F"/>
    <w:rsid w:val="00D74AAD"/>
    <w:rsid w:val="00D74DBE"/>
    <w:rsid w:val="00D74DEF"/>
    <w:rsid w:val="00D74ED0"/>
    <w:rsid w:val="00D75EA0"/>
    <w:rsid w:val="00D75F90"/>
    <w:rsid w:val="00D76A04"/>
    <w:rsid w:val="00D77558"/>
    <w:rsid w:val="00D777EC"/>
    <w:rsid w:val="00D77AD5"/>
    <w:rsid w:val="00D77D44"/>
    <w:rsid w:val="00D8043C"/>
    <w:rsid w:val="00D8153D"/>
    <w:rsid w:val="00D81A99"/>
    <w:rsid w:val="00D81CB2"/>
    <w:rsid w:val="00D820A3"/>
    <w:rsid w:val="00D83EFA"/>
    <w:rsid w:val="00D84CE5"/>
    <w:rsid w:val="00D851BB"/>
    <w:rsid w:val="00D852F4"/>
    <w:rsid w:val="00D8587B"/>
    <w:rsid w:val="00D859AF"/>
    <w:rsid w:val="00D85F02"/>
    <w:rsid w:val="00D90AE6"/>
    <w:rsid w:val="00D90DB9"/>
    <w:rsid w:val="00D91366"/>
    <w:rsid w:val="00D91A1D"/>
    <w:rsid w:val="00D91A59"/>
    <w:rsid w:val="00D92BE8"/>
    <w:rsid w:val="00D93109"/>
    <w:rsid w:val="00D9368F"/>
    <w:rsid w:val="00D9371C"/>
    <w:rsid w:val="00D93D25"/>
    <w:rsid w:val="00D94955"/>
    <w:rsid w:val="00D94ABE"/>
    <w:rsid w:val="00D95D52"/>
    <w:rsid w:val="00D95FA0"/>
    <w:rsid w:val="00D9616D"/>
    <w:rsid w:val="00D96382"/>
    <w:rsid w:val="00D964BF"/>
    <w:rsid w:val="00D964DE"/>
    <w:rsid w:val="00D966DE"/>
    <w:rsid w:val="00D9672C"/>
    <w:rsid w:val="00D96CE4"/>
    <w:rsid w:val="00DA1CDA"/>
    <w:rsid w:val="00DA23AE"/>
    <w:rsid w:val="00DA2427"/>
    <w:rsid w:val="00DA2972"/>
    <w:rsid w:val="00DA29D6"/>
    <w:rsid w:val="00DA2BD0"/>
    <w:rsid w:val="00DA2CB1"/>
    <w:rsid w:val="00DA3B27"/>
    <w:rsid w:val="00DA3BFE"/>
    <w:rsid w:val="00DA3DE7"/>
    <w:rsid w:val="00DA3E9F"/>
    <w:rsid w:val="00DA45B5"/>
    <w:rsid w:val="00DA4908"/>
    <w:rsid w:val="00DA4E7B"/>
    <w:rsid w:val="00DA5209"/>
    <w:rsid w:val="00DA5897"/>
    <w:rsid w:val="00DA6BBC"/>
    <w:rsid w:val="00DA6CE5"/>
    <w:rsid w:val="00DA72E3"/>
    <w:rsid w:val="00DA7352"/>
    <w:rsid w:val="00DA7994"/>
    <w:rsid w:val="00DB0779"/>
    <w:rsid w:val="00DB0C5C"/>
    <w:rsid w:val="00DB1175"/>
    <w:rsid w:val="00DB179B"/>
    <w:rsid w:val="00DB17C6"/>
    <w:rsid w:val="00DB1FAC"/>
    <w:rsid w:val="00DB2D1E"/>
    <w:rsid w:val="00DB360B"/>
    <w:rsid w:val="00DB368A"/>
    <w:rsid w:val="00DB36ED"/>
    <w:rsid w:val="00DB3B58"/>
    <w:rsid w:val="00DB40DF"/>
    <w:rsid w:val="00DB41C9"/>
    <w:rsid w:val="00DB4B3C"/>
    <w:rsid w:val="00DB539C"/>
    <w:rsid w:val="00DB55A0"/>
    <w:rsid w:val="00DB55C9"/>
    <w:rsid w:val="00DB5A41"/>
    <w:rsid w:val="00DB5BC5"/>
    <w:rsid w:val="00DB664F"/>
    <w:rsid w:val="00DB689C"/>
    <w:rsid w:val="00DB6B9F"/>
    <w:rsid w:val="00DB774D"/>
    <w:rsid w:val="00DB7AE2"/>
    <w:rsid w:val="00DB7D4D"/>
    <w:rsid w:val="00DC02B5"/>
    <w:rsid w:val="00DC0DFE"/>
    <w:rsid w:val="00DC12A0"/>
    <w:rsid w:val="00DC1C26"/>
    <w:rsid w:val="00DC2108"/>
    <w:rsid w:val="00DC2140"/>
    <w:rsid w:val="00DC2D3E"/>
    <w:rsid w:val="00DC2F8A"/>
    <w:rsid w:val="00DC3043"/>
    <w:rsid w:val="00DC3F50"/>
    <w:rsid w:val="00DC43FA"/>
    <w:rsid w:val="00DC44A0"/>
    <w:rsid w:val="00DC4E88"/>
    <w:rsid w:val="00DC51E4"/>
    <w:rsid w:val="00DC57B0"/>
    <w:rsid w:val="00DC5C1D"/>
    <w:rsid w:val="00DC6186"/>
    <w:rsid w:val="00DC624E"/>
    <w:rsid w:val="00DC75A3"/>
    <w:rsid w:val="00DC7FAA"/>
    <w:rsid w:val="00DD01DB"/>
    <w:rsid w:val="00DD0218"/>
    <w:rsid w:val="00DD0776"/>
    <w:rsid w:val="00DD0CF1"/>
    <w:rsid w:val="00DD1470"/>
    <w:rsid w:val="00DD251D"/>
    <w:rsid w:val="00DD372A"/>
    <w:rsid w:val="00DD4628"/>
    <w:rsid w:val="00DD4B7D"/>
    <w:rsid w:val="00DD4F87"/>
    <w:rsid w:val="00DD5AFD"/>
    <w:rsid w:val="00DD69FF"/>
    <w:rsid w:val="00DD7E9A"/>
    <w:rsid w:val="00DE0B96"/>
    <w:rsid w:val="00DE16A4"/>
    <w:rsid w:val="00DE16E2"/>
    <w:rsid w:val="00DE1AFE"/>
    <w:rsid w:val="00DE1B34"/>
    <w:rsid w:val="00DE1CFB"/>
    <w:rsid w:val="00DE1F2A"/>
    <w:rsid w:val="00DE2C53"/>
    <w:rsid w:val="00DE2F55"/>
    <w:rsid w:val="00DE31CE"/>
    <w:rsid w:val="00DE3392"/>
    <w:rsid w:val="00DE33A9"/>
    <w:rsid w:val="00DE3AC2"/>
    <w:rsid w:val="00DE3C05"/>
    <w:rsid w:val="00DE40F0"/>
    <w:rsid w:val="00DE41C2"/>
    <w:rsid w:val="00DE47B2"/>
    <w:rsid w:val="00DE532F"/>
    <w:rsid w:val="00DE5573"/>
    <w:rsid w:val="00DE5666"/>
    <w:rsid w:val="00DE64B2"/>
    <w:rsid w:val="00DE663E"/>
    <w:rsid w:val="00DE69FD"/>
    <w:rsid w:val="00DE6F9D"/>
    <w:rsid w:val="00DE71F6"/>
    <w:rsid w:val="00DE73F0"/>
    <w:rsid w:val="00DF0572"/>
    <w:rsid w:val="00DF0803"/>
    <w:rsid w:val="00DF09B7"/>
    <w:rsid w:val="00DF1E91"/>
    <w:rsid w:val="00DF24C2"/>
    <w:rsid w:val="00DF250C"/>
    <w:rsid w:val="00DF275F"/>
    <w:rsid w:val="00DF2893"/>
    <w:rsid w:val="00DF2B88"/>
    <w:rsid w:val="00DF2D96"/>
    <w:rsid w:val="00DF32CF"/>
    <w:rsid w:val="00DF33B3"/>
    <w:rsid w:val="00DF3419"/>
    <w:rsid w:val="00DF5368"/>
    <w:rsid w:val="00DF57D0"/>
    <w:rsid w:val="00DF5E47"/>
    <w:rsid w:val="00DF6333"/>
    <w:rsid w:val="00DF64BD"/>
    <w:rsid w:val="00DF6B64"/>
    <w:rsid w:val="00DF73DA"/>
    <w:rsid w:val="00DF7608"/>
    <w:rsid w:val="00DF77D8"/>
    <w:rsid w:val="00E003EB"/>
    <w:rsid w:val="00E0049B"/>
    <w:rsid w:val="00E00CDD"/>
    <w:rsid w:val="00E00DA0"/>
    <w:rsid w:val="00E00F7A"/>
    <w:rsid w:val="00E01D4A"/>
    <w:rsid w:val="00E0215E"/>
    <w:rsid w:val="00E024A9"/>
    <w:rsid w:val="00E02A0C"/>
    <w:rsid w:val="00E0374A"/>
    <w:rsid w:val="00E037D0"/>
    <w:rsid w:val="00E039DF"/>
    <w:rsid w:val="00E04361"/>
    <w:rsid w:val="00E04C59"/>
    <w:rsid w:val="00E04FEA"/>
    <w:rsid w:val="00E0531A"/>
    <w:rsid w:val="00E05418"/>
    <w:rsid w:val="00E05C61"/>
    <w:rsid w:val="00E0620E"/>
    <w:rsid w:val="00E069F2"/>
    <w:rsid w:val="00E06C99"/>
    <w:rsid w:val="00E0714C"/>
    <w:rsid w:val="00E0732B"/>
    <w:rsid w:val="00E074F5"/>
    <w:rsid w:val="00E074F8"/>
    <w:rsid w:val="00E077DF"/>
    <w:rsid w:val="00E10190"/>
    <w:rsid w:val="00E101C5"/>
    <w:rsid w:val="00E104D3"/>
    <w:rsid w:val="00E12119"/>
    <w:rsid w:val="00E12351"/>
    <w:rsid w:val="00E13848"/>
    <w:rsid w:val="00E14266"/>
    <w:rsid w:val="00E14961"/>
    <w:rsid w:val="00E1559D"/>
    <w:rsid w:val="00E165A0"/>
    <w:rsid w:val="00E16CFC"/>
    <w:rsid w:val="00E170E4"/>
    <w:rsid w:val="00E17A32"/>
    <w:rsid w:val="00E17B98"/>
    <w:rsid w:val="00E17BF1"/>
    <w:rsid w:val="00E20A22"/>
    <w:rsid w:val="00E20CB0"/>
    <w:rsid w:val="00E21BE5"/>
    <w:rsid w:val="00E22A2E"/>
    <w:rsid w:val="00E22A50"/>
    <w:rsid w:val="00E22F4F"/>
    <w:rsid w:val="00E23525"/>
    <w:rsid w:val="00E239F8"/>
    <w:rsid w:val="00E23C4A"/>
    <w:rsid w:val="00E24DFC"/>
    <w:rsid w:val="00E24F57"/>
    <w:rsid w:val="00E26E6C"/>
    <w:rsid w:val="00E30026"/>
    <w:rsid w:val="00E30963"/>
    <w:rsid w:val="00E30EEC"/>
    <w:rsid w:val="00E310A8"/>
    <w:rsid w:val="00E312D1"/>
    <w:rsid w:val="00E323AD"/>
    <w:rsid w:val="00E329F2"/>
    <w:rsid w:val="00E33104"/>
    <w:rsid w:val="00E33487"/>
    <w:rsid w:val="00E33C7B"/>
    <w:rsid w:val="00E33D1D"/>
    <w:rsid w:val="00E34289"/>
    <w:rsid w:val="00E343E0"/>
    <w:rsid w:val="00E3482D"/>
    <w:rsid w:val="00E348B4"/>
    <w:rsid w:val="00E34F3A"/>
    <w:rsid w:val="00E35630"/>
    <w:rsid w:val="00E35719"/>
    <w:rsid w:val="00E35B4F"/>
    <w:rsid w:val="00E3612C"/>
    <w:rsid w:val="00E368B2"/>
    <w:rsid w:val="00E36B58"/>
    <w:rsid w:val="00E373D1"/>
    <w:rsid w:val="00E37730"/>
    <w:rsid w:val="00E37A9B"/>
    <w:rsid w:val="00E37A9F"/>
    <w:rsid w:val="00E37C95"/>
    <w:rsid w:val="00E37FD1"/>
    <w:rsid w:val="00E401A3"/>
    <w:rsid w:val="00E40C11"/>
    <w:rsid w:val="00E41249"/>
    <w:rsid w:val="00E41B3E"/>
    <w:rsid w:val="00E42DE3"/>
    <w:rsid w:val="00E42E14"/>
    <w:rsid w:val="00E430A1"/>
    <w:rsid w:val="00E433C2"/>
    <w:rsid w:val="00E43415"/>
    <w:rsid w:val="00E43D06"/>
    <w:rsid w:val="00E4503E"/>
    <w:rsid w:val="00E451CC"/>
    <w:rsid w:val="00E45562"/>
    <w:rsid w:val="00E45D12"/>
    <w:rsid w:val="00E4651A"/>
    <w:rsid w:val="00E46BA4"/>
    <w:rsid w:val="00E46D8A"/>
    <w:rsid w:val="00E46DA3"/>
    <w:rsid w:val="00E47221"/>
    <w:rsid w:val="00E47B9C"/>
    <w:rsid w:val="00E50205"/>
    <w:rsid w:val="00E50861"/>
    <w:rsid w:val="00E5146C"/>
    <w:rsid w:val="00E515CE"/>
    <w:rsid w:val="00E517AD"/>
    <w:rsid w:val="00E52683"/>
    <w:rsid w:val="00E52DC5"/>
    <w:rsid w:val="00E5302E"/>
    <w:rsid w:val="00E53DA2"/>
    <w:rsid w:val="00E53F4E"/>
    <w:rsid w:val="00E53FE3"/>
    <w:rsid w:val="00E54495"/>
    <w:rsid w:val="00E546A3"/>
    <w:rsid w:val="00E54B3A"/>
    <w:rsid w:val="00E55812"/>
    <w:rsid w:val="00E55AAA"/>
    <w:rsid w:val="00E567F4"/>
    <w:rsid w:val="00E56B2D"/>
    <w:rsid w:val="00E60112"/>
    <w:rsid w:val="00E6017E"/>
    <w:rsid w:val="00E605AB"/>
    <w:rsid w:val="00E60AF7"/>
    <w:rsid w:val="00E6174D"/>
    <w:rsid w:val="00E6222C"/>
    <w:rsid w:val="00E624B2"/>
    <w:rsid w:val="00E62DE9"/>
    <w:rsid w:val="00E62FE1"/>
    <w:rsid w:val="00E63A2B"/>
    <w:rsid w:val="00E6402C"/>
    <w:rsid w:val="00E648F1"/>
    <w:rsid w:val="00E65769"/>
    <w:rsid w:val="00E6608C"/>
    <w:rsid w:val="00E66304"/>
    <w:rsid w:val="00E665F3"/>
    <w:rsid w:val="00E6685C"/>
    <w:rsid w:val="00E66A48"/>
    <w:rsid w:val="00E66A51"/>
    <w:rsid w:val="00E66A8C"/>
    <w:rsid w:val="00E677F8"/>
    <w:rsid w:val="00E67E37"/>
    <w:rsid w:val="00E706C6"/>
    <w:rsid w:val="00E707F0"/>
    <w:rsid w:val="00E70886"/>
    <w:rsid w:val="00E70E5B"/>
    <w:rsid w:val="00E71C22"/>
    <w:rsid w:val="00E7281E"/>
    <w:rsid w:val="00E72F95"/>
    <w:rsid w:val="00E737DA"/>
    <w:rsid w:val="00E73D7D"/>
    <w:rsid w:val="00E73F54"/>
    <w:rsid w:val="00E74C0F"/>
    <w:rsid w:val="00E74FEB"/>
    <w:rsid w:val="00E75725"/>
    <w:rsid w:val="00E75A0E"/>
    <w:rsid w:val="00E762EC"/>
    <w:rsid w:val="00E764F8"/>
    <w:rsid w:val="00E767E2"/>
    <w:rsid w:val="00E76E3F"/>
    <w:rsid w:val="00E77B0A"/>
    <w:rsid w:val="00E80602"/>
    <w:rsid w:val="00E80A5F"/>
    <w:rsid w:val="00E80CB8"/>
    <w:rsid w:val="00E81142"/>
    <w:rsid w:val="00E8144A"/>
    <w:rsid w:val="00E8144E"/>
    <w:rsid w:val="00E826BC"/>
    <w:rsid w:val="00E84318"/>
    <w:rsid w:val="00E84C3C"/>
    <w:rsid w:val="00E86A45"/>
    <w:rsid w:val="00E86B31"/>
    <w:rsid w:val="00E876F8"/>
    <w:rsid w:val="00E87977"/>
    <w:rsid w:val="00E87DD2"/>
    <w:rsid w:val="00E9023C"/>
    <w:rsid w:val="00E90493"/>
    <w:rsid w:val="00E923A1"/>
    <w:rsid w:val="00E92AFF"/>
    <w:rsid w:val="00E93913"/>
    <w:rsid w:val="00E948D1"/>
    <w:rsid w:val="00E94E68"/>
    <w:rsid w:val="00E94F61"/>
    <w:rsid w:val="00E94FEE"/>
    <w:rsid w:val="00E95272"/>
    <w:rsid w:val="00E965F0"/>
    <w:rsid w:val="00E96A6D"/>
    <w:rsid w:val="00E9753D"/>
    <w:rsid w:val="00E97BBA"/>
    <w:rsid w:val="00E97C2A"/>
    <w:rsid w:val="00EA0113"/>
    <w:rsid w:val="00EA062D"/>
    <w:rsid w:val="00EA06F1"/>
    <w:rsid w:val="00EA0BFE"/>
    <w:rsid w:val="00EA0E55"/>
    <w:rsid w:val="00EA11B7"/>
    <w:rsid w:val="00EA2558"/>
    <w:rsid w:val="00EA2566"/>
    <w:rsid w:val="00EA2A8A"/>
    <w:rsid w:val="00EA2EA3"/>
    <w:rsid w:val="00EA3521"/>
    <w:rsid w:val="00EA37C3"/>
    <w:rsid w:val="00EA3EFD"/>
    <w:rsid w:val="00EA45DA"/>
    <w:rsid w:val="00EA63FF"/>
    <w:rsid w:val="00EA645E"/>
    <w:rsid w:val="00EA6594"/>
    <w:rsid w:val="00EA6D49"/>
    <w:rsid w:val="00EA6F5B"/>
    <w:rsid w:val="00EA765E"/>
    <w:rsid w:val="00EA7EE1"/>
    <w:rsid w:val="00EB0088"/>
    <w:rsid w:val="00EB084A"/>
    <w:rsid w:val="00EB11BA"/>
    <w:rsid w:val="00EB12EF"/>
    <w:rsid w:val="00EB2078"/>
    <w:rsid w:val="00EB2560"/>
    <w:rsid w:val="00EB294A"/>
    <w:rsid w:val="00EB371E"/>
    <w:rsid w:val="00EB3925"/>
    <w:rsid w:val="00EB3BB2"/>
    <w:rsid w:val="00EB432A"/>
    <w:rsid w:val="00EB451E"/>
    <w:rsid w:val="00EB46BD"/>
    <w:rsid w:val="00EB49F5"/>
    <w:rsid w:val="00EB546D"/>
    <w:rsid w:val="00EB66B5"/>
    <w:rsid w:val="00EB76BC"/>
    <w:rsid w:val="00EB7EB8"/>
    <w:rsid w:val="00EB7EDE"/>
    <w:rsid w:val="00EC0976"/>
    <w:rsid w:val="00EC09C9"/>
    <w:rsid w:val="00EC0F07"/>
    <w:rsid w:val="00EC22C6"/>
    <w:rsid w:val="00EC5391"/>
    <w:rsid w:val="00EC6276"/>
    <w:rsid w:val="00EC64E1"/>
    <w:rsid w:val="00EC6DB9"/>
    <w:rsid w:val="00EC7235"/>
    <w:rsid w:val="00EC731C"/>
    <w:rsid w:val="00EC7705"/>
    <w:rsid w:val="00EC781D"/>
    <w:rsid w:val="00ED028E"/>
    <w:rsid w:val="00ED03E1"/>
    <w:rsid w:val="00ED0412"/>
    <w:rsid w:val="00ED05FF"/>
    <w:rsid w:val="00ED090D"/>
    <w:rsid w:val="00ED0ADA"/>
    <w:rsid w:val="00ED2B56"/>
    <w:rsid w:val="00ED2E2B"/>
    <w:rsid w:val="00ED2E80"/>
    <w:rsid w:val="00ED3258"/>
    <w:rsid w:val="00ED38F7"/>
    <w:rsid w:val="00ED3EB2"/>
    <w:rsid w:val="00ED4193"/>
    <w:rsid w:val="00ED44F5"/>
    <w:rsid w:val="00ED4580"/>
    <w:rsid w:val="00ED53F7"/>
    <w:rsid w:val="00ED585F"/>
    <w:rsid w:val="00ED5CEE"/>
    <w:rsid w:val="00ED5D1B"/>
    <w:rsid w:val="00ED5E55"/>
    <w:rsid w:val="00ED627C"/>
    <w:rsid w:val="00ED63BD"/>
    <w:rsid w:val="00ED6485"/>
    <w:rsid w:val="00ED6CEA"/>
    <w:rsid w:val="00ED75AB"/>
    <w:rsid w:val="00EE0A21"/>
    <w:rsid w:val="00EE0B49"/>
    <w:rsid w:val="00EE0B7D"/>
    <w:rsid w:val="00EE15DF"/>
    <w:rsid w:val="00EE172D"/>
    <w:rsid w:val="00EE31C8"/>
    <w:rsid w:val="00EE3A26"/>
    <w:rsid w:val="00EE3A64"/>
    <w:rsid w:val="00EE3F9E"/>
    <w:rsid w:val="00EE4415"/>
    <w:rsid w:val="00EE4820"/>
    <w:rsid w:val="00EE4CB3"/>
    <w:rsid w:val="00EE572C"/>
    <w:rsid w:val="00EE5777"/>
    <w:rsid w:val="00EE59F2"/>
    <w:rsid w:val="00EE66B3"/>
    <w:rsid w:val="00EE6EC3"/>
    <w:rsid w:val="00EE7951"/>
    <w:rsid w:val="00EE7B83"/>
    <w:rsid w:val="00EE7D56"/>
    <w:rsid w:val="00EE7EB1"/>
    <w:rsid w:val="00EF015E"/>
    <w:rsid w:val="00EF01FE"/>
    <w:rsid w:val="00EF0E2C"/>
    <w:rsid w:val="00EF1211"/>
    <w:rsid w:val="00EF1AD3"/>
    <w:rsid w:val="00EF1D88"/>
    <w:rsid w:val="00EF2373"/>
    <w:rsid w:val="00EF2437"/>
    <w:rsid w:val="00EF2811"/>
    <w:rsid w:val="00EF2A2E"/>
    <w:rsid w:val="00EF2BD7"/>
    <w:rsid w:val="00EF3357"/>
    <w:rsid w:val="00EF382F"/>
    <w:rsid w:val="00EF3BC3"/>
    <w:rsid w:val="00EF41F5"/>
    <w:rsid w:val="00EF4734"/>
    <w:rsid w:val="00EF4F6A"/>
    <w:rsid w:val="00EF5F88"/>
    <w:rsid w:val="00EF647F"/>
    <w:rsid w:val="00EF6C06"/>
    <w:rsid w:val="00EF71F1"/>
    <w:rsid w:val="00EF720E"/>
    <w:rsid w:val="00EF7659"/>
    <w:rsid w:val="00EF7781"/>
    <w:rsid w:val="00EF7D7F"/>
    <w:rsid w:val="00F00357"/>
    <w:rsid w:val="00F00891"/>
    <w:rsid w:val="00F00C7E"/>
    <w:rsid w:val="00F01018"/>
    <w:rsid w:val="00F01094"/>
    <w:rsid w:val="00F011FC"/>
    <w:rsid w:val="00F01842"/>
    <w:rsid w:val="00F020F4"/>
    <w:rsid w:val="00F02363"/>
    <w:rsid w:val="00F03DF3"/>
    <w:rsid w:val="00F04DB4"/>
    <w:rsid w:val="00F05088"/>
    <w:rsid w:val="00F0538E"/>
    <w:rsid w:val="00F0558A"/>
    <w:rsid w:val="00F06595"/>
    <w:rsid w:val="00F06FB7"/>
    <w:rsid w:val="00F07306"/>
    <w:rsid w:val="00F07F42"/>
    <w:rsid w:val="00F10DE6"/>
    <w:rsid w:val="00F10E0C"/>
    <w:rsid w:val="00F110CB"/>
    <w:rsid w:val="00F112BD"/>
    <w:rsid w:val="00F114F5"/>
    <w:rsid w:val="00F12B45"/>
    <w:rsid w:val="00F13BE4"/>
    <w:rsid w:val="00F13DF1"/>
    <w:rsid w:val="00F13F5B"/>
    <w:rsid w:val="00F1489A"/>
    <w:rsid w:val="00F14BD9"/>
    <w:rsid w:val="00F15313"/>
    <w:rsid w:val="00F16F07"/>
    <w:rsid w:val="00F17051"/>
    <w:rsid w:val="00F17E9E"/>
    <w:rsid w:val="00F17FCD"/>
    <w:rsid w:val="00F213A6"/>
    <w:rsid w:val="00F217A7"/>
    <w:rsid w:val="00F21E9B"/>
    <w:rsid w:val="00F22656"/>
    <w:rsid w:val="00F22661"/>
    <w:rsid w:val="00F22B7F"/>
    <w:rsid w:val="00F23DBF"/>
    <w:rsid w:val="00F24C4B"/>
    <w:rsid w:val="00F25A08"/>
    <w:rsid w:val="00F25A99"/>
    <w:rsid w:val="00F25C5B"/>
    <w:rsid w:val="00F26167"/>
    <w:rsid w:val="00F26D7A"/>
    <w:rsid w:val="00F275A6"/>
    <w:rsid w:val="00F27F7D"/>
    <w:rsid w:val="00F309C9"/>
    <w:rsid w:val="00F31505"/>
    <w:rsid w:val="00F31B7D"/>
    <w:rsid w:val="00F31BD9"/>
    <w:rsid w:val="00F3233A"/>
    <w:rsid w:val="00F32439"/>
    <w:rsid w:val="00F325A3"/>
    <w:rsid w:val="00F32857"/>
    <w:rsid w:val="00F32DC7"/>
    <w:rsid w:val="00F3316A"/>
    <w:rsid w:val="00F3382E"/>
    <w:rsid w:val="00F33DC2"/>
    <w:rsid w:val="00F34702"/>
    <w:rsid w:val="00F35107"/>
    <w:rsid w:val="00F35504"/>
    <w:rsid w:val="00F35A5B"/>
    <w:rsid w:val="00F3708D"/>
    <w:rsid w:val="00F371CF"/>
    <w:rsid w:val="00F402DA"/>
    <w:rsid w:val="00F40618"/>
    <w:rsid w:val="00F407A5"/>
    <w:rsid w:val="00F41920"/>
    <w:rsid w:val="00F4195B"/>
    <w:rsid w:val="00F41BA1"/>
    <w:rsid w:val="00F42129"/>
    <w:rsid w:val="00F42889"/>
    <w:rsid w:val="00F42B73"/>
    <w:rsid w:val="00F42FA6"/>
    <w:rsid w:val="00F4308A"/>
    <w:rsid w:val="00F43E0B"/>
    <w:rsid w:val="00F43E5D"/>
    <w:rsid w:val="00F44478"/>
    <w:rsid w:val="00F44517"/>
    <w:rsid w:val="00F447A9"/>
    <w:rsid w:val="00F449E3"/>
    <w:rsid w:val="00F44CC8"/>
    <w:rsid w:val="00F44D57"/>
    <w:rsid w:val="00F45036"/>
    <w:rsid w:val="00F452C6"/>
    <w:rsid w:val="00F45440"/>
    <w:rsid w:val="00F45658"/>
    <w:rsid w:val="00F45B6E"/>
    <w:rsid w:val="00F46090"/>
    <w:rsid w:val="00F466E1"/>
    <w:rsid w:val="00F467BD"/>
    <w:rsid w:val="00F46EE4"/>
    <w:rsid w:val="00F477D7"/>
    <w:rsid w:val="00F477FD"/>
    <w:rsid w:val="00F5059D"/>
    <w:rsid w:val="00F50E91"/>
    <w:rsid w:val="00F5332B"/>
    <w:rsid w:val="00F5400D"/>
    <w:rsid w:val="00F54395"/>
    <w:rsid w:val="00F5532F"/>
    <w:rsid w:val="00F5546E"/>
    <w:rsid w:val="00F5576D"/>
    <w:rsid w:val="00F57B51"/>
    <w:rsid w:val="00F57C15"/>
    <w:rsid w:val="00F603C4"/>
    <w:rsid w:val="00F60C25"/>
    <w:rsid w:val="00F62960"/>
    <w:rsid w:val="00F62A63"/>
    <w:rsid w:val="00F62C01"/>
    <w:rsid w:val="00F62E3A"/>
    <w:rsid w:val="00F63113"/>
    <w:rsid w:val="00F633EF"/>
    <w:rsid w:val="00F63AAB"/>
    <w:rsid w:val="00F64C6E"/>
    <w:rsid w:val="00F64F1B"/>
    <w:rsid w:val="00F657D3"/>
    <w:rsid w:val="00F65D66"/>
    <w:rsid w:val="00F65E3E"/>
    <w:rsid w:val="00F6723B"/>
    <w:rsid w:val="00F677A7"/>
    <w:rsid w:val="00F70787"/>
    <w:rsid w:val="00F70E4F"/>
    <w:rsid w:val="00F712B2"/>
    <w:rsid w:val="00F7261D"/>
    <w:rsid w:val="00F7288A"/>
    <w:rsid w:val="00F7300F"/>
    <w:rsid w:val="00F730AD"/>
    <w:rsid w:val="00F73A73"/>
    <w:rsid w:val="00F740A5"/>
    <w:rsid w:val="00F742A8"/>
    <w:rsid w:val="00F744EC"/>
    <w:rsid w:val="00F745A3"/>
    <w:rsid w:val="00F745BB"/>
    <w:rsid w:val="00F74668"/>
    <w:rsid w:val="00F75872"/>
    <w:rsid w:val="00F76635"/>
    <w:rsid w:val="00F7750C"/>
    <w:rsid w:val="00F77C48"/>
    <w:rsid w:val="00F77E59"/>
    <w:rsid w:val="00F80525"/>
    <w:rsid w:val="00F80E55"/>
    <w:rsid w:val="00F81FD6"/>
    <w:rsid w:val="00F822AF"/>
    <w:rsid w:val="00F8269F"/>
    <w:rsid w:val="00F82B71"/>
    <w:rsid w:val="00F8404F"/>
    <w:rsid w:val="00F843A3"/>
    <w:rsid w:val="00F854D9"/>
    <w:rsid w:val="00F854EA"/>
    <w:rsid w:val="00F859DC"/>
    <w:rsid w:val="00F85E64"/>
    <w:rsid w:val="00F86320"/>
    <w:rsid w:val="00F86A54"/>
    <w:rsid w:val="00F86ACC"/>
    <w:rsid w:val="00F871A4"/>
    <w:rsid w:val="00F87363"/>
    <w:rsid w:val="00F9023B"/>
    <w:rsid w:val="00F90305"/>
    <w:rsid w:val="00F909C9"/>
    <w:rsid w:val="00F91A68"/>
    <w:rsid w:val="00F91E3A"/>
    <w:rsid w:val="00F92521"/>
    <w:rsid w:val="00F92B47"/>
    <w:rsid w:val="00F93A25"/>
    <w:rsid w:val="00F94C5C"/>
    <w:rsid w:val="00F94C6A"/>
    <w:rsid w:val="00F94D10"/>
    <w:rsid w:val="00F953C2"/>
    <w:rsid w:val="00F95AAA"/>
    <w:rsid w:val="00F95B19"/>
    <w:rsid w:val="00F9632F"/>
    <w:rsid w:val="00F968A2"/>
    <w:rsid w:val="00F969D7"/>
    <w:rsid w:val="00F96C35"/>
    <w:rsid w:val="00F97AE3"/>
    <w:rsid w:val="00FA0B47"/>
    <w:rsid w:val="00FA0E9E"/>
    <w:rsid w:val="00FA0EA3"/>
    <w:rsid w:val="00FA1248"/>
    <w:rsid w:val="00FA178F"/>
    <w:rsid w:val="00FA1AE2"/>
    <w:rsid w:val="00FA1F1E"/>
    <w:rsid w:val="00FA2C4C"/>
    <w:rsid w:val="00FA3446"/>
    <w:rsid w:val="00FA345E"/>
    <w:rsid w:val="00FA36C9"/>
    <w:rsid w:val="00FA383F"/>
    <w:rsid w:val="00FA4120"/>
    <w:rsid w:val="00FA5AF4"/>
    <w:rsid w:val="00FA5B0E"/>
    <w:rsid w:val="00FA5B4A"/>
    <w:rsid w:val="00FA5D76"/>
    <w:rsid w:val="00FA6001"/>
    <w:rsid w:val="00FA68F2"/>
    <w:rsid w:val="00FA6C93"/>
    <w:rsid w:val="00FA6E7C"/>
    <w:rsid w:val="00FA6F7F"/>
    <w:rsid w:val="00FA73F1"/>
    <w:rsid w:val="00FA763D"/>
    <w:rsid w:val="00FA78EE"/>
    <w:rsid w:val="00FB074F"/>
    <w:rsid w:val="00FB08C2"/>
    <w:rsid w:val="00FB097C"/>
    <w:rsid w:val="00FB1BD9"/>
    <w:rsid w:val="00FB2103"/>
    <w:rsid w:val="00FB255D"/>
    <w:rsid w:val="00FB2D98"/>
    <w:rsid w:val="00FB324C"/>
    <w:rsid w:val="00FB396B"/>
    <w:rsid w:val="00FB53A9"/>
    <w:rsid w:val="00FB5AB1"/>
    <w:rsid w:val="00FB5C53"/>
    <w:rsid w:val="00FB6D24"/>
    <w:rsid w:val="00FB73AB"/>
    <w:rsid w:val="00FB77DE"/>
    <w:rsid w:val="00FB7E19"/>
    <w:rsid w:val="00FC015E"/>
    <w:rsid w:val="00FC0951"/>
    <w:rsid w:val="00FC0C8C"/>
    <w:rsid w:val="00FC0CFB"/>
    <w:rsid w:val="00FC0E9B"/>
    <w:rsid w:val="00FC0F4F"/>
    <w:rsid w:val="00FC201D"/>
    <w:rsid w:val="00FC2415"/>
    <w:rsid w:val="00FC29BE"/>
    <w:rsid w:val="00FC322C"/>
    <w:rsid w:val="00FC341B"/>
    <w:rsid w:val="00FC480D"/>
    <w:rsid w:val="00FC54FC"/>
    <w:rsid w:val="00FC6E68"/>
    <w:rsid w:val="00FC743D"/>
    <w:rsid w:val="00FC79A4"/>
    <w:rsid w:val="00FC7FC9"/>
    <w:rsid w:val="00FD0815"/>
    <w:rsid w:val="00FD0C71"/>
    <w:rsid w:val="00FD0EE0"/>
    <w:rsid w:val="00FD1062"/>
    <w:rsid w:val="00FD13DD"/>
    <w:rsid w:val="00FD16F2"/>
    <w:rsid w:val="00FD1759"/>
    <w:rsid w:val="00FD2015"/>
    <w:rsid w:val="00FD3540"/>
    <w:rsid w:val="00FD3D96"/>
    <w:rsid w:val="00FD4416"/>
    <w:rsid w:val="00FD4CEE"/>
    <w:rsid w:val="00FD4D21"/>
    <w:rsid w:val="00FD5A75"/>
    <w:rsid w:val="00FD62ED"/>
    <w:rsid w:val="00FD65B5"/>
    <w:rsid w:val="00FD6C38"/>
    <w:rsid w:val="00FD7974"/>
    <w:rsid w:val="00FD7AA5"/>
    <w:rsid w:val="00FD7ADD"/>
    <w:rsid w:val="00FE042F"/>
    <w:rsid w:val="00FE0594"/>
    <w:rsid w:val="00FE146E"/>
    <w:rsid w:val="00FE148B"/>
    <w:rsid w:val="00FE1BFF"/>
    <w:rsid w:val="00FE1EC1"/>
    <w:rsid w:val="00FE2027"/>
    <w:rsid w:val="00FE22DE"/>
    <w:rsid w:val="00FE25B9"/>
    <w:rsid w:val="00FE2C00"/>
    <w:rsid w:val="00FE3106"/>
    <w:rsid w:val="00FE43DD"/>
    <w:rsid w:val="00FE5143"/>
    <w:rsid w:val="00FE5637"/>
    <w:rsid w:val="00FE59D4"/>
    <w:rsid w:val="00FE67FF"/>
    <w:rsid w:val="00FE7535"/>
    <w:rsid w:val="00FF026D"/>
    <w:rsid w:val="00FF11FA"/>
    <w:rsid w:val="00FF1F9D"/>
    <w:rsid w:val="00FF396B"/>
    <w:rsid w:val="00FF466E"/>
    <w:rsid w:val="00FF4AA1"/>
    <w:rsid w:val="00FF541C"/>
    <w:rsid w:val="00FF5D6A"/>
    <w:rsid w:val="00FF5E89"/>
    <w:rsid w:val="00FF63A6"/>
    <w:rsid w:val="00FF69A2"/>
    <w:rsid w:val="00FF74DF"/>
    <w:rsid w:val="01397787"/>
    <w:rsid w:val="014B53EB"/>
    <w:rsid w:val="01741C12"/>
    <w:rsid w:val="03552EFC"/>
    <w:rsid w:val="036F4CD3"/>
    <w:rsid w:val="04E3693F"/>
    <w:rsid w:val="058461D3"/>
    <w:rsid w:val="06567F61"/>
    <w:rsid w:val="066B3286"/>
    <w:rsid w:val="073C7346"/>
    <w:rsid w:val="07E0413F"/>
    <w:rsid w:val="08653A8B"/>
    <w:rsid w:val="089039BE"/>
    <w:rsid w:val="08BD1773"/>
    <w:rsid w:val="090858F1"/>
    <w:rsid w:val="095626AE"/>
    <w:rsid w:val="099723E8"/>
    <w:rsid w:val="0A272F9E"/>
    <w:rsid w:val="0A38155C"/>
    <w:rsid w:val="0B5A6CC4"/>
    <w:rsid w:val="0C0442A8"/>
    <w:rsid w:val="0DD92FBE"/>
    <w:rsid w:val="0E0A57AD"/>
    <w:rsid w:val="0E647F3D"/>
    <w:rsid w:val="0EC02979"/>
    <w:rsid w:val="0ED9314A"/>
    <w:rsid w:val="0F4104CB"/>
    <w:rsid w:val="0FB326AC"/>
    <w:rsid w:val="10401F77"/>
    <w:rsid w:val="124C61C8"/>
    <w:rsid w:val="125A2A00"/>
    <w:rsid w:val="12922474"/>
    <w:rsid w:val="132F5322"/>
    <w:rsid w:val="13E34FBF"/>
    <w:rsid w:val="14AD66A2"/>
    <w:rsid w:val="156D4F60"/>
    <w:rsid w:val="16075DBB"/>
    <w:rsid w:val="173C6683"/>
    <w:rsid w:val="17A103B5"/>
    <w:rsid w:val="17DF1755"/>
    <w:rsid w:val="17F73494"/>
    <w:rsid w:val="1A05285F"/>
    <w:rsid w:val="1A7B38C8"/>
    <w:rsid w:val="1B0662A4"/>
    <w:rsid w:val="1B9F32A9"/>
    <w:rsid w:val="1CEE57EB"/>
    <w:rsid w:val="1D301FDD"/>
    <w:rsid w:val="1D9E1C58"/>
    <w:rsid w:val="1E0366EA"/>
    <w:rsid w:val="1E4310C3"/>
    <w:rsid w:val="1EC077ED"/>
    <w:rsid w:val="1F3F482D"/>
    <w:rsid w:val="1F4E7AFC"/>
    <w:rsid w:val="20024A1C"/>
    <w:rsid w:val="2030445E"/>
    <w:rsid w:val="204E7F95"/>
    <w:rsid w:val="204F0BA2"/>
    <w:rsid w:val="2090110A"/>
    <w:rsid w:val="20FA6082"/>
    <w:rsid w:val="215F0A65"/>
    <w:rsid w:val="217368C6"/>
    <w:rsid w:val="22653856"/>
    <w:rsid w:val="23C63835"/>
    <w:rsid w:val="24BB03E0"/>
    <w:rsid w:val="25100C9C"/>
    <w:rsid w:val="25921904"/>
    <w:rsid w:val="26EF8641"/>
    <w:rsid w:val="282131A0"/>
    <w:rsid w:val="29945C9E"/>
    <w:rsid w:val="29B877E7"/>
    <w:rsid w:val="2A3D7ED5"/>
    <w:rsid w:val="2A4E1F5E"/>
    <w:rsid w:val="2B5E19F9"/>
    <w:rsid w:val="2BFE3501"/>
    <w:rsid w:val="2CA4124A"/>
    <w:rsid w:val="2D7E0791"/>
    <w:rsid w:val="2DA932F9"/>
    <w:rsid w:val="2DEC562D"/>
    <w:rsid w:val="2EA25130"/>
    <w:rsid w:val="2F025A41"/>
    <w:rsid w:val="2FB45F45"/>
    <w:rsid w:val="30073970"/>
    <w:rsid w:val="3081369E"/>
    <w:rsid w:val="321D74CB"/>
    <w:rsid w:val="32885A06"/>
    <w:rsid w:val="349768B2"/>
    <w:rsid w:val="35735978"/>
    <w:rsid w:val="36272666"/>
    <w:rsid w:val="36B06A1E"/>
    <w:rsid w:val="374951FC"/>
    <w:rsid w:val="378B3495"/>
    <w:rsid w:val="37C33973"/>
    <w:rsid w:val="38457815"/>
    <w:rsid w:val="389A24F8"/>
    <w:rsid w:val="390852F4"/>
    <w:rsid w:val="391B3324"/>
    <w:rsid w:val="3A5C021B"/>
    <w:rsid w:val="3AE75851"/>
    <w:rsid w:val="3BBE2EED"/>
    <w:rsid w:val="3C293E48"/>
    <w:rsid w:val="3CE66628"/>
    <w:rsid w:val="3D760447"/>
    <w:rsid w:val="3D8A14CB"/>
    <w:rsid w:val="3DAA4047"/>
    <w:rsid w:val="3DB97180"/>
    <w:rsid w:val="3E2250DE"/>
    <w:rsid w:val="3E413AD7"/>
    <w:rsid w:val="3F5FF95C"/>
    <w:rsid w:val="3F7EFE7E"/>
    <w:rsid w:val="406849CD"/>
    <w:rsid w:val="407E73D7"/>
    <w:rsid w:val="410320E5"/>
    <w:rsid w:val="41807B75"/>
    <w:rsid w:val="423E6DFB"/>
    <w:rsid w:val="42D552CA"/>
    <w:rsid w:val="43C5258C"/>
    <w:rsid w:val="44734FF2"/>
    <w:rsid w:val="44962661"/>
    <w:rsid w:val="44965EE1"/>
    <w:rsid w:val="45CC5630"/>
    <w:rsid w:val="46E333D7"/>
    <w:rsid w:val="472E1CC7"/>
    <w:rsid w:val="487807D8"/>
    <w:rsid w:val="48F06A43"/>
    <w:rsid w:val="493A595C"/>
    <w:rsid w:val="49871A83"/>
    <w:rsid w:val="499D0342"/>
    <w:rsid w:val="49F72ABE"/>
    <w:rsid w:val="4A167AB6"/>
    <w:rsid w:val="4A5F3DC9"/>
    <w:rsid w:val="4AF537EC"/>
    <w:rsid w:val="4C020595"/>
    <w:rsid w:val="4C084797"/>
    <w:rsid w:val="4D130E0F"/>
    <w:rsid w:val="4D7417BF"/>
    <w:rsid w:val="4D9708C3"/>
    <w:rsid w:val="4EFC565A"/>
    <w:rsid w:val="4F986B34"/>
    <w:rsid w:val="4FC07A3B"/>
    <w:rsid w:val="505C0F03"/>
    <w:rsid w:val="50645221"/>
    <w:rsid w:val="50C45397"/>
    <w:rsid w:val="50E23309"/>
    <w:rsid w:val="5128741E"/>
    <w:rsid w:val="516249C6"/>
    <w:rsid w:val="53E40D23"/>
    <w:rsid w:val="54BF3389"/>
    <w:rsid w:val="54C42EB0"/>
    <w:rsid w:val="565A10DE"/>
    <w:rsid w:val="5735039B"/>
    <w:rsid w:val="579F5669"/>
    <w:rsid w:val="581945AD"/>
    <w:rsid w:val="59BE03C1"/>
    <w:rsid w:val="59F55596"/>
    <w:rsid w:val="59FD5DAF"/>
    <w:rsid w:val="5A3E2AAD"/>
    <w:rsid w:val="5B2F11FB"/>
    <w:rsid w:val="5C456639"/>
    <w:rsid w:val="5D123132"/>
    <w:rsid w:val="5D8D1F64"/>
    <w:rsid w:val="5DEA1F36"/>
    <w:rsid w:val="5F6A2863"/>
    <w:rsid w:val="600D5DA9"/>
    <w:rsid w:val="60C4212D"/>
    <w:rsid w:val="61206FD3"/>
    <w:rsid w:val="62094769"/>
    <w:rsid w:val="62147CB2"/>
    <w:rsid w:val="62360A21"/>
    <w:rsid w:val="62AA7D3A"/>
    <w:rsid w:val="6321781F"/>
    <w:rsid w:val="63C86468"/>
    <w:rsid w:val="64143397"/>
    <w:rsid w:val="64E51037"/>
    <w:rsid w:val="66DF5642"/>
    <w:rsid w:val="672F6CD7"/>
    <w:rsid w:val="67BF3574"/>
    <w:rsid w:val="6820798E"/>
    <w:rsid w:val="685028EE"/>
    <w:rsid w:val="68DB38E8"/>
    <w:rsid w:val="69C50A5B"/>
    <w:rsid w:val="6B332847"/>
    <w:rsid w:val="6BBA4F22"/>
    <w:rsid w:val="6C472953"/>
    <w:rsid w:val="6CB36FAF"/>
    <w:rsid w:val="6CBE1F64"/>
    <w:rsid w:val="6CCF6B0D"/>
    <w:rsid w:val="6D3E449B"/>
    <w:rsid w:val="6EA52DB1"/>
    <w:rsid w:val="6EF35852"/>
    <w:rsid w:val="6F1F3C7A"/>
    <w:rsid w:val="70127BF4"/>
    <w:rsid w:val="724F57F7"/>
    <w:rsid w:val="728043A6"/>
    <w:rsid w:val="754E0E10"/>
    <w:rsid w:val="75923460"/>
    <w:rsid w:val="75FF3855"/>
    <w:rsid w:val="76591BE9"/>
    <w:rsid w:val="78644B03"/>
    <w:rsid w:val="78D2253D"/>
    <w:rsid w:val="797E5756"/>
    <w:rsid w:val="79F872D8"/>
    <w:rsid w:val="7BB13A75"/>
    <w:rsid w:val="7D6566A3"/>
    <w:rsid w:val="7DFA1591"/>
    <w:rsid w:val="7E1F1845"/>
    <w:rsid w:val="7E20591B"/>
    <w:rsid w:val="7EFF9B6D"/>
    <w:rsid w:val="7F360CDC"/>
    <w:rsid w:val="7F4B5C13"/>
    <w:rsid w:val="7F6E291F"/>
    <w:rsid w:val="7F8F0E58"/>
    <w:rsid w:val="7FF5A8B5"/>
    <w:rsid w:val="9DFDD08C"/>
    <w:rsid w:val="D7F955F7"/>
    <w:rsid w:val="DDF61FBD"/>
    <w:rsid w:val="E4F2FE3B"/>
    <w:rsid w:val="F77DAC91"/>
    <w:rsid w:val="F7B763A1"/>
    <w:rsid w:val="F7FD0576"/>
    <w:rsid w:val="FFDE2109"/>
    <w:rsid w:val="FFEF6D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9"/>
    <w:pPr>
      <w:keepLines/>
      <w:adjustRightInd w:val="0"/>
      <w:snapToGrid w:val="0"/>
      <w:spacing w:before="312" w:beforeLines="100" w:after="156" w:afterLines="50" w:line="360" w:lineRule="auto"/>
      <w:ind w:firstLine="562" w:firstLineChars="200"/>
      <w:outlineLvl w:val="0"/>
    </w:pPr>
    <w:rPr>
      <w:b/>
      <w:bCs/>
      <w:kern w:val="44"/>
      <w:sz w:val="28"/>
      <w:szCs w:val="44"/>
    </w:rPr>
  </w:style>
  <w:style w:type="paragraph" w:styleId="5">
    <w:name w:val="heading 2"/>
    <w:basedOn w:val="1"/>
    <w:next w:val="1"/>
    <w:unhideWhenUsed/>
    <w:qFormat/>
    <w:uiPriority w:val="9"/>
    <w:pPr>
      <w:keepNext/>
      <w:keepLines/>
      <w:pageBreakBefore/>
      <w:adjustRightInd w:val="0"/>
      <w:snapToGrid w:val="0"/>
      <w:spacing w:before="240" w:after="120" w:line="360" w:lineRule="auto"/>
      <w:outlineLvl w:val="1"/>
    </w:pPr>
    <w:rPr>
      <w:b/>
      <w:sz w:val="24"/>
    </w:rPr>
  </w:style>
  <w:style w:type="paragraph" w:styleId="6">
    <w:name w:val="heading 3"/>
    <w:basedOn w:val="1"/>
    <w:next w:val="1"/>
    <w:unhideWhenUsed/>
    <w:qFormat/>
    <w:uiPriority w:val="9"/>
    <w:pPr>
      <w:keepNext/>
      <w:keepLines/>
      <w:spacing w:before="260" w:after="260" w:line="413" w:lineRule="auto"/>
      <w:outlineLvl w:val="2"/>
    </w:pPr>
    <w:rPr>
      <w:b/>
      <w:sz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link w:val="45"/>
    <w:unhideWhenUsed/>
    <w:qFormat/>
    <w:uiPriority w:val="9"/>
    <w:pPr>
      <w:keepNext/>
      <w:keepLines/>
      <w:spacing w:line="372" w:lineRule="auto"/>
      <w:outlineLvl w:val="4"/>
    </w:pPr>
    <w:rPr>
      <w:b/>
      <w:sz w:val="24"/>
    </w:rPr>
  </w:style>
  <w:style w:type="paragraph" w:styleId="9">
    <w:name w:val="heading 7"/>
    <w:basedOn w:val="1"/>
    <w:next w:val="1"/>
    <w:link w:val="60"/>
    <w:semiHidden/>
    <w:unhideWhenUsed/>
    <w:qFormat/>
    <w:uiPriority w:val="9"/>
    <w:pPr>
      <w:keepNext/>
      <w:keepLines/>
      <w:spacing w:before="240" w:after="64" w:line="320" w:lineRule="auto"/>
      <w:outlineLvl w:val="6"/>
    </w:pPr>
    <w:rPr>
      <w:b/>
      <w:bCs/>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3"/>
    <w:unhideWhenUsed/>
    <w:qFormat/>
    <w:uiPriority w:val="99"/>
    <w:pPr>
      <w:spacing w:before="0" w:beforeAutospacing="0" w:after="120"/>
      <w:ind w:firstLine="420" w:firstLineChars="100"/>
    </w:pPr>
    <w:rPr>
      <w:kern w:val="2"/>
      <w:sz w:val="21"/>
    </w:rPr>
  </w:style>
  <w:style w:type="paragraph" w:styleId="3">
    <w:name w:val="Body Text"/>
    <w:basedOn w:val="1"/>
    <w:unhideWhenUsed/>
    <w:qFormat/>
    <w:uiPriority w:val="99"/>
    <w:pPr>
      <w:spacing w:before="100" w:beforeAutospacing="1"/>
    </w:pPr>
    <w:rPr>
      <w:kern w:val="0"/>
      <w:sz w:val="20"/>
    </w:rPr>
  </w:style>
  <w:style w:type="paragraph" w:styleId="10">
    <w:name w:val="toc 7"/>
    <w:basedOn w:val="1"/>
    <w:next w:val="1"/>
    <w:unhideWhenUsed/>
    <w:qFormat/>
    <w:uiPriority w:val="39"/>
    <w:pPr>
      <w:ind w:left="1260"/>
      <w:jc w:val="left"/>
    </w:pPr>
    <w:rPr>
      <w:rFonts w:asciiTheme="minorHAnsi" w:hAnsiTheme="minorHAnsi" w:cstheme="minorHAnsi"/>
      <w:sz w:val="18"/>
      <w:szCs w:val="18"/>
    </w:rPr>
  </w:style>
  <w:style w:type="paragraph" w:styleId="11">
    <w:name w:val="annotation text"/>
    <w:basedOn w:val="1"/>
    <w:link w:val="52"/>
    <w:semiHidden/>
    <w:unhideWhenUsed/>
    <w:qFormat/>
    <w:uiPriority w:val="99"/>
    <w:pPr>
      <w:jc w:val="left"/>
    </w:pPr>
  </w:style>
  <w:style w:type="paragraph" w:styleId="12">
    <w:name w:val="Body Text Indent"/>
    <w:basedOn w:val="1"/>
    <w:link w:val="37"/>
    <w:qFormat/>
    <w:uiPriority w:val="0"/>
    <w:pPr>
      <w:spacing w:after="120"/>
      <w:ind w:left="420" w:leftChars="200"/>
    </w:pPr>
    <w:rPr>
      <w:rFonts w:asciiTheme="minorHAnsi" w:hAnsiTheme="minorHAnsi" w:eastAsiaTheme="minorEastAsia" w:cstheme="minorBidi"/>
      <w:szCs w:val="22"/>
    </w:rPr>
  </w:style>
  <w:style w:type="paragraph" w:styleId="13">
    <w:name w:val="toc 5"/>
    <w:basedOn w:val="1"/>
    <w:next w:val="1"/>
    <w:unhideWhenUsed/>
    <w:qFormat/>
    <w:uiPriority w:val="39"/>
    <w:pPr>
      <w:ind w:left="840"/>
      <w:jc w:val="left"/>
    </w:pPr>
    <w:rPr>
      <w:rFonts w:asciiTheme="minorHAnsi" w:hAnsiTheme="minorHAnsi" w:cstheme="minorHAnsi"/>
      <w:sz w:val="18"/>
      <w:szCs w:val="18"/>
    </w:rPr>
  </w:style>
  <w:style w:type="paragraph" w:styleId="14">
    <w:name w:val="toc 3"/>
    <w:basedOn w:val="1"/>
    <w:next w:val="1"/>
    <w:unhideWhenUsed/>
    <w:qFormat/>
    <w:uiPriority w:val="39"/>
    <w:pPr>
      <w:ind w:left="420"/>
      <w:jc w:val="left"/>
    </w:pPr>
    <w:rPr>
      <w:rFonts w:asciiTheme="minorHAnsi" w:hAnsiTheme="minorHAnsi" w:cstheme="minorHAnsi"/>
      <w:i/>
      <w:iCs/>
      <w:sz w:val="20"/>
    </w:rPr>
  </w:style>
  <w:style w:type="paragraph" w:styleId="15">
    <w:name w:val="Plain Text"/>
    <w:basedOn w:val="1"/>
    <w:link w:val="54"/>
    <w:qFormat/>
    <w:uiPriority w:val="0"/>
    <w:rPr>
      <w:rFonts w:ascii="宋体" w:hAnsi="Courier New" w:eastAsia="Times New Roman"/>
    </w:rPr>
  </w:style>
  <w:style w:type="paragraph" w:styleId="16">
    <w:name w:val="toc 8"/>
    <w:basedOn w:val="1"/>
    <w:next w:val="1"/>
    <w:unhideWhenUsed/>
    <w:qFormat/>
    <w:uiPriority w:val="39"/>
    <w:pPr>
      <w:ind w:left="1470"/>
      <w:jc w:val="left"/>
    </w:pPr>
    <w:rPr>
      <w:rFonts w:asciiTheme="minorHAnsi" w:hAnsiTheme="minorHAnsi" w:cstheme="minorHAnsi"/>
      <w:sz w:val="18"/>
      <w:szCs w:val="18"/>
    </w:rPr>
  </w:style>
  <w:style w:type="paragraph" w:styleId="17">
    <w:name w:val="Body Text Indent 2"/>
    <w:basedOn w:val="1"/>
    <w:link w:val="39"/>
    <w:qFormat/>
    <w:uiPriority w:val="0"/>
    <w:pPr>
      <w:spacing w:after="120" w:line="480" w:lineRule="auto"/>
      <w:ind w:left="420" w:leftChars="200"/>
    </w:pPr>
  </w:style>
  <w:style w:type="paragraph" w:styleId="18">
    <w:name w:val="Balloon Text"/>
    <w:basedOn w:val="1"/>
    <w:link w:val="51"/>
    <w:semiHidden/>
    <w:unhideWhenUsed/>
    <w:qFormat/>
    <w:uiPriority w:val="99"/>
    <w:rPr>
      <w:sz w:val="18"/>
      <w:szCs w:val="18"/>
    </w:rPr>
  </w:style>
  <w:style w:type="paragraph" w:styleId="19">
    <w:name w:val="footer"/>
    <w:basedOn w:val="1"/>
    <w:link w:val="42"/>
    <w:unhideWhenUsed/>
    <w:qFormat/>
    <w:uiPriority w:val="99"/>
    <w:pPr>
      <w:tabs>
        <w:tab w:val="center" w:pos="4153"/>
        <w:tab w:val="right" w:pos="8306"/>
      </w:tabs>
      <w:snapToGrid w:val="0"/>
      <w:jc w:val="left"/>
    </w:pPr>
    <w:rPr>
      <w:sz w:val="18"/>
      <w:szCs w:val="18"/>
    </w:rPr>
  </w:style>
  <w:style w:type="paragraph" w:styleId="20">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before="120" w:after="120"/>
      <w:jc w:val="left"/>
    </w:pPr>
    <w:rPr>
      <w:rFonts w:asciiTheme="minorHAnsi" w:hAnsiTheme="minorHAnsi" w:cstheme="minorHAnsi"/>
      <w:b/>
      <w:bCs/>
      <w:caps/>
      <w:sz w:val="20"/>
    </w:rPr>
  </w:style>
  <w:style w:type="paragraph" w:styleId="22">
    <w:name w:val="toc 4"/>
    <w:basedOn w:val="1"/>
    <w:next w:val="1"/>
    <w:unhideWhenUsed/>
    <w:qFormat/>
    <w:uiPriority w:val="39"/>
    <w:pPr>
      <w:ind w:left="630"/>
      <w:jc w:val="left"/>
    </w:pPr>
    <w:rPr>
      <w:rFonts w:asciiTheme="minorHAnsi" w:hAnsiTheme="minorHAnsi" w:cstheme="minorHAnsi"/>
      <w:sz w:val="18"/>
      <w:szCs w:val="18"/>
    </w:rPr>
  </w:style>
  <w:style w:type="paragraph" w:styleId="23">
    <w:name w:val="toc 6"/>
    <w:basedOn w:val="1"/>
    <w:next w:val="1"/>
    <w:unhideWhenUsed/>
    <w:qFormat/>
    <w:uiPriority w:val="39"/>
    <w:pPr>
      <w:ind w:left="1050"/>
      <w:jc w:val="left"/>
    </w:pPr>
    <w:rPr>
      <w:rFonts w:asciiTheme="minorHAnsi" w:hAnsiTheme="minorHAnsi" w:cstheme="minorHAnsi"/>
      <w:sz w:val="18"/>
      <w:szCs w:val="18"/>
    </w:rPr>
  </w:style>
  <w:style w:type="paragraph" w:styleId="24">
    <w:name w:val="toc 2"/>
    <w:basedOn w:val="1"/>
    <w:next w:val="1"/>
    <w:unhideWhenUsed/>
    <w:qFormat/>
    <w:uiPriority w:val="39"/>
    <w:pPr>
      <w:ind w:left="210"/>
      <w:jc w:val="left"/>
    </w:pPr>
    <w:rPr>
      <w:rFonts w:asciiTheme="minorHAnsi" w:hAnsiTheme="minorHAnsi" w:cstheme="minorHAnsi"/>
      <w:smallCaps/>
      <w:sz w:val="20"/>
    </w:rPr>
  </w:style>
  <w:style w:type="paragraph" w:styleId="25">
    <w:name w:val="toc 9"/>
    <w:basedOn w:val="1"/>
    <w:next w:val="1"/>
    <w:unhideWhenUsed/>
    <w:qFormat/>
    <w:uiPriority w:val="39"/>
    <w:pPr>
      <w:ind w:left="1680"/>
      <w:jc w:val="left"/>
    </w:pPr>
    <w:rPr>
      <w:rFonts w:asciiTheme="minorHAnsi" w:hAnsiTheme="minorHAnsi" w:cstheme="minorHAnsi"/>
      <w:sz w:val="18"/>
      <w:szCs w:val="18"/>
    </w:rPr>
  </w:style>
  <w:style w:type="paragraph" w:styleId="26">
    <w:name w:val="Normal (Web)"/>
    <w:basedOn w:val="1"/>
    <w:next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27">
    <w:name w:val="Title"/>
    <w:basedOn w:val="1"/>
    <w:next w:val="1"/>
    <w:link w:val="58"/>
    <w:qFormat/>
    <w:uiPriority w:val="10"/>
    <w:pPr>
      <w:keepNext/>
      <w:keepLines/>
      <w:pageBreakBefore/>
      <w:adjustRightInd w:val="0"/>
      <w:snapToGrid w:val="0"/>
      <w:spacing w:before="240" w:after="240" w:line="360" w:lineRule="auto"/>
      <w:jc w:val="center"/>
      <w:outlineLvl w:val="0"/>
    </w:pPr>
    <w:rPr>
      <w:rFonts w:cstheme="majorBidi"/>
      <w:b/>
      <w:bCs/>
      <w:sz w:val="32"/>
      <w:szCs w:val="32"/>
    </w:rPr>
  </w:style>
  <w:style w:type="paragraph" w:styleId="28">
    <w:name w:val="annotation subject"/>
    <w:basedOn w:val="11"/>
    <w:next w:val="11"/>
    <w:link w:val="53"/>
    <w:semiHidden/>
    <w:unhideWhenUsed/>
    <w:qFormat/>
    <w:uiPriority w:val="99"/>
    <w:rPr>
      <w:b/>
      <w:bCs/>
    </w:rPr>
  </w:style>
  <w:style w:type="table" w:styleId="30">
    <w:name w:val="Table Grid"/>
    <w:basedOn w:val="2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Hyperlink"/>
    <w:basedOn w:val="31"/>
    <w:unhideWhenUsed/>
    <w:qFormat/>
    <w:uiPriority w:val="99"/>
    <w:rPr>
      <w:color w:val="0000FF" w:themeColor="hyperlink"/>
      <w:u w:val="single"/>
      <w14:textFill>
        <w14:solidFill>
          <w14:schemeClr w14:val="hlink"/>
        </w14:solidFill>
      </w14:textFill>
    </w:rPr>
  </w:style>
  <w:style w:type="character" w:styleId="34">
    <w:name w:val="annotation reference"/>
    <w:basedOn w:val="31"/>
    <w:semiHidden/>
    <w:unhideWhenUsed/>
    <w:qFormat/>
    <w:uiPriority w:val="99"/>
    <w:rPr>
      <w:sz w:val="21"/>
      <w:szCs w:val="21"/>
    </w:rPr>
  </w:style>
  <w:style w:type="character" w:customStyle="1" w:styleId="35">
    <w:name w:val="样式1 Char"/>
    <w:qFormat/>
    <w:uiPriority w:val="0"/>
    <w:rPr>
      <w:rFonts w:ascii="宋体" w:hAnsi="宋体" w:eastAsia="宋体"/>
      <w:b/>
      <w:sz w:val="24"/>
      <w:szCs w:val="24"/>
    </w:rPr>
  </w:style>
  <w:style w:type="paragraph" w:customStyle="1" w:styleId="36">
    <w:name w:val="样式1"/>
    <w:basedOn w:val="1"/>
    <w:link w:val="43"/>
    <w:qFormat/>
    <w:uiPriority w:val="0"/>
    <w:pPr>
      <w:spacing w:beforeLines="70" w:line="460" w:lineRule="exact"/>
      <w:ind w:firstLine="480" w:firstLineChars="200"/>
    </w:pPr>
    <w:rPr>
      <w:rFonts w:ascii="宋体" w:hAnsi="宋体" w:eastAsiaTheme="minorEastAsia" w:cstheme="minorBidi"/>
      <w:sz w:val="24"/>
      <w:szCs w:val="24"/>
    </w:rPr>
  </w:style>
  <w:style w:type="character" w:customStyle="1" w:styleId="37">
    <w:name w:val="正文文本缩进 字符"/>
    <w:link w:val="12"/>
    <w:qFormat/>
    <w:uiPriority w:val="0"/>
  </w:style>
  <w:style w:type="character" w:customStyle="1" w:styleId="38">
    <w:name w:val="正文文本缩进 Char1"/>
    <w:basedOn w:val="31"/>
    <w:semiHidden/>
    <w:qFormat/>
    <w:uiPriority w:val="99"/>
    <w:rPr>
      <w:rFonts w:ascii="Times New Roman" w:hAnsi="Times New Roman" w:eastAsia="宋体" w:cs="Times New Roman"/>
      <w:szCs w:val="20"/>
    </w:rPr>
  </w:style>
  <w:style w:type="character" w:customStyle="1" w:styleId="39">
    <w:name w:val="正文文本缩进 2 字符"/>
    <w:basedOn w:val="31"/>
    <w:link w:val="17"/>
    <w:qFormat/>
    <w:uiPriority w:val="0"/>
    <w:rPr>
      <w:rFonts w:ascii="Times New Roman" w:hAnsi="Times New Roman" w:eastAsia="宋体" w:cs="Times New Roman"/>
      <w:szCs w:val="20"/>
    </w:rPr>
  </w:style>
  <w:style w:type="paragraph" w:customStyle="1" w:styleId="40">
    <w:name w:val="Blockquote"/>
    <w:basedOn w:val="1"/>
    <w:qFormat/>
    <w:uiPriority w:val="0"/>
    <w:pPr>
      <w:autoSpaceDE w:val="0"/>
      <w:autoSpaceDN w:val="0"/>
      <w:adjustRightInd w:val="0"/>
      <w:spacing w:before="100" w:after="100"/>
      <w:ind w:left="360" w:right="360"/>
      <w:jc w:val="left"/>
    </w:pPr>
    <w:rPr>
      <w:kern w:val="0"/>
      <w:sz w:val="24"/>
    </w:rPr>
  </w:style>
  <w:style w:type="character" w:customStyle="1" w:styleId="41">
    <w:name w:val="页眉 字符"/>
    <w:basedOn w:val="31"/>
    <w:link w:val="20"/>
    <w:qFormat/>
    <w:uiPriority w:val="99"/>
    <w:rPr>
      <w:rFonts w:ascii="Times New Roman" w:hAnsi="Times New Roman" w:eastAsia="宋体" w:cs="Times New Roman"/>
      <w:sz w:val="18"/>
      <w:szCs w:val="18"/>
    </w:rPr>
  </w:style>
  <w:style w:type="character" w:customStyle="1" w:styleId="42">
    <w:name w:val="页脚 字符"/>
    <w:basedOn w:val="31"/>
    <w:link w:val="19"/>
    <w:qFormat/>
    <w:uiPriority w:val="99"/>
    <w:rPr>
      <w:rFonts w:ascii="Times New Roman" w:hAnsi="Times New Roman" w:eastAsia="宋体" w:cs="Times New Roman"/>
      <w:sz w:val="18"/>
      <w:szCs w:val="18"/>
    </w:rPr>
  </w:style>
  <w:style w:type="character" w:customStyle="1" w:styleId="43">
    <w:name w:val="样式1 字符"/>
    <w:basedOn w:val="31"/>
    <w:link w:val="36"/>
    <w:qFormat/>
    <w:uiPriority w:val="0"/>
    <w:rPr>
      <w:rFonts w:ascii="宋体" w:hAnsi="宋体" w:eastAsia="宋体" w:cs="Times New Roman"/>
      <w:b/>
      <w:sz w:val="24"/>
      <w:szCs w:val="24"/>
    </w:rPr>
  </w:style>
  <w:style w:type="paragraph" w:customStyle="1" w:styleId="44">
    <w:name w:val="WPSOffice手动目录 1"/>
    <w:qFormat/>
    <w:uiPriority w:val="0"/>
    <w:rPr>
      <w:rFonts w:asciiTheme="minorHAnsi" w:hAnsiTheme="minorHAnsi" w:eastAsiaTheme="minorEastAsia" w:cstheme="minorBidi"/>
      <w:lang w:val="en-US" w:eastAsia="zh-CN" w:bidi="ar-SA"/>
    </w:rPr>
  </w:style>
  <w:style w:type="character" w:customStyle="1" w:styleId="45">
    <w:name w:val="标题 5 字符"/>
    <w:link w:val="8"/>
    <w:qFormat/>
    <w:uiPriority w:val="0"/>
    <w:rPr>
      <w:b/>
      <w:sz w:val="24"/>
    </w:rPr>
  </w:style>
  <w:style w:type="character" w:customStyle="1" w:styleId="46">
    <w:name w:val="font21"/>
    <w:basedOn w:val="31"/>
    <w:qFormat/>
    <w:uiPriority w:val="0"/>
    <w:rPr>
      <w:rFonts w:hint="eastAsia" w:ascii="宋体" w:hAnsi="宋体" w:eastAsia="宋体" w:cs="宋体"/>
      <w:color w:val="000000"/>
      <w:sz w:val="18"/>
      <w:szCs w:val="18"/>
      <w:u w:val="none"/>
    </w:rPr>
  </w:style>
  <w:style w:type="character" w:customStyle="1" w:styleId="47">
    <w:name w:val="font01"/>
    <w:basedOn w:val="31"/>
    <w:qFormat/>
    <w:uiPriority w:val="0"/>
    <w:rPr>
      <w:rFonts w:hint="eastAsia" w:ascii="宋体" w:hAnsi="宋体" w:eastAsia="宋体" w:cs="宋体"/>
      <w:color w:val="000000"/>
      <w:sz w:val="12"/>
      <w:szCs w:val="12"/>
      <w:u w:val="none"/>
    </w:rPr>
  </w:style>
  <w:style w:type="character" w:customStyle="1" w:styleId="48">
    <w:name w:val="font41"/>
    <w:basedOn w:val="31"/>
    <w:qFormat/>
    <w:uiPriority w:val="0"/>
    <w:rPr>
      <w:rFonts w:hint="eastAsia" w:ascii="宋体" w:hAnsi="宋体" w:eastAsia="宋体" w:cs="宋体"/>
      <w:color w:val="000000"/>
      <w:sz w:val="18"/>
      <w:szCs w:val="18"/>
      <w:u w:val="none"/>
    </w:rPr>
  </w:style>
  <w:style w:type="character" w:customStyle="1" w:styleId="49">
    <w:name w:val="font11"/>
    <w:basedOn w:val="31"/>
    <w:qFormat/>
    <w:uiPriority w:val="0"/>
    <w:rPr>
      <w:rFonts w:hint="eastAsia" w:ascii="宋体" w:hAnsi="宋体" w:eastAsia="宋体" w:cs="宋体"/>
      <w:color w:val="000000"/>
      <w:sz w:val="12"/>
      <w:szCs w:val="12"/>
      <w:u w:val="none"/>
    </w:rPr>
  </w:style>
  <w:style w:type="paragraph" w:styleId="50">
    <w:name w:val="List Paragraph"/>
    <w:basedOn w:val="1"/>
    <w:qFormat/>
    <w:uiPriority w:val="99"/>
    <w:pPr>
      <w:ind w:firstLine="420" w:firstLineChars="200"/>
    </w:pPr>
  </w:style>
  <w:style w:type="character" w:customStyle="1" w:styleId="51">
    <w:name w:val="批注框文本 字符"/>
    <w:basedOn w:val="31"/>
    <w:link w:val="18"/>
    <w:semiHidden/>
    <w:qFormat/>
    <w:uiPriority w:val="99"/>
    <w:rPr>
      <w:kern w:val="2"/>
      <w:sz w:val="18"/>
      <w:szCs w:val="18"/>
    </w:rPr>
  </w:style>
  <w:style w:type="character" w:customStyle="1" w:styleId="52">
    <w:name w:val="批注文字 字符"/>
    <w:basedOn w:val="31"/>
    <w:link w:val="11"/>
    <w:semiHidden/>
    <w:qFormat/>
    <w:uiPriority w:val="99"/>
    <w:rPr>
      <w:kern w:val="2"/>
      <w:sz w:val="21"/>
    </w:rPr>
  </w:style>
  <w:style w:type="character" w:customStyle="1" w:styleId="53">
    <w:name w:val="批注主题 字符"/>
    <w:basedOn w:val="52"/>
    <w:link w:val="28"/>
    <w:semiHidden/>
    <w:qFormat/>
    <w:uiPriority w:val="99"/>
    <w:rPr>
      <w:b/>
      <w:bCs/>
      <w:kern w:val="2"/>
      <w:sz w:val="21"/>
    </w:rPr>
  </w:style>
  <w:style w:type="character" w:customStyle="1" w:styleId="54">
    <w:name w:val="纯文本 字符"/>
    <w:basedOn w:val="31"/>
    <w:link w:val="15"/>
    <w:qFormat/>
    <w:uiPriority w:val="0"/>
    <w:rPr>
      <w:rFonts w:ascii="宋体" w:hAnsi="Courier New" w:eastAsia="Times New Roman"/>
      <w:kern w:val="2"/>
      <w:sz w:val="21"/>
    </w:rPr>
  </w:style>
  <w:style w:type="paragraph" w:customStyle="1" w:styleId="55">
    <w:name w:val="正文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正文首行缩进1"/>
    <w:basedOn w:val="3"/>
    <w:unhideWhenUsed/>
    <w:qFormat/>
    <w:uiPriority w:val="99"/>
    <w:pPr>
      <w:ind w:firstLine="420" w:firstLineChars="100"/>
    </w:pPr>
    <w:rPr>
      <w:szCs w:val="21"/>
    </w:rPr>
  </w:style>
  <w:style w:type="paragraph" w:customStyle="1" w:styleId="57">
    <w:name w:val="修订1"/>
    <w:hidden/>
    <w:semiHidden/>
    <w:qFormat/>
    <w:uiPriority w:val="99"/>
    <w:rPr>
      <w:rFonts w:ascii="Times New Roman" w:hAnsi="Times New Roman" w:eastAsia="宋体" w:cs="Times New Roman"/>
      <w:kern w:val="2"/>
      <w:sz w:val="21"/>
      <w:lang w:val="en-US" w:eastAsia="zh-CN" w:bidi="ar-SA"/>
    </w:rPr>
  </w:style>
  <w:style w:type="character" w:customStyle="1" w:styleId="58">
    <w:name w:val="标题 字符"/>
    <w:basedOn w:val="31"/>
    <w:link w:val="27"/>
    <w:qFormat/>
    <w:uiPriority w:val="10"/>
    <w:rPr>
      <w:rFonts w:cstheme="majorBidi"/>
      <w:b/>
      <w:bCs/>
      <w:kern w:val="2"/>
      <w:sz w:val="32"/>
      <w:szCs w:val="32"/>
    </w:rPr>
  </w:style>
  <w:style w:type="paragraph" w:customStyle="1" w:styleId="59">
    <w:name w:val="TOC 标题1"/>
    <w:basedOn w:val="4"/>
    <w:next w:val="1"/>
    <w:unhideWhenUsed/>
    <w:qFormat/>
    <w:uiPriority w:val="39"/>
    <w:pPr>
      <w:widowControl/>
      <w:adjustRightInd/>
      <w:snapToGrid/>
      <w:spacing w:before="240" w:beforeLines="0" w:after="0" w:afterLines="0" w:line="259" w:lineRule="auto"/>
      <w:ind w:firstLine="0" w:firstLineChars="0"/>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60">
    <w:name w:val="标题 7 字符"/>
    <w:basedOn w:val="31"/>
    <w:link w:val="9"/>
    <w:semiHidden/>
    <w:qFormat/>
    <w:uiPriority w:val="9"/>
    <w:rPr>
      <w:b/>
      <w:bCs/>
      <w:kern w:val="2"/>
      <w:sz w:val="24"/>
      <w:szCs w:val="24"/>
    </w:rPr>
  </w:style>
  <w:style w:type="paragraph" w:customStyle="1" w:styleId="61">
    <w:name w:val="修订2"/>
    <w:hidden/>
    <w:semiHidden/>
    <w:qFormat/>
    <w:uiPriority w:val="99"/>
    <w:rPr>
      <w:rFonts w:ascii="Times New Roman" w:hAnsi="Times New Roman" w:eastAsia="宋体" w:cs="Times New Roman"/>
      <w:kern w:val="2"/>
      <w:sz w:val="21"/>
      <w:lang w:val="en-US" w:eastAsia="zh-CN" w:bidi="ar-SA"/>
    </w:rPr>
  </w:style>
  <w:style w:type="paragraph" w:customStyle="1" w:styleId="62">
    <w:name w:val="修订3"/>
    <w:hidden/>
    <w:semiHidden/>
    <w:qFormat/>
    <w:uiPriority w:val="99"/>
    <w:rPr>
      <w:rFonts w:ascii="Times New Roman" w:hAnsi="Times New Roman" w:eastAsia="宋体" w:cs="Times New Roman"/>
      <w:kern w:val="2"/>
      <w:sz w:val="21"/>
      <w:lang w:val="en-US" w:eastAsia="zh-CN" w:bidi="ar-SA"/>
    </w:rPr>
  </w:style>
  <w:style w:type="paragraph" w:customStyle="1" w:styleId="63">
    <w:name w:val="修订4"/>
    <w:hidden/>
    <w:semiHidden/>
    <w:qFormat/>
    <w:uiPriority w:val="99"/>
    <w:rPr>
      <w:rFonts w:ascii="Times New Roman" w:hAnsi="Times New Roman" w:eastAsia="宋体" w:cs="Times New Roman"/>
      <w:kern w:val="2"/>
      <w:sz w:val="21"/>
      <w:lang w:val="en-US" w:eastAsia="zh-CN" w:bidi="ar-SA"/>
    </w:rPr>
  </w:style>
  <w:style w:type="paragraph" w:customStyle="1" w:styleId="64">
    <w:name w:val="修订5"/>
    <w:hidden/>
    <w:unhideWhenUsed/>
    <w:qFormat/>
    <w:uiPriority w:val="99"/>
    <w:rPr>
      <w:rFonts w:ascii="Times New Roman" w:hAnsi="Times New Roman" w:eastAsia="宋体" w:cs="Times New Roman"/>
      <w:kern w:val="2"/>
      <w:sz w:val="21"/>
      <w:lang w:val="en-US" w:eastAsia="zh-CN" w:bidi="ar-SA"/>
    </w:rPr>
  </w:style>
  <w:style w:type="paragraph" w:customStyle="1" w:styleId="65">
    <w:name w:val="Revision"/>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0C7E1-DC32-43ED-A426-38D411D7844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39</Pages>
  <Words>18950</Words>
  <Characters>19318</Characters>
  <Lines>158</Lines>
  <Paragraphs>44</Paragraphs>
  <TotalTime>0</TotalTime>
  <ScaleCrop>false</ScaleCrop>
  <LinksUpToDate>false</LinksUpToDate>
  <CharactersWithSpaces>20351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2023-10-31T07:02:00Z</dcterms:created>
  <dc:creator>黄锦峰</dc:creator>
  <cp:lastModifiedBy>Administrator</cp:lastModifiedBy>
  <cp:lastPrinted>2023-09-14T07:17:00Z</cp:lastPrinted>
  <dcterms:modified xsi:type="dcterms:W3CDTF">2023-11-01T10:23:52Z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951C42A88772426CBA56AE1D5905298E_13</vt:lpwstr>
  </property>
</Properties>
</file>