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tabs>
          <w:tab w:val="left" w:pos="4620"/>
          <w:tab w:val="left" w:pos="5880"/>
        </w:tabs>
        <w:spacing w:line="480" w:lineRule="auto"/>
        <w:rPr>
          <w:color w:val="auto"/>
          <w:sz w:val="24"/>
          <w:highlight w:val="none"/>
        </w:rPr>
      </w:pPr>
      <w:bookmarkStart w:id="334" w:name="_GoBack"/>
    </w:p>
    <w:p>
      <w:pPr>
        <w:spacing w:line="360" w:lineRule="auto"/>
        <w:ind w:left="359" w:leftChars="171"/>
        <w:jc w:val="center"/>
        <w:rPr>
          <w:rFonts w:ascii="宋体" w:hAnsi="宋体" w:eastAsia="宋体"/>
          <w:b/>
          <w:bCs/>
          <w:color w:val="auto"/>
          <w:spacing w:val="40"/>
          <w:sz w:val="44"/>
          <w:szCs w:val="44"/>
          <w:highlight w:val="none"/>
        </w:rPr>
      </w:pPr>
    </w:p>
    <w:p>
      <w:pPr>
        <w:spacing w:line="360" w:lineRule="auto"/>
        <w:jc w:val="center"/>
        <w:rPr>
          <w:rFonts w:hint="eastAsia" w:ascii="宋体" w:hAnsi="宋体" w:eastAsia="宋体"/>
          <w:b/>
          <w:bCs/>
          <w:color w:val="auto"/>
          <w:sz w:val="36"/>
          <w:highlight w:val="none"/>
          <w:u w:val="single"/>
        </w:rPr>
      </w:pPr>
    </w:p>
    <w:p>
      <w:pPr>
        <w:spacing w:line="360" w:lineRule="auto"/>
        <w:jc w:val="center"/>
        <w:rPr>
          <w:rFonts w:hint="eastAsia" w:ascii="宋体" w:hAnsi="宋体" w:eastAsia="宋体"/>
          <w:b/>
          <w:bCs/>
          <w:color w:val="auto"/>
          <w:sz w:val="36"/>
          <w:highlight w:val="none"/>
          <w:u w:val="single"/>
        </w:rPr>
      </w:pPr>
    </w:p>
    <w:p>
      <w:pPr>
        <w:spacing w:line="360" w:lineRule="auto"/>
        <w:jc w:val="center"/>
        <w:rPr>
          <w:rFonts w:ascii="宋体" w:hAnsi="宋体" w:eastAsia="宋体"/>
          <w:b w:val="0"/>
          <w:bCs w:val="0"/>
          <w:color w:val="auto"/>
          <w:spacing w:val="40"/>
          <w:sz w:val="48"/>
          <w:szCs w:val="48"/>
          <w:highlight w:val="none"/>
        </w:rPr>
      </w:pPr>
      <w:r>
        <w:rPr>
          <w:rFonts w:hint="eastAsia" w:ascii="宋体" w:hAnsi="宋体" w:eastAsia="宋体"/>
          <w:b w:val="0"/>
          <w:bCs w:val="0"/>
          <w:color w:val="auto"/>
          <w:spacing w:val="40"/>
          <w:sz w:val="48"/>
          <w:szCs w:val="48"/>
          <w:highlight w:val="none"/>
          <w:lang w:eastAsia="zh-CN"/>
        </w:rPr>
        <w:t>保护地服务设施完善提升流溪湖景区森林步道提升改造工程</w:t>
      </w:r>
    </w:p>
    <w:p>
      <w:pPr>
        <w:spacing w:line="360" w:lineRule="auto"/>
        <w:ind w:left="359" w:leftChars="171"/>
        <w:jc w:val="center"/>
        <w:rPr>
          <w:rFonts w:ascii="宋体" w:hAnsi="宋体" w:eastAsia="宋体"/>
          <w:b/>
          <w:bCs/>
          <w:color w:val="auto"/>
          <w:spacing w:val="40"/>
          <w:sz w:val="44"/>
          <w:szCs w:val="44"/>
          <w:highlight w:val="none"/>
        </w:rPr>
      </w:pPr>
    </w:p>
    <w:p>
      <w:pPr>
        <w:spacing w:line="360" w:lineRule="auto"/>
        <w:ind w:left="359" w:leftChars="171"/>
        <w:jc w:val="center"/>
        <w:rPr>
          <w:rFonts w:ascii="宋体" w:hAnsi="宋体" w:eastAsia="宋体"/>
          <w:b/>
          <w:bCs/>
          <w:color w:val="auto"/>
          <w:spacing w:val="40"/>
          <w:sz w:val="44"/>
          <w:szCs w:val="44"/>
          <w:highlight w:val="none"/>
        </w:rPr>
      </w:pPr>
    </w:p>
    <w:p>
      <w:pPr>
        <w:spacing w:line="360" w:lineRule="auto"/>
        <w:jc w:val="center"/>
        <w:rPr>
          <w:rFonts w:ascii="宋体" w:hAnsi="宋体" w:eastAsia="宋体"/>
          <w:color w:val="auto"/>
          <w:sz w:val="36"/>
          <w:highlight w:val="none"/>
          <w:u w:val="single"/>
        </w:rPr>
      </w:pPr>
    </w:p>
    <w:p>
      <w:pPr>
        <w:spacing w:line="360" w:lineRule="auto"/>
        <w:jc w:val="center"/>
        <w:rPr>
          <w:rFonts w:ascii="宋体" w:hAnsi="宋体" w:eastAsia="宋体"/>
          <w:color w:val="auto"/>
          <w:sz w:val="32"/>
          <w:highlight w:val="none"/>
        </w:rPr>
      </w:pPr>
      <w:r>
        <w:rPr>
          <w:rFonts w:hint="eastAsia" w:ascii="宋体" w:hAnsi="宋体" w:eastAsia="宋体"/>
          <w:b/>
          <w:bCs/>
          <w:color w:val="auto"/>
          <w:spacing w:val="26"/>
          <w:sz w:val="110"/>
          <w:szCs w:val="110"/>
          <w:highlight w:val="none"/>
          <w14:shadow w14:blurRad="50800" w14:dist="38100" w14:dir="2700000" w14:sx="100000" w14:sy="100000" w14:kx="0" w14:ky="0" w14:algn="tl">
            <w14:srgbClr w14:val="000000">
              <w14:alpha w14:val="60000"/>
            </w14:srgbClr>
          </w14:shadow>
        </w:rPr>
        <w:t>招标文件</w:t>
      </w:r>
    </w:p>
    <w:p>
      <w:pPr>
        <w:spacing w:line="360" w:lineRule="auto"/>
        <w:rPr>
          <w:rFonts w:ascii="宋体" w:hAnsi="宋体" w:eastAsia="宋体"/>
          <w:color w:val="auto"/>
          <w:sz w:val="52"/>
          <w:highlight w:val="none"/>
        </w:rPr>
      </w:pPr>
    </w:p>
    <w:p>
      <w:pPr>
        <w:spacing w:line="360" w:lineRule="auto"/>
        <w:rPr>
          <w:rFonts w:ascii="宋体" w:hAnsi="宋体" w:eastAsia="宋体"/>
          <w:color w:val="auto"/>
          <w:sz w:val="52"/>
          <w:highlight w:val="none"/>
        </w:rPr>
      </w:pPr>
    </w:p>
    <w:p>
      <w:pPr>
        <w:spacing w:line="360" w:lineRule="auto"/>
        <w:rPr>
          <w:rFonts w:hint="eastAsia" w:ascii="宋体" w:hAnsi="宋体" w:eastAsia="宋体"/>
          <w:color w:val="auto"/>
          <w:sz w:val="30"/>
          <w:szCs w:val="30"/>
          <w:highlight w:val="none"/>
          <w:u w:val="single"/>
          <w:lang w:eastAsia="zh-CN"/>
        </w:rPr>
      </w:pPr>
      <w:r>
        <w:rPr>
          <w:rFonts w:hint="eastAsia" w:ascii="宋体" w:hAnsi="宋体" w:eastAsia="宋体"/>
          <w:color w:val="auto"/>
          <w:sz w:val="30"/>
          <w:szCs w:val="30"/>
          <w:highlight w:val="none"/>
        </w:rPr>
        <w:t xml:space="preserve">招 </w:t>
      </w:r>
      <w:r>
        <w:rPr>
          <w:rFonts w:hint="eastAsia" w:ascii="宋体" w:hAnsi="宋体" w:eastAsia="宋体"/>
          <w:color w:val="auto"/>
          <w:sz w:val="30"/>
          <w:szCs w:val="30"/>
          <w:highlight w:val="none"/>
          <w:lang w:val="en-US" w:eastAsia="zh-CN"/>
        </w:rPr>
        <w:t xml:space="preserve"> </w:t>
      </w:r>
      <w:r>
        <w:rPr>
          <w:rFonts w:hint="eastAsia" w:ascii="宋体" w:hAnsi="宋体" w:eastAsia="宋体"/>
          <w:color w:val="auto"/>
          <w:sz w:val="30"/>
          <w:szCs w:val="30"/>
          <w:highlight w:val="none"/>
        </w:rPr>
        <w:t xml:space="preserve"> 标 </w:t>
      </w:r>
      <w:r>
        <w:rPr>
          <w:rFonts w:hint="eastAsia" w:ascii="宋体" w:hAnsi="宋体" w:eastAsia="宋体"/>
          <w:color w:val="auto"/>
          <w:sz w:val="30"/>
          <w:szCs w:val="30"/>
          <w:highlight w:val="none"/>
          <w:lang w:val="en-US" w:eastAsia="zh-CN"/>
        </w:rPr>
        <w:t xml:space="preserve">  人</w:t>
      </w:r>
      <w:r>
        <w:rPr>
          <w:rFonts w:hint="eastAsia" w:ascii="宋体" w:hAnsi="宋体" w:eastAsia="宋体"/>
          <w:color w:val="auto"/>
          <w:sz w:val="30"/>
          <w:szCs w:val="30"/>
          <w:highlight w:val="none"/>
        </w:rPr>
        <w:t>：</w:t>
      </w:r>
      <w:r>
        <w:rPr>
          <w:rFonts w:hint="eastAsia" w:ascii="宋体" w:hAnsi="宋体" w:eastAsia="宋体"/>
          <w:color w:val="auto"/>
          <w:sz w:val="30"/>
          <w:szCs w:val="30"/>
          <w:highlight w:val="none"/>
          <w:u w:val="single"/>
          <w:lang w:eastAsia="zh-CN"/>
        </w:rPr>
        <w:t>广州市流溪河国家森林公园管理中心</w:t>
      </w:r>
    </w:p>
    <w:p>
      <w:pPr>
        <w:spacing w:line="360" w:lineRule="auto"/>
        <w:ind w:firstLine="2100" w:firstLineChars="700"/>
        <w:rPr>
          <w:rFonts w:hint="eastAsia" w:ascii="宋体" w:hAnsi="宋体" w:eastAsia="宋体"/>
          <w:color w:val="auto"/>
          <w:sz w:val="30"/>
          <w:szCs w:val="30"/>
          <w:highlight w:val="none"/>
          <w:u w:val="single"/>
          <w:lang w:eastAsia="zh-CN"/>
        </w:rPr>
      </w:pPr>
      <w:r>
        <w:rPr>
          <w:rFonts w:hint="eastAsia" w:ascii="宋体" w:hAnsi="宋体" w:eastAsia="宋体"/>
          <w:color w:val="auto"/>
          <w:sz w:val="30"/>
          <w:szCs w:val="30"/>
          <w:highlight w:val="none"/>
          <w:u w:val="single"/>
          <w:lang w:eastAsia="zh-CN"/>
        </w:rPr>
        <w:t>(广州市流溪河林场）</w:t>
      </w:r>
    </w:p>
    <w:p>
      <w:pPr>
        <w:spacing w:line="360" w:lineRule="auto"/>
        <w:rPr>
          <w:rFonts w:hint="eastAsia" w:ascii="宋体" w:hAnsi="宋体" w:eastAsia="宋体"/>
          <w:color w:val="auto"/>
          <w:sz w:val="30"/>
          <w:szCs w:val="30"/>
          <w:highlight w:val="none"/>
          <w:u w:val="single"/>
        </w:rPr>
      </w:pPr>
      <w:r>
        <w:rPr>
          <w:rFonts w:hint="eastAsia" w:ascii="宋体" w:hAnsi="宋体" w:eastAsia="宋体"/>
          <w:color w:val="auto"/>
          <w:sz w:val="30"/>
          <w:szCs w:val="30"/>
          <w:highlight w:val="none"/>
        </w:rPr>
        <w:t>招标代理机构：</w:t>
      </w:r>
      <w:r>
        <w:rPr>
          <w:rFonts w:hint="eastAsia" w:ascii="宋体" w:hAnsi="宋体" w:eastAsia="宋体"/>
          <w:color w:val="auto"/>
          <w:sz w:val="30"/>
          <w:szCs w:val="30"/>
          <w:highlight w:val="none"/>
          <w:u w:val="single"/>
        </w:rPr>
        <w:t>广州盛园咨询服务有限公司</w:t>
      </w:r>
    </w:p>
    <w:p>
      <w:pPr>
        <w:spacing w:line="360" w:lineRule="auto"/>
        <w:rPr>
          <w:rFonts w:ascii="宋体" w:hAnsi="宋体" w:eastAsia="宋体"/>
          <w:color w:val="auto"/>
          <w:sz w:val="30"/>
          <w:szCs w:val="30"/>
          <w:highlight w:val="none"/>
        </w:rPr>
      </w:pPr>
      <w:r>
        <w:rPr>
          <w:rFonts w:hint="eastAsia" w:ascii="宋体" w:hAnsi="宋体" w:eastAsia="宋体"/>
          <w:color w:val="auto"/>
          <w:sz w:val="30"/>
          <w:szCs w:val="30"/>
          <w:highlight w:val="none"/>
        </w:rPr>
        <w:t>日        期：</w:t>
      </w:r>
      <w:r>
        <w:rPr>
          <w:rFonts w:hint="eastAsia" w:ascii="宋体" w:hAnsi="宋体" w:eastAsia="宋体"/>
          <w:color w:val="auto"/>
          <w:sz w:val="30"/>
          <w:szCs w:val="30"/>
          <w:highlight w:val="none"/>
          <w:u w:val="single"/>
          <w:lang w:eastAsia="zh-CN"/>
        </w:rPr>
        <w:t>2023</w:t>
      </w:r>
      <w:r>
        <w:rPr>
          <w:rFonts w:hint="eastAsia" w:ascii="宋体" w:hAnsi="宋体" w:eastAsia="宋体"/>
          <w:color w:val="auto"/>
          <w:sz w:val="30"/>
          <w:szCs w:val="30"/>
          <w:highlight w:val="none"/>
        </w:rPr>
        <w:t>年</w:t>
      </w:r>
      <w:r>
        <w:rPr>
          <w:rFonts w:hint="eastAsia" w:ascii="宋体" w:hAnsi="宋体" w:eastAsia="宋体"/>
          <w:color w:val="auto"/>
          <w:sz w:val="30"/>
          <w:szCs w:val="30"/>
          <w:highlight w:val="none"/>
          <w:u w:val="single"/>
          <w:lang w:val="en-US" w:eastAsia="zh-CN"/>
        </w:rPr>
        <w:t>10</w:t>
      </w:r>
      <w:r>
        <w:rPr>
          <w:rFonts w:hint="eastAsia" w:ascii="宋体" w:hAnsi="宋体" w:eastAsia="宋体"/>
          <w:color w:val="auto"/>
          <w:sz w:val="30"/>
          <w:szCs w:val="30"/>
          <w:highlight w:val="none"/>
        </w:rPr>
        <w:t>月</w:t>
      </w:r>
    </w:p>
    <w:p>
      <w:pPr>
        <w:spacing w:line="360" w:lineRule="auto"/>
        <w:ind w:left="-358" w:leftChars="-171" w:hanging="1"/>
        <w:jc w:val="center"/>
        <w:rPr>
          <w:rFonts w:ascii="宋体" w:hAnsi="宋体" w:eastAsia="宋体"/>
          <w:b/>
          <w:color w:val="auto"/>
          <w:sz w:val="36"/>
          <w:szCs w:val="36"/>
          <w:highlight w:val="none"/>
        </w:rPr>
      </w:pPr>
      <w:r>
        <w:rPr>
          <w:rFonts w:ascii="宋体" w:hAnsi="宋体" w:eastAsia="宋体"/>
          <w:color w:val="auto"/>
          <w:sz w:val="32"/>
          <w:highlight w:val="none"/>
        </w:rPr>
        <w:br w:type="page"/>
      </w:r>
      <w:r>
        <w:rPr>
          <w:rFonts w:hint="eastAsia" w:ascii="宋体" w:hAnsi="宋体" w:eastAsia="宋体"/>
          <w:b/>
          <w:color w:val="auto"/>
          <w:sz w:val="36"/>
          <w:szCs w:val="36"/>
          <w:highlight w:val="none"/>
        </w:rPr>
        <w:t>重要提示</w:t>
      </w:r>
    </w:p>
    <w:p>
      <w:pPr>
        <w:spacing w:line="360" w:lineRule="auto"/>
        <w:ind w:left="-359" w:leftChars="-171" w:firstLine="3534" w:firstLineChars="1100"/>
        <w:rPr>
          <w:rFonts w:ascii="宋体" w:hAnsi="宋体" w:eastAsia="宋体"/>
          <w:b/>
          <w:color w:val="auto"/>
          <w:sz w:val="32"/>
          <w:szCs w:val="32"/>
          <w:highlight w:val="none"/>
        </w:rPr>
      </w:pPr>
    </w:p>
    <w:p>
      <w:pPr>
        <w:pStyle w:val="10"/>
        <w:spacing w:line="360" w:lineRule="auto"/>
        <w:ind w:firstLine="560" w:firstLineChars="200"/>
        <w:rPr>
          <w:rFonts w:hAnsi="宋体" w:eastAsia="宋体"/>
          <w:color w:val="auto"/>
          <w:sz w:val="28"/>
          <w:szCs w:val="28"/>
          <w:highlight w:val="none"/>
        </w:rPr>
      </w:pPr>
      <w:r>
        <w:rPr>
          <w:rFonts w:hint="eastAsia" w:hAnsi="宋体" w:eastAsia="宋体"/>
          <w:color w:val="auto"/>
          <w:sz w:val="28"/>
          <w:szCs w:val="28"/>
          <w:highlight w:val="none"/>
        </w:rPr>
        <w:t>1.参加投标之前，投标人应在</w:t>
      </w:r>
      <w:r>
        <w:rPr>
          <w:rFonts w:hint="eastAsia" w:ascii="宋体" w:hAnsi="宋体" w:eastAsia="宋体" w:cs="Times New Roman"/>
          <w:color w:val="auto"/>
          <w:sz w:val="28"/>
          <w:szCs w:val="28"/>
          <w:highlight w:val="none"/>
        </w:rPr>
        <w:t>广州公共资源交易中心网站</w:t>
      </w:r>
      <w:r>
        <w:rPr>
          <w:rFonts w:hint="eastAsia" w:hAnsi="宋体" w:eastAsia="宋体"/>
          <w:color w:val="auto"/>
          <w:sz w:val="28"/>
          <w:szCs w:val="28"/>
          <w:highlight w:val="none"/>
        </w:rPr>
        <w:t>办理企业信息登记，并查询拟报项目负责人的使用状态，以免出现企业信息、拟报项目负责人不能被使用的情况。</w:t>
      </w:r>
    </w:p>
    <w:p>
      <w:pPr>
        <w:pStyle w:val="10"/>
        <w:spacing w:line="360" w:lineRule="auto"/>
        <w:ind w:firstLine="560" w:firstLineChars="200"/>
        <w:rPr>
          <w:rFonts w:hAnsi="宋体" w:eastAsia="宋体"/>
          <w:color w:val="auto"/>
          <w:sz w:val="28"/>
          <w:szCs w:val="28"/>
          <w:highlight w:val="none"/>
        </w:rPr>
      </w:pPr>
      <w:r>
        <w:rPr>
          <w:rFonts w:hint="eastAsia" w:hAnsi="宋体" w:eastAsia="宋体"/>
          <w:color w:val="auto"/>
          <w:sz w:val="28"/>
          <w:szCs w:val="28"/>
          <w:highlight w:val="none"/>
        </w:rPr>
        <w:t>如出现投标信息无法录入情况，投标人有可能失去投标机会，因其可能所引起的一切后果由投标人自行承担。</w:t>
      </w:r>
    </w:p>
    <w:p>
      <w:pPr>
        <w:pStyle w:val="10"/>
        <w:spacing w:line="360" w:lineRule="auto"/>
        <w:ind w:firstLine="560" w:firstLineChars="200"/>
        <w:rPr>
          <w:rFonts w:hint="eastAsia" w:hAnsi="宋体" w:eastAsia="宋体"/>
          <w:color w:val="auto"/>
          <w:sz w:val="28"/>
          <w:szCs w:val="28"/>
          <w:highlight w:val="none"/>
        </w:rPr>
      </w:pPr>
      <w:r>
        <w:rPr>
          <w:rFonts w:hint="eastAsia" w:hAnsi="宋体" w:eastAsia="宋体"/>
          <w:color w:val="auto"/>
          <w:sz w:val="28"/>
          <w:szCs w:val="28"/>
          <w:highlight w:val="none"/>
        </w:rPr>
        <w:t>2.评标委员会对投标人资格审查的大部分信息直接取自投标人在广州公共资源交易平台企业库、城市园林绿化企业工程业绩库登记的信息，请投标人及时维护、更新信息，确保其有效性。因投标人未及时维护、更新广州公共资源交易平台企业库、城市园林绿化企业工程业绩库的信息，造成其资格审查不合格的，后果由投标人承担。</w:t>
      </w:r>
    </w:p>
    <w:p>
      <w:pPr>
        <w:pStyle w:val="10"/>
        <w:spacing w:line="360" w:lineRule="auto"/>
        <w:ind w:firstLine="560" w:firstLineChars="200"/>
        <w:rPr>
          <w:rFonts w:hAnsi="宋体" w:eastAsia="宋体"/>
          <w:color w:val="auto"/>
          <w:sz w:val="28"/>
          <w:szCs w:val="28"/>
          <w:highlight w:val="none"/>
        </w:rPr>
      </w:pPr>
      <w:r>
        <w:rPr>
          <w:rFonts w:hint="eastAsia" w:hAnsi="宋体" w:eastAsia="宋体"/>
          <w:color w:val="auto"/>
          <w:sz w:val="28"/>
          <w:szCs w:val="28"/>
          <w:highlight w:val="none"/>
        </w:rPr>
        <w:t>3.电子评标的项目，一律不接受纸质投标文件，投标人将被要求递交具备法律效力的电子投标文件。为此，投标人应当使用在广东省内依法设立的电子认证服务机构发放的电子签名认证证书对电子投标文件进行电子签名及电子签章。投标人可以到上述电子认证服务机构在广州公共资源交易平台设立的办理点办理电子签名认证证书和电子签章（已经办理过电子签名证书的可携带电子签名证书到上述办理点增加电子签章）。</w:t>
      </w:r>
    </w:p>
    <w:p>
      <w:pPr>
        <w:pStyle w:val="10"/>
        <w:spacing w:line="360" w:lineRule="auto"/>
        <w:ind w:firstLine="560" w:firstLineChars="200"/>
        <w:rPr>
          <w:rFonts w:hAnsi="宋体" w:eastAsia="宋体"/>
          <w:color w:val="auto"/>
          <w:sz w:val="28"/>
          <w:szCs w:val="28"/>
          <w:highlight w:val="none"/>
        </w:rPr>
      </w:pPr>
      <w:r>
        <w:rPr>
          <w:rFonts w:hint="eastAsia" w:hAnsi="宋体" w:eastAsia="宋体"/>
          <w:color w:val="auto"/>
          <w:sz w:val="28"/>
          <w:szCs w:val="28"/>
          <w:highlight w:val="none"/>
        </w:rPr>
        <w:t>4.为规范电子评标项目工程量清单的编制与填报，请各招标人、投标人应使用统一标准的建设工程清单计价规范进行工程量清单的编制与填报。</w:t>
      </w:r>
    </w:p>
    <w:p>
      <w:pPr>
        <w:pStyle w:val="10"/>
        <w:spacing w:line="360" w:lineRule="auto"/>
        <w:ind w:firstLine="560" w:firstLineChars="200"/>
        <w:rPr>
          <w:rFonts w:hAnsi="宋体" w:eastAsia="宋体"/>
          <w:color w:val="auto"/>
          <w:sz w:val="28"/>
          <w:szCs w:val="28"/>
          <w:highlight w:val="none"/>
        </w:rPr>
      </w:pPr>
      <w:r>
        <w:rPr>
          <w:rFonts w:hint="eastAsia" w:hAnsi="宋体" w:eastAsia="宋体"/>
          <w:color w:val="auto"/>
          <w:sz w:val="28"/>
          <w:szCs w:val="28"/>
          <w:highlight w:val="none"/>
        </w:rPr>
        <w:t>5.实施资格后审的招标项目，在中标候选人公示期间，招标人或招标代理机构应在单位内设置查询点，接受投标人关于资格审查和否决性条款审查及相关情况的查询。招标人或招标代理机构的查询联系人，应保持其通讯方式的有效性和畅通性。投诉时须提交相关的查询资料。</w:t>
      </w:r>
    </w:p>
    <w:p>
      <w:pPr>
        <w:pStyle w:val="10"/>
        <w:spacing w:line="360" w:lineRule="auto"/>
        <w:ind w:firstLine="560" w:firstLineChars="200"/>
        <w:rPr>
          <w:rFonts w:hAnsi="宋体" w:eastAsia="宋体"/>
          <w:color w:val="auto"/>
          <w:sz w:val="28"/>
          <w:szCs w:val="28"/>
          <w:highlight w:val="none"/>
        </w:rPr>
      </w:pPr>
      <w:r>
        <w:rPr>
          <w:rFonts w:hint="eastAsia" w:hAnsi="宋体" w:eastAsia="宋体"/>
          <w:color w:val="auto"/>
          <w:sz w:val="28"/>
          <w:szCs w:val="28"/>
          <w:highlight w:val="none"/>
        </w:rPr>
        <w:t>6.招标代理机构接受投标资审情况查询和否决性条款审查等的主持人及经办人应熟悉了解相应招标项目的相关情况，包括投标人资审情况、资审不合格的具体原因及合法依据。</w:t>
      </w:r>
    </w:p>
    <w:p>
      <w:pPr>
        <w:pStyle w:val="10"/>
        <w:spacing w:line="360" w:lineRule="auto"/>
        <w:ind w:firstLine="560" w:firstLineChars="200"/>
        <w:rPr>
          <w:rFonts w:hAnsi="宋体" w:eastAsia="宋体"/>
          <w:color w:val="auto"/>
          <w:sz w:val="28"/>
          <w:szCs w:val="28"/>
          <w:highlight w:val="none"/>
        </w:rPr>
      </w:pPr>
      <w:r>
        <w:rPr>
          <w:rFonts w:hint="eastAsia" w:hAnsi="宋体" w:eastAsia="宋体"/>
          <w:color w:val="auto"/>
          <w:sz w:val="28"/>
          <w:szCs w:val="28"/>
          <w:highlight w:val="none"/>
        </w:rPr>
        <w:t>投标人应凭递交投标文件的凭证（已递交的投标保证金单据或递交投标文件的回执）、法人代表授权书、单位证明向招标代理机构进行情况查询，招标代理机构和前来查询的投标人，应将查询情况以书面形式作为备忘确认证明。</w:t>
      </w:r>
    </w:p>
    <w:p>
      <w:pPr>
        <w:pStyle w:val="10"/>
        <w:spacing w:line="360" w:lineRule="auto"/>
        <w:ind w:firstLine="560" w:firstLineChars="200"/>
        <w:rPr>
          <w:rFonts w:hint="eastAsia" w:hAnsi="宋体" w:eastAsia="宋体"/>
          <w:color w:val="auto"/>
          <w:sz w:val="28"/>
          <w:szCs w:val="28"/>
          <w:highlight w:val="none"/>
        </w:rPr>
      </w:pPr>
      <w:r>
        <w:rPr>
          <w:rFonts w:hint="eastAsia" w:hAnsi="宋体" w:eastAsia="宋体"/>
          <w:color w:val="auto"/>
          <w:sz w:val="28"/>
          <w:szCs w:val="28"/>
          <w:highlight w:val="none"/>
        </w:rPr>
        <w:t>招标代理机构的上述工作情况，将作为对其评价考核的依据。</w:t>
      </w:r>
    </w:p>
    <w:p>
      <w:pPr>
        <w:pStyle w:val="10"/>
        <w:spacing w:line="360" w:lineRule="auto"/>
        <w:ind w:firstLine="560" w:firstLineChars="200"/>
        <w:rPr>
          <w:rFonts w:hAnsi="宋体" w:eastAsia="宋体"/>
          <w:color w:val="auto"/>
          <w:sz w:val="28"/>
          <w:szCs w:val="28"/>
          <w:highlight w:val="none"/>
        </w:rPr>
      </w:pPr>
      <w:r>
        <w:rPr>
          <w:rFonts w:hint="eastAsia" w:hAnsi="宋体" w:eastAsia="宋体"/>
          <w:color w:val="auto"/>
          <w:sz w:val="28"/>
          <w:szCs w:val="28"/>
          <w:highlight w:val="none"/>
        </w:rPr>
        <w:t>7.最高投标限价、成本警示价（如有）的内容与招标公告同时发布。</w:t>
      </w:r>
    </w:p>
    <w:p>
      <w:pPr>
        <w:pStyle w:val="10"/>
        <w:spacing w:line="360" w:lineRule="auto"/>
        <w:ind w:firstLine="560" w:firstLineChars="200"/>
        <w:rPr>
          <w:rFonts w:hint="eastAsia" w:hAnsi="宋体" w:eastAsia="宋体"/>
          <w:color w:val="auto"/>
          <w:sz w:val="28"/>
          <w:szCs w:val="28"/>
          <w:highlight w:val="none"/>
        </w:rPr>
      </w:pPr>
      <w:r>
        <w:rPr>
          <w:rFonts w:hint="eastAsia" w:hAnsi="宋体" w:eastAsia="宋体"/>
          <w:color w:val="auto"/>
          <w:sz w:val="28"/>
          <w:szCs w:val="28"/>
          <w:highlight w:val="none"/>
        </w:rPr>
        <w:t>8.投标人录入投标信息时，如投标人为联合体的，须将联合体所有成员单位的全称录入广州公共资源交易平台信息系统。</w:t>
      </w:r>
    </w:p>
    <w:p>
      <w:pPr>
        <w:pStyle w:val="10"/>
        <w:spacing w:line="360" w:lineRule="auto"/>
        <w:ind w:firstLine="560" w:firstLineChars="200"/>
        <w:rPr>
          <w:rFonts w:hint="eastAsia" w:hAnsi="宋体" w:eastAsia="宋体"/>
          <w:color w:val="auto"/>
          <w:sz w:val="28"/>
          <w:szCs w:val="28"/>
          <w:highlight w:val="none"/>
        </w:rPr>
      </w:pPr>
      <w:r>
        <w:rPr>
          <w:rFonts w:hint="eastAsia" w:hAnsi="宋体" w:eastAsia="宋体"/>
          <w:color w:val="auto"/>
          <w:sz w:val="28"/>
          <w:szCs w:val="28"/>
          <w:highlight w:val="none"/>
        </w:rPr>
        <w:t>9.投标人编制电子投标文件须使用最新版本的投标文件管理软件。</w:t>
      </w:r>
    </w:p>
    <w:p>
      <w:pPr>
        <w:pStyle w:val="10"/>
        <w:spacing w:line="360" w:lineRule="auto"/>
        <w:ind w:firstLine="560" w:firstLineChars="200"/>
        <w:rPr>
          <w:rFonts w:hint="eastAsia" w:hAnsi="宋体" w:eastAsia="宋体"/>
          <w:color w:val="auto"/>
          <w:sz w:val="28"/>
          <w:szCs w:val="28"/>
          <w:highlight w:val="none"/>
        </w:rPr>
      </w:pPr>
      <w:r>
        <w:rPr>
          <w:rFonts w:hint="eastAsia" w:hAnsi="宋体" w:eastAsia="宋体"/>
          <w:color w:val="auto"/>
          <w:sz w:val="28"/>
          <w:szCs w:val="28"/>
          <w:highlight w:val="none"/>
        </w:rPr>
        <w:t>10.招标人和投标人应使用中华人民共和国现行的《建设工程工程量清单计价规范》制作工程量清单。</w:t>
      </w:r>
    </w:p>
    <w:p>
      <w:pPr>
        <w:pStyle w:val="10"/>
        <w:spacing w:line="360" w:lineRule="auto"/>
        <w:ind w:firstLine="560" w:firstLineChars="200"/>
        <w:rPr>
          <w:rFonts w:hint="eastAsia" w:hAnsi="宋体" w:eastAsia="宋体"/>
          <w:color w:val="auto"/>
          <w:sz w:val="28"/>
          <w:szCs w:val="28"/>
          <w:highlight w:val="none"/>
        </w:rPr>
      </w:pPr>
      <w:r>
        <w:rPr>
          <w:rFonts w:hint="eastAsia" w:hAnsi="宋体" w:eastAsia="宋体"/>
          <w:color w:val="auto"/>
          <w:sz w:val="28"/>
          <w:szCs w:val="28"/>
          <w:highlight w:val="none"/>
        </w:rPr>
        <w:t>11.电子招投标系统操作手册和工具下载详见</w:t>
      </w:r>
      <w:r>
        <w:rPr>
          <w:rFonts w:hint="eastAsia" w:ascii="宋体" w:hAnsi="宋体" w:eastAsia="宋体" w:cs="Times New Roman"/>
          <w:color w:val="auto"/>
          <w:sz w:val="28"/>
          <w:szCs w:val="28"/>
          <w:highlight w:val="none"/>
        </w:rPr>
        <w:t>广州公共资源交易中心网站</w:t>
      </w:r>
      <w:r>
        <w:rPr>
          <w:rFonts w:hint="eastAsia" w:hAnsi="宋体" w:eastAsia="宋体"/>
          <w:color w:val="auto"/>
          <w:sz w:val="28"/>
          <w:szCs w:val="28"/>
          <w:highlight w:val="none"/>
        </w:rPr>
        <w:t>发布的服务指南。</w:t>
      </w:r>
    </w:p>
    <w:p>
      <w:pPr>
        <w:spacing w:line="360" w:lineRule="auto"/>
        <w:rPr>
          <w:rStyle w:val="21"/>
          <w:b/>
          <w:bCs/>
          <w:color w:val="auto"/>
          <w:sz w:val="32"/>
          <w:szCs w:val="32"/>
          <w:highlight w:val="none"/>
          <w:u w:val="none"/>
        </w:rPr>
      </w:pPr>
      <w:r>
        <w:rPr>
          <w:rFonts w:ascii="宋体" w:hAnsi="宋体" w:eastAsia="宋体"/>
          <w:color w:val="auto"/>
          <w:sz w:val="32"/>
          <w:highlight w:val="none"/>
        </w:rPr>
        <w:br w:type="page"/>
      </w:r>
      <w:bookmarkStart w:id="0" w:name="_目___   录"/>
      <w:bookmarkEnd w:id="0"/>
      <w:r>
        <w:rPr>
          <w:rFonts w:hint="eastAsia" w:hAnsi="宋体" w:eastAsia="宋体"/>
          <w:b/>
          <w:color w:val="auto"/>
          <w:sz w:val="36"/>
          <w:szCs w:val="36"/>
          <w:highlight w:val="none"/>
        </w:rPr>
        <w:t xml:space="preserve">               </w:t>
      </w:r>
      <w:r>
        <w:rPr>
          <w:rStyle w:val="21"/>
          <w:rFonts w:hint="eastAsia"/>
          <w:b/>
          <w:bCs/>
          <w:color w:val="auto"/>
          <w:sz w:val="32"/>
          <w:szCs w:val="32"/>
          <w:highlight w:val="none"/>
          <w:u w:val="none"/>
        </w:rPr>
        <w:t>目      录</w:t>
      </w:r>
    </w:p>
    <w:p>
      <w:pPr>
        <w:pStyle w:val="15"/>
        <w:tabs>
          <w:tab w:val="right" w:leader="dot" w:pos="8697"/>
          <w:tab w:val="clear" w:pos="9060"/>
        </w:tabs>
        <w:rPr>
          <w:color w:val="auto"/>
          <w:highlight w:val="none"/>
        </w:rPr>
      </w:pPr>
      <w:r>
        <w:rPr>
          <w:rFonts w:hint="eastAsia" w:cs="宋体"/>
          <w:color w:val="auto"/>
          <w:sz w:val="21"/>
          <w:szCs w:val="21"/>
          <w:highlight w:val="none"/>
        </w:rPr>
        <w:fldChar w:fldCharType="begin"/>
      </w:r>
      <w:r>
        <w:rPr>
          <w:rFonts w:hint="eastAsia" w:cs="宋体"/>
          <w:color w:val="auto"/>
          <w:sz w:val="21"/>
          <w:szCs w:val="21"/>
          <w:highlight w:val="none"/>
        </w:rPr>
        <w:instrText xml:space="preserve">TOC \o "1-3" \h \u </w:instrText>
      </w:r>
      <w:r>
        <w:rPr>
          <w:rFonts w:hint="eastAsia" w:cs="宋体"/>
          <w:color w:val="auto"/>
          <w:sz w:val="21"/>
          <w:szCs w:val="21"/>
          <w:highlight w:val="none"/>
        </w:rPr>
        <w:fldChar w:fldCharType="separate"/>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_Toc2209 </w:instrText>
      </w:r>
      <w:r>
        <w:rPr>
          <w:rFonts w:hint="eastAsia" w:ascii="宋体" w:hAnsi="宋体" w:cs="宋体"/>
          <w:color w:val="auto"/>
          <w:szCs w:val="21"/>
          <w:highlight w:val="none"/>
        </w:rPr>
        <w:fldChar w:fldCharType="separate"/>
      </w:r>
      <w:r>
        <w:rPr>
          <w:rFonts w:hint="eastAsia" w:ascii="宋体"/>
          <w:color w:val="auto"/>
          <w:highlight w:val="none"/>
        </w:rPr>
        <w:t>第一章  投标须知</w:t>
      </w:r>
      <w:r>
        <w:rPr>
          <w:color w:val="auto"/>
          <w:highlight w:val="none"/>
        </w:rPr>
        <w:tab/>
      </w:r>
      <w:r>
        <w:rPr>
          <w:color w:val="auto"/>
          <w:highlight w:val="none"/>
        </w:rPr>
        <w:fldChar w:fldCharType="begin"/>
      </w:r>
      <w:r>
        <w:rPr>
          <w:color w:val="auto"/>
          <w:highlight w:val="none"/>
        </w:rPr>
        <w:instrText xml:space="preserve"> PAGEREF _Toc2209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color w:val="auto"/>
          <w:szCs w:val="21"/>
          <w:highlight w:val="none"/>
        </w:rPr>
        <w:fldChar w:fldCharType="end"/>
      </w:r>
    </w:p>
    <w:p>
      <w:pPr>
        <w:pStyle w:val="9"/>
        <w:tabs>
          <w:tab w:val="right" w:leader="dot" w:pos="8697"/>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_Toc11756 </w:instrText>
      </w:r>
      <w:r>
        <w:rPr>
          <w:rFonts w:hint="eastAsia" w:ascii="宋体" w:hAnsi="宋体" w:cs="宋体"/>
          <w:color w:val="auto"/>
          <w:szCs w:val="21"/>
          <w:highlight w:val="none"/>
        </w:rPr>
        <w:fldChar w:fldCharType="separate"/>
      </w:r>
      <w:r>
        <w:rPr>
          <w:rFonts w:hint="eastAsia" w:ascii="宋体"/>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_Toc11756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cs="宋体"/>
          <w:color w:val="auto"/>
          <w:szCs w:val="21"/>
          <w:highlight w:val="none"/>
        </w:rPr>
        <w:fldChar w:fldCharType="end"/>
      </w:r>
    </w:p>
    <w:p>
      <w:pPr>
        <w:pStyle w:val="9"/>
        <w:tabs>
          <w:tab w:val="right" w:leader="dot" w:pos="8697"/>
        </w:tabs>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fldChar w:fldCharType="begin"/>
      </w:r>
      <w:r>
        <w:rPr>
          <w:rFonts w:hint="eastAsia" w:ascii="Times New Roman" w:hAnsi="Times New Roman" w:eastAsia="宋体" w:cs="Times New Roman"/>
          <w:color w:val="auto"/>
          <w:highlight w:val="none"/>
        </w:rPr>
        <w:instrText xml:space="preserve"> HYPERLINK \l _Toc26057 </w:instrText>
      </w:r>
      <w:r>
        <w:rPr>
          <w:rFonts w:hint="eastAsia" w:ascii="Times New Roman" w:hAnsi="Times New Roman" w:eastAsia="宋体" w:cs="Times New Roman"/>
          <w:color w:val="auto"/>
          <w:highlight w:val="none"/>
        </w:rPr>
        <w:fldChar w:fldCharType="separate"/>
      </w:r>
      <w:r>
        <w:rPr>
          <w:rFonts w:hint="eastAsia" w:ascii="Times New Roman" w:hAnsi="Times New Roman" w:eastAsia="宋体" w:cs="Times New Roman"/>
          <w:color w:val="auto"/>
          <w:highlight w:val="none"/>
        </w:rPr>
        <w:t>二、投标须知修改表</w:t>
      </w:r>
      <w:r>
        <w:rPr>
          <w:rFonts w:ascii="Times New Roman" w:hAnsi="Times New Roman" w:eastAsia="宋体" w:cs="Times New Roman"/>
          <w:color w:val="auto"/>
          <w:highlight w:val="none"/>
        </w:rPr>
        <w:tab/>
      </w: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rPr>
        <w:fldChar w:fldCharType="end"/>
      </w:r>
      <w:r>
        <w:rPr>
          <w:rFonts w:hint="eastAsia" w:ascii="Times New Roman" w:hAnsi="Times New Roman" w:eastAsia="宋体" w:cs="Times New Roman"/>
          <w:color w:val="auto"/>
          <w:highlight w:val="none"/>
          <w:lang w:val="en-US" w:eastAsia="zh-CN"/>
        </w:rPr>
        <w:t>0</w:t>
      </w:r>
    </w:p>
    <w:p>
      <w:pPr>
        <w:pStyle w:val="9"/>
        <w:tabs>
          <w:tab w:val="right" w:leader="dot" w:pos="8697"/>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_Toc20836 </w:instrText>
      </w:r>
      <w:r>
        <w:rPr>
          <w:rFonts w:hint="eastAsia" w:ascii="宋体" w:hAnsi="宋体" w:cs="宋体"/>
          <w:color w:val="auto"/>
          <w:szCs w:val="21"/>
          <w:highlight w:val="none"/>
        </w:rPr>
        <w:fldChar w:fldCharType="separate"/>
      </w:r>
      <w:r>
        <w:rPr>
          <w:rFonts w:hint="eastAsia" w:ascii="宋体"/>
          <w:color w:val="auto"/>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_Toc20836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color w:val="auto"/>
          <w:szCs w:val="21"/>
          <w:highlight w:val="none"/>
        </w:rPr>
        <w:fldChar w:fldCharType="end"/>
      </w:r>
    </w:p>
    <w:p>
      <w:pPr>
        <w:pStyle w:val="9"/>
        <w:tabs>
          <w:tab w:val="right" w:leader="dot" w:pos="8697"/>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_Toc30129 </w:instrText>
      </w:r>
      <w:r>
        <w:rPr>
          <w:rFonts w:hint="eastAsia" w:ascii="宋体" w:hAnsi="宋体" w:cs="宋体"/>
          <w:color w:val="auto"/>
          <w:szCs w:val="21"/>
          <w:highlight w:val="none"/>
        </w:rPr>
        <w:fldChar w:fldCharType="separate"/>
      </w:r>
      <w:r>
        <w:rPr>
          <w:rFonts w:hint="eastAsia" w:ascii="宋体"/>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_Toc30129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color w:val="auto"/>
          <w:szCs w:val="21"/>
          <w:highlight w:val="none"/>
        </w:rPr>
        <w:fldChar w:fldCharType="end"/>
      </w:r>
    </w:p>
    <w:p>
      <w:pPr>
        <w:pStyle w:val="9"/>
        <w:tabs>
          <w:tab w:val="right" w:leader="dot" w:pos="8697"/>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_Toc12639 </w:instrText>
      </w:r>
      <w:r>
        <w:rPr>
          <w:rFonts w:hint="eastAsia" w:ascii="宋体" w:hAnsi="宋体" w:cs="宋体"/>
          <w:color w:val="auto"/>
          <w:szCs w:val="21"/>
          <w:highlight w:val="none"/>
        </w:rPr>
        <w:fldChar w:fldCharType="separate"/>
      </w:r>
      <w:r>
        <w:rPr>
          <w:rFonts w:hint="eastAsia" w:ascii="宋体"/>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_Toc12639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color w:val="auto"/>
          <w:szCs w:val="21"/>
          <w:highlight w:val="none"/>
        </w:rPr>
        <w:fldChar w:fldCharType="end"/>
      </w:r>
    </w:p>
    <w:p>
      <w:pPr>
        <w:pStyle w:val="9"/>
        <w:tabs>
          <w:tab w:val="right" w:leader="dot" w:pos="8697"/>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_Toc10953 </w:instrText>
      </w:r>
      <w:r>
        <w:rPr>
          <w:rFonts w:hint="eastAsia" w:ascii="宋体" w:hAnsi="宋体" w:cs="宋体"/>
          <w:color w:val="auto"/>
          <w:szCs w:val="21"/>
          <w:highlight w:val="none"/>
        </w:rPr>
        <w:fldChar w:fldCharType="separate"/>
      </w:r>
      <w:r>
        <w:rPr>
          <w:rFonts w:hint="eastAsia" w:ascii="宋体"/>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_Toc10953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cs="宋体"/>
          <w:color w:val="auto"/>
          <w:szCs w:val="21"/>
          <w:highlight w:val="none"/>
        </w:rPr>
        <w:fldChar w:fldCharType="end"/>
      </w:r>
    </w:p>
    <w:p>
      <w:pPr>
        <w:pStyle w:val="9"/>
        <w:tabs>
          <w:tab w:val="right" w:leader="dot" w:pos="8697"/>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_Toc1692 </w:instrText>
      </w:r>
      <w:r>
        <w:rPr>
          <w:rFonts w:hint="eastAsia" w:ascii="宋体" w:hAnsi="宋体" w:cs="宋体"/>
          <w:color w:val="auto"/>
          <w:szCs w:val="21"/>
          <w:highlight w:val="none"/>
        </w:rPr>
        <w:fldChar w:fldCharType="separate"/>
      </w:r>
      <w:r>
        <w:rPr>
          <w:rFonts w:hint="eastAsia" w:ascii="宋体"/>
          <w:color w:val="auto"/>
          <w:highlight w:val="none"/>
        </w:rPr>
        <w:t>（四）投标文件的递交</w:t>
      </w:r>
      <w:r>
        <w:rPr>
          <w:color w:val="auto"/>
          <w:highlight w:val="none"/>
        </w:rPr>
        <w:tab/>
      </w:r>
      <w:r>
        <w:rPr>
          <w:color w:val="auto"/>
          <w:highlight w:val="none"/>
        </w:rPr>
        <w:fldChar w:fldCharType="begin"/>
      </w:r>
      <w:r>
        <w:rPr>
          <w:color w:val="auto"/>
          <w:highlight w:val="none"/>
        </w:rPr>
        <w:instrText xml:space="preserve"> PAGEREF _Toc1692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color w:val="auto"/>
          <w:szCs w:val="21"/>
          <w:highlight w:val="none"/>
        </w:rPr>
        <w:fldChar w:fldCharType="end"/>
      </w:r>
    </w:p>
    <w:p>
      <w:pPr>
        <w:pStyle w:val="9"/>
        <w:tabs>
          <w:tab w:val="right" w:leader="dot" w:pos="8697"/>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_Toc29342 </w:instrText>
      </w:r>
      <w:r>
        <w:rPr>
          <w:rFonts w:hint="eastAsia" w:ascii="宋体" w:hAnsi="宋体" w:cs="宋体"/>
          <w:color w:val="auto"/>
          <w:szCs w:val="21"/>
          <w:highlight w:val="none"/>
        </w:rPr>
        <w:fldChar w:fldCharType="separate"/>
      </w:r>
      <w:r>
        <w:rPr>
          <w:rFonts w:hint="eastAsia" w:ascii="宋体"/>
          <w:color w:val="auto"/>
          <w:highlight w:val="none"/>
        </w:rPr>
        <w:t>（五）开标、评标、定标及合同签订</w:t>
      </w:r>
      <w:r>
        <w:rPr>
          <w:color w:val="auto"/>
          <w:highlight w:val="none"/>
        </w:rPr>
        <w:tab/>
      </w:r>
      <w:r>
        <w:rPr>
          <w:color w:val="auto"/>
          <w:highlight w:val="none"/>
        </w:rPr>
        <w:fldChar w:fldCharType="begin"/>
      </w:r>
      <w:r>
        <w:rPr>
          <w:color w:val="auto"/>
          <w:highlight w:val="none"/>
        </w:rPr>
        <w:instrText xml:space="preserve"> PAGEREF _Toc29342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color w:val="auto"/>
          <w:szCs w:val="21"/>
          <w:highlight w:val="none"/>
        </w:rPr>
        <w:fldChar w:fldCharType="end"/>
      </w:r>
    </w:p>
    <w:p>
      <w:pPr>
        <w:pStyle w:val="15"/>
        <w:tabs>
          <w:tab w:val="right" w:leader="dot" w:pos="8697"/>
          <w:tab w:val="clear" w:pos="906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_Toc26905 </w:instrText>
      </w:r>
      <w:r>
        <w:rPr>
          <w:rFonts w:hint="eastAsia" w:ascii="宋体" w:hAnsi="宋体" w:cs="宋体"/>
          <w:color w:val="auto"/>
          <w:szCs w:val="21"/>
          <w:highlight w:val="none"/>
        </w:rPr>
        <w:fldChar w:fldCharType="separate"/>
      </w:r>
      <w:r>
        <w:rPr>
          <w:rFonts w:hint="eastAsia" w:ascii="宋体"/>
          <w:color w:val="auto"/>
          <w:highlight w:val="none"/>
        </w:rPr>
        <w:t>第二章  开标、评标及定标办法</w:t>
      </w:r>
      <w:r>
        <w:rPr>
          <w:color w:val="auto"/>
          <w:highlight w:val="none"/>
        </w:rPr>
        <w:tab/>
      </w:r>
      <w:r>
        <w:rPr>
          <w:color w:val="auto"/>
          <w:highlight w:val="none"/>
        </w:rPr>
        <w:fldChar w:fldCharType="begin"/>
      </w:r>
      <w:r>
        <w:rPr>
          <w:color w:val="auto"/>
          <w:highlight w:val="none"/>
        </w:rPr>
        <w:instrText xml:space="preserve"> PAGEREF _Toc26905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cs="宋体"/>
          <w:color w:val="auto"/>
          <w:szCs w:val="21"/>
          <w:highlight w:val="none"/>
        </w:rPr>
        <w:fldChar w:fldCharType="end"/>
      </w:r>
    </w:p>
    <w:p>
      <w:pPr>
        <w:pStyle w:val="9"/>
        <w:tabs>
          <w:tab w:val="right" w:leader="dot" w:pos="8697"/>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_Toc27470 </w:instrText>
      </w:r>
      <w:r>
        <w:rPr>
          <w:rFonts w:hint="eastAsia" w:ascii="宋体" w:hAnsi="宋体" w:cs="宋体"/>
          <w:color w:val="auto"/>
          <w:szCs w:val="21"/>
          <w:highlight w:val="none"/>
        </w:rPr>
        <w:fldChar w:fldCharType="separate"/>
      </w:r>
      <w:r>
        <w:rPr>
          <w:rFonts w:hint="eastAsia" w:ascii="宋体"/>
          <w:color w:val="auto"/>
          <w:highlight w:val="none"/>
        </w:rPr>
        <w:t>一、开标、评标及定标办法修改表</w:t>
      </w:r>
      <w:r>
        <w:rPr>
          <w:color w:val="auto"/>
          <w:highlight w:val="none"/>
        </w:rPr>
        <w:tab/>
      </w:r>
      <w:r>
        <w:rPr>
          <w:color w:val="auto"/>
          <w:highlight w:val="none"/>
        </w:rPr>
        <w:fldChar w:fldCharType="begin"/>
      </w:r>
      <w:r>
        <w:rPr>
          <w:color w:val="auto"/>
          <w:highlight w:val="none"/>
        </w:rPr>
        <w:instrText xml:space="preserve"> PAGEREF _Toc27470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cs="宋体"/>
          <w:color w:val="auto"/>
          <w:szCs w:val="21"/>
          <w:highlight w:val="none"/>
        </w:rPr>
        <w:fldChar w:fldCharType="end"/>
      </w:r>
    </w:p>
    <w:p>
      <w:pPr>
        <w:pStyle w:val="9"/>
        <w:tabs>
          <w:tab w:val="right" w:leader="dot" w:pos="8697"/>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_Toc13361 </w:instrText>
      </w:r>
      <w:r>
        <w:rPr>
          <w:rFonts w:hint="eastAsia" w:ascii="宋体" w:hAnsi="宋体" w:cs="宋体"/>
          <w:color w:val="auto"/>
          <w:szCs w:val="21"/>
          <w:highlight w:val="none"/>
        </w:rPr>
        <w:fldChar w:fldCharType="separate"/>
      </w:r>
      <w:r>
        <w:rPr>
          <w:rFonts w:hint="eastAsia" w:ascii="宋体"/>
          <w:color w:val="auto"/>
          <w:highlight w:val="none"/>
        </w:rPr>
        <w:t>二、开标、评标及定标办法</w:t>
      </w:r>
      <w:r>
        <w:rPr>
          <w:color w:val="auto"/>
          <w:highlight w:val="none"/>
        </w:rPr>
        <w:tab/>
      </w:r>
      <w:r>
        <w:rPr>
          <w:color w:val="auto"/>
          <w:highlight w:val="none"/>
        </w:rPr>
        <w:fldChar w:fldCharType="begin"/>
      </w:r>
      <w:r>
        <w:rPr>
          <w:color w:val="auto"/>
          <w:highlight w:val="none"/>
        </w:rPr>
        <w:instrText xml:space="preserve"> PAGEREF _Toc13361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cs="宋体"/>
          <w:color w:val="auto"/>
          <w:szCs w:val="21"/>
          <w:highlight w:val="none"/>
        </w:rPr>
        <w:fldChar w:fldCharType="end"/>
      </w:r>
    </w:p>
    <w:p>
      <w:pPr>
        <w:pStyle w:val="9"/>
        <w:tabs>
          <w:tab w:val="right" w:leader="dot" w:pos="8697"/>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_Toc10679 </w:instrText>
      </w:r>
      <w:r>
        <w:rPr>
          <w:rFonts w:hint="eastAsia" w:ascii="宋体" w:hAnsi="宋体" w:cs="宋体"/>
          <w:color w:val="auto"/>
          <w:szCs w:val="21"/>
          <w:highlight w:val="none"/>
        </w:rPr>
        <w:fldChar w:fldCharType="separate"/>
      </w:r>
      <w:r>
        <w:rPr>
          <w:rFonts w:hint="eastAsia" w:ascii="宋体"/>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_Toc10679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cs="宋体"/>
          <w:color w:val="auto"/>
          <w:szCs w:val="21"/>
          <w:highlight w:val="none"/>
        </w:rPr>
        <w:fldChar w:fldCharType="end"/>
      </w:r>
    </w:p>
    <w:p>
      <w:pPr>
        <w:pStyle w:val="9"/>
        <w:tabs>
          <w:tab w:val="right" w:leader="dot" w:pos="8697"/>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_Toc23685 </w:instrText>
      </w:r>
      <w:r>
        <w:rPr>
          <w:rFonts w:hint="eastAsia" w:ascii="宋体" w:hAnsi="宋体" w:cs="宋体"/>
          <w:color w:val="auto"/>
          <w:szCs w:val="21"/>
          <w:highlight w:val="none"/>
        </w:rPr>
        <w:fldChar w:fldCharType="separate"/>
      </w:r>
      <w:r>
        <w:rPr>
          <w:rFonts w:hint="eastAsia" w:ascii="宋体"/>
          <w:color w:val="auto"/>
          <w:highlight w:val="none"/>
        </w:rPr>
        <w:t>（二）开标评标办法程序和细则</w:t>
      </w:r>
      <w:r>
        <w:rPr>
          <w:color w:val="auto"/>
          <w:highlight w:val="none"/>
        </w:rPr>
        <w:tab/>
      </w:r>
      <w:r>
        <w:rPr>
          <w:color w:val="auto"/>
          <w:highlight w:val="none"/>
        </w:rPr>
        <w:fldChar w:fldCharType="begin"/>
      </w:r>
      <w:r>
        <w:rPr>
          <w:color w:val="auto"/>
          <w:highlight w:val="none"/>
        </w:rPr>
        <w:instrText xml:space="preserve"> PAGEREF _Toc23685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cs="宋体"/>
          <w:color w:val="auto"/>
          <w:szCs w:val="21"/>
          <w:highlight w:val="none"/>
        </w:rPr>
        <w:fldChar w:fldCharType="end"/>
      </w:r>
    </w:p>
    <w:p>
      <w:pPr>
        <w:pStyle w:val="9"/>
        <w:tabs>
          <w:tab w:val="right" w:leader="dot" w:pos="8697"/>
        </w:tabs>
        <w:rPr>
          <w:color w:val="auto"/>
          <w:highlight w:val="none"/>
        </w:rPr>
      </w:pPr>
      <w:r>
        <w:rPr>
          <w:rFonts w:hint="eastAsia" w:ascii="宋体" w:hAnsi="宋体" w:cs="宋体"/>
          <w:strike/>
          <w:color w:val="auto"/>
          <w:szCs w:val="21"/>
          <w:highlight w:val="none"/>
        </w:rPr>
        <w:fldChar w:fldCharType="begin"/>
      </w:r>
      <w:r>
        <w:rPr>
          <w:rFonts w:hint="eastAsia" w:ascii="宋体" w:hAnsi="宋体" w:cs="宋体"/>
          <w:strike/>
          <w:color w:val="auto"/>
          <w:szCs w:val="21"/>
          <w:highlight w:val="none"/>
        </w:rPr>
        <w:instrText xml:space="preserve"> HYPERLINK \l _Toc15917 </w:instrText>
      </w:r>
      <w:r>
        <w:rPr>
          <w:rFonts w:hint="eastAsia" w:ascii="宋体" w:hAnsi="宋体" w:cs="宋体"/>
          <w:strike/>
          <w:color w:val="auto"/>
          <w:szCs w:val="21"/>
          <w:highlight w:val="none"/>
        </w:rPr>
        <w:fldChar w:fldCharType="separate"/>
      </w:r>
      <w:r>
        <w:rPr>
          <w:rFonts w:hint="eastAsia" w:ascii="宋体"/>
          <w:strike/>
          <w:color w:val="auto"/>
          <w:highlight w:val="none"/>
        </w:rPr>
        <w:t>可选办法一 两阶段评标法</w:t>
      </w:r>
      <w:r>
        <w:rPr>
          <w:strike/>
          <w:color w:val="auto"/>
          <w:highlight w:val="none"/>
        </w:rPr>
        <w:tab/>
      </w:r>
      <w:r>
        <w:rPr>
          <w:strike/>
          <w:color w:val="auto"/>
          <w:highlight w:val="none"/>
        </w:rPr>
        <w:fldChar w:fldCharType="begin"/>
      </w:r>
      <w:r>
        <w:rPr>
          <w:strike/>
          <w:color w:val="auto"/>
          <w:highlight w:val="none"/>
        </w:rPr>
        <w:instrText xml:space="preserve"> PAGEREF _Toc15917 \h </w:instrText>
      </w:r>
      <w:r>
        <w:rPr>
          <w:strike/>
          <w:color w:val="auto"/>
          <w:highlight w:val="none"/>
        </w:rPr>
        <w:fldChar w:fldCharType="separate"/>
      </w:r>
      <w:r>
        <w:rPr>
          <w:strike/>
          <w:color w:val="auto"/>
          <w:highlight w:val="none"/>
        </w:rPr>
        <w:t>36</w:t>
      </w:r>
      <w:r>
        <w:rPr>
          <w:strike/>
          <w:color w:val="auto"/>
          <w:highlight w:val="none"/>
        </w:rPr>
        <w:fldChar w:fldCharType="end"/>
      </w:r>
      <w:r>
        <w:rPr>
          <w:rFonts w:hint="eastAsia" w:ascii="宋体" w:hAnsi="宋体" w:cs="宋体"/>
          <w:strike/>
          <w:color w:val="auto"/>
          <w:szCs w:val="21"/>
          <w:highlight w:val="none"/>
        </w:rPr>
        <w:fldChar w:fldCharType="end"/>
      </w:r>
    </w:p>
    <w:p>
      <w:pPr>
        <w:pStyle w:val="9"/>
        <w:tabs>
          <w:tab w:val="right" w:leader="dot" w:pos="8697"/>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_Toc20077 </w:instrText>
      </w:r>
      <w:r>
        <w:rPr>
          <w:rFonts w:hint="eastAsia" w:ascii="宋体" w:hAnsi="宋体" w:cs="宋体"/>
          <w:color w:val="auto"/>
          <w:szCs w:val="21"/>
          <w:highlight w:val="none"/>
        </w:rPr>
        <w:fldChar w:fldCharType="separate"/>
      </w:r>
      <w:r>
        <w:rPr>
          <w:rFonts w:hint="eastAsia" w:ascii="宋体"/>
          <w:color w:val="auto"/>
          <w:highlight w:val="none"/>
        </w:rPr>
        <w:t>可选办法二 综合评分法</w:t>
      </w:r>
      <w:r>
        <w:rPr>
          <w:color w:val="auto"/>
          <w:highlight w:val="none"/>
        </w:rPr>
        <w:tab/>
      </w:r>
      <w:r>
        <w:rPr>
          <w:color w:val="auto"/>
          <w:highlight w:val="none"/>
        </w:rPr>
        <w:fldChar w:fldCharType="begin"/>
      </w:r>
      <w:r>
        <w:rPr>
          <w:color w:val="auto"/>
          <w:highlight w:val="none"/>
        </w:rPr>
        <w:instrText xml:space="preserve"> PAGEREF _Toc20077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cs="宋体"/>
          <w:color w:val="auto"/>
          <w:szCs w:val="21"/>
          <w:highlight w:val="none"/>
        </w:rPr>
        <w:fldChar w:fldCharType="end"/>
      </w:r>
    </w:p>
    <w:p>
      <w:pPr>
        <w:pStyle w:val="9"/>
        <w:tabs>
          <w:tab w:val="right" w:leader="dot" w:pos="8697"/>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_Toc21426 </w:instrText>
      </w:r>
      <w:r>
        <w:rPr>
          <w:rFonts w:hint="eastAsia" w:ascii="宋体" w:hAnsi="宋体" w:cs="宋体"/>
          <w:color w:val="auto"/>
          <w:szCs w:val="21"/>
          <w:highlight w:val="none"/>
        </w:rPr>
        <w:fldChar w:fldCharType="separate"/>
      </w:r>
      <w:r>
        <w:rPr>
          <w:rFonts w:hint="eastAsia" w:ascii="宋体" w:hAnsi="宋体"/>
          <w:color w:val="auto"/>
          <w:szCs w:val="24"/>
          <w:highlight w:val="none"/>
        </w:rPr>
        <w:t>附件1</w:t>
      </w:r>
      <w:r>
        <w:rPr>
          <w:rFonts w:hint="eastAsia" w:ascii="宋体" w:hAnsi="宋体" w:cs="宋体"/>
          <w:color w:val="auto"/>
          <w:szCs w:val="21"/>
          <w:highlight w:val="none"/>
        </w:rPr>
        <w:t>开标记录表</w:t>
      </w:r>
      <w:r>
        <w:rPr>
          <w:color w:val="auto"/>
          <w:highlight w:val="none"/>
        </w:rPr>
        <w:tab/>
      </w:r>
      <w:r>
        <w:rPr>
          <w:color w:val="auto"/>
          <w:highlight w:val="none"/>
        </w:rPr>
        <w:fldChar w:fldCharType="begin"/>
      </w:r>
      <w:r>
        <w:rPr>
          <w:color w:val="auto"/>
          <w:highlight w:val="none"/>
        </w:rPr>
        <w:instrText xml:space="preserve"> PAGEREF _Toc21426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cs="宋体"/>
          <w:color w:val="auto"/>
          <w:szCs w:val="21"/>
          <w:highlight w:val="none"/>
        </w:rPr>
        <w:fldChar w:fldCharType="end"/>
      </w:r>
    </w:p>
    <w:p>
      <w:pPr>
        <w:pStyle w:val="9"/>
        <w:tabs>
          <w:tab w:val="right" w:leader="dot" w:pos="8697"/>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_Toc24778 </w:instrText>
      </w:r>
      <w:r>
        <w:rPr>
          <w:rFonts w:hint="eastAsia" w:ascii="宋体" w:hAnsi="宋体" w:cs="宋体"/>
          <w:color w:val="auto"/>
          <w:szCs w:val="21"/>
          <w:highlight w:val="none"/>
        </w:rPr>
        <w:fldChar w:fldCharType="separate"/>
      </w:r>
      <w:r>
        <w:rPr>
          <w:rFonts w:hint="eastAsia" w:ascii="宋体" w:hAnsi="宋体"/>
          <w:color w:val="auto"/>
          <w:szCs w:val="24"/>
          <w:highlight w:val="none"/>
        </w:rPr>
        <w:t>附件2资格审查表</w:t>
      </w:r>
      <w:r>
        <w:rPr>
          <w:color w:val="auto"/>
          <w:highlight w:val="none"/>
        </w:rPr>
        <w:tab/>
      </w:r>
      <w:r>
        <w:rPr>
          <w:color w:val="auto"/>
          <w:highlight w:val="none"/>
        </w:rPr>
        <w:fldChar w:fldCharType="begin"/>
      </w:r>
      <w:r>
        <w:rPr>
          <w:color w:val="auto"/>
          <w:highlight w:val="none"/>
        </w:rPr>
        <w:instrText xml:space="preserve"> PAGEREF _Toc24778 \h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cs="宋体"/>
          <w:color w:val="auto"/>
          <w:szCs w:val="21"/>
          <w:highlight w:val="none"/>
        </w:rPr>
        <w:fldChar w:fldCharType="end"/>
      </w:r>
    </w:p>
    <w:p>
      <w:pPr>
        <w:pStyle w:val="9"/>
        <w:tabs>
          <w:tab w:val="right" w:leader="dot" w:pos="8697"/>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_Toc26109 </w:instrText>
      </w:r>
      <w:r>
        <w:rPr>
          <w:rFonts w:hint="eastAsia" w:ascii="宋体" w:hAnsi="宋体" w:cs="宋体"/>
          <w:color w:val="auto"/>
          <w:szCs w:val="21"/>
          <w:highlight w:val="none"/>
        </w:rPr>
        <w:fldChar w:fldCharType="separate"/>
      </w:r>
      <w:r>
        <w:rPr>
          <w:rFonts w:hint="eastAsia" w:ascii="宋体" w:hAnsi="宋体"/>
          <w:bCs/>
          <w:color w:val="auto"/>
          <w:szCs w:val="24"/>
          <w:highlight w:val="none"/>
        </w:rPr>
        <w:t>附件3算术复核表</w:t>
      </w:r>
      <w:r>
        <w:rPr>
          <w:color w:val="auto"/>
          <w:highlight w:val="none"/>
        </w:rPr>
        <w:tab/>
      </w:r>
      <w:r>
        <w:rPr>
          <w:color w:val="auto"/>
          <w:highlight w:val="none"/>
        </w:rPr>
        <w:fldChar w:fldCharType="begin"/>
      </w:r>
      <w:r>
        <w:rPr>
          <w:color w:val="auto"/>
          <w:highlight w:val="none"/>
        </w:rPr>
        <w:instrText xml:space="preserve"> PAGEREF _Toc26109 \h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cs="宋体"/>
          <w:color w:val="auto"/>
          <w:szCs w:val="21"/>
          <w:highlight w:val="none"/>
        </w:rPr>
        <w:fldChar w:fldCharType="end"/>
      </w:r>
    </w:p>
    <w:p>
      <w:pPr>
        <w:pStyle w:val="9"/>
        <w:tabs>
          <w:tab w:val="right" w:leader="dot" w:pos="8697"/>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_Toc1890 </w:instrText>
      </w:r>
      <w:r>
        <w:rPr>
          <w:rFonts w:hint="eastAsia" w:ascii="宋体" w:hAnsi="宋体" w:cs="宋体"/>
          <w:color w:val="auto"/>
          <w:szCs w:val="21"/>
          <w:highlight w:val="none"/>
        </w:rPr>
        <w:fldChar w:fldCharType="separate"/>
      </w:r>
      <w:r>
        <w:rPr>
          <w:rFonts w:hint="eastAsia" w:ascii="宋体" w:hAnsi="宋体"/>
          <w:color w:val="auto"/>
          <w:szCs w:val="24"/>
          <w:highlight w:val="none"/>
        </w:rPr>
        <w:t>附件4算术复核汇总表</w:t>
      </w:r>
      <w:r>
        <w:rPr>
          <w:color w:val="auto"/>
          <w:highlight w:val="none"/>
        </w:rPr>
        <w:tab/>
      </w:r>
      <w:r>
        <w:rPr>
          <w:color w:val="auto"/>
          <w:highlight w:val="none"/>
        </w:rPr>
        <w:fldChar w:fldCharType="begin"/>
      </w:r>
      <w:r>
        <w:rPr>
          <w:color w:val="auto"/>
          <w:highlight w:val="none"/>
        </w:rPr>
        <w:instrText xml:space="preserve"> PAGEREF _Toc1890 \h </w:instrText>
      </w:r>
      <w:r>
        <w:rPr>
          <w:color w:val="auto"/>
          <w:highlight w:val="none"/>
        </w:rPr>
        <w:fldChar w:fldCharType="separate"/>
      </w:r>
      <w:r>
        <w:rPr>
          <w:color w:val="auto"/>
          <w:highlight w:val="none"/>
        </w:rPr>
        <w:t>51</w:t>
      </w:r>
      <w:r>
        <w:rPr>
          <w:color w:val="auto"/>
          <w:highlight w:val="none"/>
        </w:rPr>
        <w:fldChar w:fldCharType="end"/>
      </w:r>
      <w:r>
        <w:rPr>
          <w:rFonts w:hint="eastAsia" w:ascii="宋体" w:hAnsi="宋体" w:cs="宋体"/>
          <w:color w:val="auto"/>
          <w:szCs w:val="21"/>
          <w:highlight w:val="none"/>
        </w:rPr>
        <w:fldChar w:fldCharType="end"/>
      </w:r>
    </w:p>
    <w:p>
      <w:pPr>
        <w:pStyle w:val="9"/>
        <w:tabs>
          <w:tab w:val="right" w:leader="dot" w:pos="8697"/>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_Toc11493 </w:instrText>
      </w:r>
      <w:r>
        <w:rPr>
          <w:rFonts w:hint="eastAsia" w:ascii="宋体" w:hAnsi="宋体" w:cs="宋体"/>
          <w:color w:val="auto"/>
          <w:szCs w:val="21"/>
          <w:highlight w:val="none"/>
        </w:rPr>
        <w:fldChar w:fldCharType="separate"/>
      </w:r>
      <w:r>
        <w:rPr>
          <w:rFonts w:hint="eastAsia" w:ascii="宋体" w:hAnsi="宋体"/>
          <w:strike/>
          <w:color w:val="auto"/>
          <w:szCs w:val="24"/>
          <w:highlight w:val="none"/>
        </w:rPr>
        <w:t>附件5（适用于办法一）第一阶段得分计算表</w:t>
      </w:r>
      <w:r>
        <w:rPr>
          <w:color w:val="auto"/>
          <w:highlight w:val="none"/>
        </w:rPr>
        <w:tab/>
      </w:r>
      <w:r>
        <w:rPr>
          <w:color w:val="auto"/>
          <w:highlight w:val="none"/>
        </w:rPr>
        <w:fldChar w:fldCharType="begin"/>
      </w:r>
      <w:r>
        <w:rPr>
          <w:color w:val="auto"/>
          <w:highlight w:val="none"/>
        </w:rPr>
        <w:instrText xml:space="preserve"> PAGEREF _Toc11493 \h </w:instrText>
      </w:r>
      <w:r>
        <w:rPr>
          <w:color w:val="auto"/>
          <w:highlight w:val="none"/>
        </w:rPr>
        <w:fldChar w:fldCharType="separate"/>
      </w:r>
      <w:r>
        <w:rPr>
          <w:color w:val="auto"/>
          <w:highlight w:val="none"/>
        </w:rPr>
        <w:t>52</w:t>
      </w:r>
      <w:r>
        <w:rPr>
          <w:color w:val="auto"/>
          <w:highlight w:val="none"/>
        </w:rPr>
        <w:fldChar w:fldCharType="end"/>
      </w:r>
      <w:r>
        <w:rPr>
          <w:rFonts w:hint="eastAsia" w:ascii="宋体" w:hAnsi="宋体" w:cs="宋体"/>
          <w:color w:val="auto"/>
          <w:szCs w:val="21"/>
          <w:highlight w:val="none"/>
        </w:rPr>
        <w:fldChar w:fldCharType="end"/>
      </w:r>
    </w:p>
    <w:p>
      <w:pPr>
        <w:pStyle w:val="9"/>
        <w:tabs>
          <w:tab w:val="right" w:leader="dot" w:pos="8697"/>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_Toc2359 </w:instrText>
      </w:r>
      <w:r>
        <w:rPr>
          <w:rFonts w:hint="eastAsia" w:ascii="宋体" w:hAnsi="宋体" w:cs="宋体"/>
          <w:color w:val="auto"/>
          <w:szCs w:val="21"/>
          <w:highlight w:val="none"/>
        </w:rPr>
        <w:fldChar w:fldCharType="separate"/>
      </w:r>
      <w:r>
        <w:rPr>
          <w:rFonts w:hint="eastAsia" w:ascii="宋体" w:hAnsi="宋体"/>
          <w:strike/>
          <w:color w:val="auto"/>
          <w:szCs w:val="24"/>
          <w:highlight w:val="none"/>
        </w:rPr>
        <w:t>附件6（适用于办法一）第一阶段汇总得分排序表</w:t>
      </w:r>
      <w:r>
        <w:rPr>
          <w:color w:val="auto"/>
          <w:highlight w:val="none"/>
        </w:rPr>
        <w:tab/>
      </w:r>
      <w:r>
        <w:rPr>
          <w:color w:val="auto"/>
          <w:highlight w:val="none"/>
        </w:rPr>
        <w:fldChar w:fldCharType="begin"/>
      </w:r>
      <w:r>
        <w:rPr>
          <w:color w:val="auto"/>
          <w:highlight w:val="none"/>
        </w:rPr>
        <w:instrText xml:space="preserve"> PAGEREF _Toc2359 \h </w:instrText>
      </w:r>
      <w:r>
        <w:rPr>
          <w:color w:val="auto"/>
          <w:highlight w:val="none"/>
        </w:rPr>
        <w:fldChar w:fldCharType="separate"/>
      </w:r>
      <w:r>
        <w:rPr>
          <w:color w:val="auto"/>
          <w:highlight w:val="none"/>
        </w:rPr>
        <w:t>53</w:t>
      </w:r>
      <w:r>
        <w:rPr>
          <w:color w:val="auto"/>
          <w:highlight w:val="none"/>
        </w:rPr>
        <w:fldChar w:fldCharType="end"/>
      </w:r>
      <w:r>
        <w:rPr>
          <w:rFonts w:hint="eastAsia" w:ascii="宋体" w:hAnsi="宋体" w:cs="宋体"/>
          <w:color w:val="auto"/>
          <w:szCs w:val="21"/>
          <w:highlight w:val="none"/>
        </w:rPr>
        <w:fldChar w:fldCharType="end"/>
      </w:r>
    </w:p>
    <w:p>
      <w:pPr>
        <w:pStyle w:val="9"/>
        <w:tabs>
          <w:tab w:val="right" w:leader="dot" w:pos="8697"/>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_Toc4065 </w:instrText>
      </w:r>
      <w:r>
        <w:rPr>
          <w:rFonts w:hint="eastAsia" w:ascii="宋体" w:hAnsi="宋体" w:cs="宋体"/>
          <w:color w:val="auto"/>
          <w:szCs w:val="21"/>
          <w:highlight w:val="none"/>
        </w:rPr>
        <w:fldChar w:fldCharType="separate"/>
      </w:r>
      <w:r>
        <w:rPr>
          <w:rFonts w:hint="eastAsia" w:ascii="宋体" w:hAnsi="宋体" w:cs="宋体"/>
          <w:bCs/>
          <w:strike/>
          <w:color w:val="auto"/>
          <w:kern w:val="0"/>
          <w:szCs w:val="24"/>
          <w:highlight w:val="none"/>
        </w:rPr>
        <w:t>附件7</w:t>
      </w:r>
      <w:r>
        <w:rPr>
          <w:rFonts w:hint="eastAsia" w:ascii="宋体" w:hAnsi="宋体"/>
          <w:strike/>
          <w:color w:val="auto"/>
          <w:szCs w:val="24"/>
          <w:highlight w:val="none"/>
        </w:rPr>
        <w:t>（适用于办法一）第二阶段得分排序表</w:t>
      </w:r>
      <w:r>
        <w:rPr>
          <w:color w:val="auto"/>
          <w:highlight w:val="none"/>
        </w:rPr>
        <w:tab/>
      </w:r>
      <w:r>
        <w:rPr>
          <w:color w:val="auto"/>
          <w:highlight w:val="none"/>
        </w:rPr>
        <w:fldChar w:fldCharType="begin"/>
      </w:r>
      <w:r>
        <w:rPr>
          <w:color w:val="auto"/>
          <w:highlight w:val="none"/>
        </w:rPr>
        <w:instrText xml:space="preserve"> PAGEREF _Toc4065 \h </w:instrText>
      </w:r>
      <w:r>
        <w:rPr>
          <w:color w:val="auto"/>
          <w:highlight w:val="none"/>
        </w:rPr>
        <w:fldChar w:fldCharType="separate"/>
      </w:r>
      <w:r>
        <w:rPr>
          <w:color w:val="auto"/>
          <w:highlight w:val="none"/>
        </w:rPr>
        <w:t>54</w:t>
      </w:r>
      <w:r>
        <w:rPr>
          <w:color w:val="auto"/>
          <w:highlight w:val="none"/>
        </w:rPr>
        <w:fldChar w:fldCharType="end"/>
      </w:r>
      <w:r>
        <w:rPr>
          <w:rFonts w:hint="eastAsia" w:ascii="宋体" w:hAnsi="宋体" w:cs="宋体"/>
          <w:color w:val="auto"/>
          <w:szCs w:val="21"/>
          <w:highlight w:val="none"/>
        </w:rPr>
        <w:fldChar w:fldCharType="end"/>
      </w:r>
    </w:p>
    <w:p>
      <w:pPr>
        <w:pStyle w:val="9"/>
        <w:tabs>
          <w:tab w:val="right" w:leader="dot" w:pos="8697"/>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_Toc25204 </w:instrText>
      </w:r>
      <w:r>
        <w:rPr>
          <w:rFonts w:hint="eastAsia" w:ascii="宋体" w:hAnsi="宋体" w:cs="宋体"/>
          <w:color w:val="auto"/>
          <w:szCs w:val="21"/>
          <w:highlight w:val="none"/>
        </w:rPr>
        <w:fldChar w:fldCharType="separate"/>
      </w:r>
      <w:r>
        <w:rPr>
          <w:rFonts w:hint="eastAsia" w:ascii="宋体" w:hAnsi="宋体"/>
          <w:color w:val="auto"/>
          <w:szCs w:val="24"/>
          <w:highlight w:val="none"/>
        </w:rPr>
        <w:t xml:space="preserve">附件8 </w:t>
      </w:r>
      <w:r>
        <w:rPr>
          <w:rFonts w:hint="eastAsia" w:ascii="宋体" w:hAnsi="宋体"/>
          <w:color w:val="auto"/>
          <w:szCs w:val="28"/>
          <w:highlight w:val="none"/>
        </w:rPr>
        <w:t>投标文件否决性条款审查表</w:t>
      </w:r>
      <w:r>
        <w:rPr>
          <w:color w:val="auto"/>
          <w:highlight w:val="none"/>
        </w:rPr>
        <w:tab/>
      </w:r>
      <w:r>
        <w:rPr>
          <w:color w:val="auto"/>
          <w:highlight w:val="none"/>
        </w:rPr>
        <w:fldChar w:fldCharType="begin"/>
      </w:r>
      <w:r>
        <w:rPr>
          <w:color w:val="auto"/>
          <w:highlight w:val="none"/>
        </w:rPr>
        <w:instrText xml:space="preserve"> PAGEREF _Toc25204 \h </w:instrText>
      </w:r>
      <w:r>
        <w:rPr>
          <w:color w:val="auto"/>
          <w:highlight w:val="none"/>
        </w:rPr>
        <w:fldChar w:fldCharType="separate"/>
      </w:r>
      <w:r>
        <w:rPr>
          <w:color w:val="auto"/>
          <w:highlight w:val="none"/>
        </w:rPr>
        <w:t>55</w:t>
      </w:r>
      <w:r>
        <w:rPr>
          <w:color w:val="auto"/>
          <w:highlight w:val="none"/>
        </w:rPr>
        <w:fldChar w:fldCharType="end"/>
      </w:r>
      <w:r>
        <w:rPr>
          <w:rFonts w:hint="eastAsia" w:ascii="宋体" w:hAnsi="宋体" w:cs="宋体"/>
          <w:color w:val="auto"/>
          <w:szCs w:val="21"/>
          <w:highlight w:val="none"/>
        </w:rPr>
        <w:fldChar w:fldCharType="end"/>
      </w:r>
    </w:p>
    <w:p>
      <w:pPr>
        <w:pStyle w:val="9"/>
        <w:tabs>
          <w:tab w:val="right" w:leader="dot" w:pos="8697"/>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_Toc19129 </w:instrText>
      </w:r>
      <w:r>
        <w:rPr>
          <w:rFonts w:hint="eastAsia" w:ascii="宋体" w:hAnsi="宋体" w:cs="宋体"/>
          <w:color w:val="auto"/>
          <w:szCs w:val="21"/>
          <w:highlight w:val="none"/>
        </w:rPr>
        <w:fldChar w:fldCharType="separate"/>
      </w:r>
      <w:r>
        <w:rPr>
          <w:rFonts w:hint="eastAsia" w:ascii="宋体" w:hAnsi="宋体"/>
          <w:color w:val="auto"/>
          <w:szCs w:val="24"/>
          <w:highlight w:val="none"/>
        </w:rPr>
        <w:t>附件9投标人串通投标评审表</w:t>
      </w:r>
      <w:r>
        <w:rPr>
          <w:color w:val="auto"/>
          <w:highlight w:val="none"/>
        </w:rPr>
        <w:tab/>
      </w:r>
      <w:r>
        <w:rPr>
          <w:color w:val="auto"/>
          <w:highlight w:val="none"/>
        </w:rPr>
        <w:fldChar w:fldCharType="begin"/>
      </w:r>
      <w:r>
        <w:rPr>
          <w:color w:val="auto"/>
          <w:highlight w:val="none"/>
        </w:rPr>
        <w:instrText xml:space="preserve"> PAGEREF _Toc19129 \h </w:instrText>
      </w:r>
      <w:r>
        <w:rPr>
          <w:color w:val="auto"/>
          <w:highlight w:val="none"/>
        </w:rPr>
        <w:fldChar w:fldCharType="separate"/>
      </w:r>
      <w:r>
        <w:rPr>
          <w:color w:val="auto"/>
          <w:highlight w:val="none"/>
        </w:rPr>
        <w:t>56</w:t>
      </w:r>
      <w:r>
        <w:rPr>
          <w:color w:val="auto"/>
          <w:highlight w:val="none"/>
        </w:rPr>
        <w:fldChar w:fldCharType="end"/>
      </w:r>
      <w:r>
        <w:rPr>
          <w:rFonts w:hint="eastAsia" w:ascii="宋体" w:hAnsi="宋体" w:cs="宋体"/>
          <w:color w:val="auto"/>
          <w:szCs w:val="21"/>
          <w:highlight w:val="none"/>
        </w:rPr>
        <w:fldChar w:fldCharType="end"/>
      </w:r>
    </w:p>
    <w:p>
      <w:pPr>
        <w:pStyle w:val="9"/>
        <w:tabs>
          <w:tab w:val="right" w:leader="dot" w:pos="8697"/>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_Toc30436 </w:instrText>
      </w:r>
      <w:r>
        <w:rPr>
          <w:rFonts w:hint="eastAsia" w:ascii="宋体" w:hAnsi="宋体" w:cs="宋体"/>
          <w:color w:val="auto"/>
          <w:szCs w:val="21"/>
          <w:highlight w:val="none"/>
        </w:rPr>
        <w:fldChar w:fldCharType="separate"/>
      </w:r>
      <w:r>
        <w:rPr>
          <w:rFonts w:hint="eastAsia" w:ascii="宋体" w:hAnsi="宋体"/>
          <w:color w:val="auto"/>
          <w:szCs w:val="24"/>
          <w:highlight w:val="none"/>
        </w:rPr>
        <w:t>附件10（适用于办法二）技术部分（施工组织方案）文件否决性条款审查表</w:t>
      </w:r>
      <w:r>
        <w:rPr>
          <w:color w:val="auto"/>
          <w:highlight w:val="none"/>
        </w:rPr>
        <w:tab/>
      </w:r>
      <w:r>
        <w:rPr>
          <w:color w:val="auto"/>
          <w:highlight w:val="none"/>
        </w:rPr>
        <w:fldChar w:fldCharType="begin"/>
      </w:r>
      <w:r>
        <w:rPr>
          <w:color w:val="auto"/>
          <w:highlight w:val="none"/>
        </w:rPr>
        <w:instrText xml:space="preserve"> PAGEREF _Toc30436 \h </w:instrText>
      </w:r>
      <w:r>
        <w:rPr>
          <w:color w:val="auto"/>
          <w:highlight w:val="none"/>
        </w:rPr>
        <w:fldChar w:fldCharType="separate"/>
      </w:r>
      <w:r>
        <w:rPr>
          <w:color w:val="auto"/>
          <w:highlight w:val="none"/>
        </w:rPr>
        <w:t>57</w:t>
      </w:r>
      <w:r>
        <w:rPr>
          <w:color w:val="auto"/>
          <w:highlight w:val="none"/>
        </w:rPr>
        <w:fldChar w:fldCharType="end"/>
      </w:r>
      <w:r>
        <w:rPr>
          <w:rFonts w:hint="eastAsia" w:ascii="宋体" w:hAnsi="宋体" w:cs="宋体"/>
          <w:color w:val="auto"/>
          <w:szCs w:val="21"/>
          <w:highlight w:val="none"/>
        </w:rPr>
        <w:fldChar w:fldCharType="end"/>
      </w:r>
    </w:p>
    <w:p>
      <w:pPr>
        <w:pStyle w:val="9"/>
        <w:tabs>
          <w:tab w:val="right" w:leader="dot" w:pos="8697"/>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_Toc29858 </w:instrText>
      </w:r>
      <w:r>
        <w:rPr>
          <w:rFonts w:hint="eastAsia" w:ascii="宋体" w:hAnsi="宋体" w:cs="宋体"/>
          <w:color w:val="auto"/>
          <w:szCs w:val="21"/>
          <w:highlight w:val="none"/>
        </w:rPr>
        <w:fldChar w:fldCharType="separate"/>
      </w:r>
      <w:r>
        <w:rPr>
          <w:rFonts w:hint="eastAsia" w:ascii="宋体" w:hAnsi="宋体"/>
          <w:color w:val="auto"/>
          <w:szCs w:val="24"/>
          <w:highlight w:val="none"/>
        </w:rPr>
        <w:t>附件11（适用于办法二）技术部分（施工组织方案）编号确认表</w:t>
      </w:r>
      <w:r>
        <w:rPr>
          <w:color w:val="auto"/>
          <w:highlight w:val="none"/>
        </w:rPr>
        <w:tab/>
      </w:r>
      <w:r>
        <w:rPr>
          <w:color w:val="auto"/>
          <w:highlight w:val="none"/>
        </w:rPr>
        <w:fldChar w:fldCharType="begin"/>
      </w:r>
      <w:r>
        <w:rPr>
          <w:color w:val="auto"/>
          <w:highlight w:val="none"/>
        </w:rPr>
        <w:instrText xml:space="preserve"> PAGEREF _Toc29858 \h </w:instrText>
      </w:r>
      <w:r>
        <w:rPr>
          <w:color w:val="auto"/>
          <w:highlight w:val="none"/>
        </w:rPr>
        <w:fldChar w:fldCharType="separate"/>
      </w:r>
      <w:r>
        <w:rPr>
          <w:color w:val="auto"/>
          <w:highlight w:val="none"/>
        </w:rPr>
        <w:t>58</w:t>
      </w:r>
      <w:r>
        <w:rPr>
          <w:color w:val="auto"/>
          <w:highlight w:val="none"/>
        </w:rPr>
        <w:fldChar w:fldCharType="end"/>
      </w:r>
      <w:r>
        <w:rPr>
          <w:rFonts w:hint="eastAsia" w:ascii="宋体" w:hAnsi="宋体" w:cs="宋体"/>
          <w:color w:val="auto"/>
          <w:szCs w:val="21"/>
          <w:highlight w:val="none"/>
        </w:rPr>
        <w:fldChar w:fldCharType="end"/>
      </w:r>
    </w:p>
    <w:p>
      <w:pPr>
        <w:pStyle w:val="9"/>
        <w:tabs>
          <w:tab w:val="right" w:leader="dot" w:pos="8697"/>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_Toc8471 </w:instrText>
      </w:r>
      <w:r>
        <w:rPr>
          <w:rFonts w:hint="eastAsia" w:ascii="宋体" w:hAnsi="宋体" w:cs="宋体"/>
          <w:color w:val="auto"/>
          <w:szCs w:val="21"/>
          <w:highlight w:val="none"/>
        </w:rPr>
        <w:fldChar w:fldCharType="separate"/>
      </w:r>
      <w:r>
        <w:rPr>
          <w:rFonts w:hint="eastAsia" w:ascii="宋体" w:hAnsi="宋体"/>
          <w:color w:val="auto"/>
          <w:szCs w:val="24"/>
          <w:highlight w:val="none"/>
        </w:rPr>
        <w:t>附件12（适用于办法二）技术部分（施工组织方案）审查评分表</w:t>
      </w:r>
      <w:r>
        <w:rPr>
          <w:color w:val="auto"/>
          <w:highlight w:val="none"/>
        </w:rPr>
        <w:tab/>
      </w:r>
      <w:r>
        <w:rPr>
          <w:color w:val="auto"/>
          <w:highlight w:val="none"/>
        </w:rPr>
        <w:fldChar w:fldCharType="begin"/>
      </w:r>
      <w:r>
        <w:rPr>
          <w:color w:val="auto"/>
          <w:highlight w:val="none"/>
        </w:rPr>
        <w:instrText xml:space="preserve"> PAGEREF _Toc8471 \h </w:instrText>
      </w:r>
      <w:r>
        <w:rPr>
          <w:color w:val="auto"/>
          <w:highlight w:val="none"/>
        </w:rPr>
        <w:fldChar w:fldCharType="separate"/>
      </w:r>
      <w:r>
        <w:rPr>
          <w:color w:val="auto"/>
          <w:highlight w:val="none"/>
        </w:rPr>
        <w:t>59</w:t>
      </w:r>
      <w:r>
        <w:rPr>
          <w:color w:val="auto"/>
          <w:highlight w:val="none"/>
        </w:rPr>
        <w:fldChar w:fldCharType="end"/>
      </w:r>
      <w:r>
        <w:rPr>
          <w:rFonts w:hint="eastAsia" w:ascii="宋体" w:hAnsi="宋体" w:cs="宋体"/>
          <w:color w:val="auto"/>
          <w:szCs w:val="21"/>
          <w:highlight w:val="none"/>
        </w:rPr>
        <w:fldChar w:fldCharType="end"/>
      </w:r>
    </w:p>
    <w:p>
      <w:pPr>
        <w:pStyle w:val="9"/>
        <w:tabs>
          <w:tab w:val="right" w:leader="dot" w:pos="8697"/>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_Toc25947 </w:instrText>
      </w:r>
      <w:r>
        <w:rPr>
          <w:rFonts w:hint="eastAsia" w:ascii="宋体" w:hAnsi="宋体" w:cs="宋体"/>
          <w:color w:val="auto"/>
          <w:szCs w:val="21"/>
          <w:highlight w:val="none"/>
        </w:rPr>
        <w:fldChar w:fldCharType="separate"/>
      </w:r>
      <w:r>
        <w:rPr>
          <w:rFonts w:hint="eastAsia" w:ascii="宋体" w:hAnsi="宋体"/>
          <w:color w:val="auto"/>
          <w:szCs w:val="24"/>
          <w:highlight w:val="none"/>
        </w:rPr>
        <w:t>附件13（适用于办法二）技术部分（项目实施能力）审查评分表</w:t>
      </w:r>
      <w:r>
        <w:rPr>
          <w:color w:val="auto"/>
          <w:highlight w:val="none"/>
        </w:rPr>
        <w:tab/>
      </w:r>
      <w:r>
        <w:rPr>
          <w:color w:val="auto"/>
          <w:highlight w:val="none"/>
        </w:rPr>
        <w:fldChar w:fldCharType="begin"/>
      </w:r>
      <w:r>
        <w:rPr>
          <w:color w:val="auto"/>
          <w:highlight w:val="none"/>
        </w:rPr>
        <w:instrText xml:space="preserve"> PAGEREF _Toc25947 \h </w:instrText>
      </w:r>
      <w:r>
        <w:rPr>
          <w:color w:val="auto"/>
          <w:highlight w:val="none"/>
        </w:rPr>
        <w:fldChar w:fldCharType="separate"/>
      </w:r>
      <w:r>
        <w:rPr>
          <w:color w:val="auto"/>
          <w:highlight w:val="none"/>
        </w:rPr>
        <w:t>62</w:t>
      </w:r>
      <w:r>
        <w:rPr>
          <w:color w:val="auto"/>
          <w:highlight w:val="none"/>
        </w:rPr>
        <w:fldChar w:fldCharType="end"/>
      </w:r>
      <w:r>
        <w:rPr>
          <w:rFonts w:hint="eastAsia" w:ascii="宋体" w:hAnsi="宋体" w:cs="宋体"/>
          <w:color w:val="auto"/>
          <w:szCs w:val="21"/>
          <w:highlight w:val="none"/>
        </w:rPr>
        <w:fldChar w:fldCharType="end"/>
      </w:r>
    </w:p>
    <w:p>
      <w:pPr>
        <w:pStyle w:val="9"/>
        <w:tabs>
          <w:tab w:val="right" w:leader="dot" w:pos="8697"/>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_Toc19350 </w:instrText>
      </w:r>
      <w:r>
        <w:rPr>
          <w:rFonts w:hint="eastAsia" w:ascii="宋体" w:hAnsi="宋体" w:cs="宋体"/>
          <w:color w:val="auto"/>
          <w:szCs w:val="21"/>
          <w:highlight w:val="none"/>
        </w:rPr>
        <w:fldChar w:fldCharType="separate"/>
      </w:r>
      <w:r>
        <w:rPr>
          <w:rFonts w:hint="eastAsia" w:ascii="宋体" w:hAnsi="宋体"/>
          <w:color w:val="auto"/>
          <w:szCs w:val="24"/>
          <w:highlight w:val="none"/>
        </w:rPr>
        <w:t>附件14（适用于办法二）投标报价评分表</w:t>
      </w:r>
      <w:r>
        <w:rPr>
          <w:color w:val="auto"/>
          <w:highlight w:val="none"/>
        </w:rPr>
        <w:tab/>
      </w:r>
      <w:r>
        <w:rPr>
          <w:color w:val="auto"/>
          <w:highlight w:val="none"/>
        </w:rPr>
        <w:fldChar w:fldCharType="begin"/>
      </w:r>
      <w:r>
        <w:rPr>
          <w:color w:val="auto"/>
          <w:highlight w:val="none"/>
        </w:rPr>
        <w:instrText xml:space="preserve"> PAGEREF _Toc19350 \h </w:instrText>
      </w:r>
      <w:r>
        <w:rPr>
          <w:color w:val="auto"/>
          <w:highlight w:val="none"/>
        </w:rPr>
        <w:fldChar w:fldCharType="separate"/>
      </w:r>
      <w:r>
        <w:rPr>
          <w:color w:val="auto"/>
          <w:highlight w:val="none"/>
        </w:rPr>
        <w:t>65</w:t>
      </w:r>
      <w:r>
        <w:rPr>
          <w:color w:val="auto"/>
          <w:highlight w:val="none"/>
        </w:rPr>
        <w:fldChar w:fldCharType="end"/>
      </w:r>
      <w:r>
        <w:rPr>
          <w:rFonts w:hint="eastAsia" w:ascii="宋体" w:hAnsi="宋体" w:cs="宋体"/>
          <w:color w:val="auto"/>
          <w:szCs w:val="21"/>
          <w:highlight w:val="none"/>
        </w:rPr>
        <w:fldChar w:fldCharType="end"/>
      </w:r>
    </w:p>
    <w:p>
      <w:pPr>
        <w:pStyle w:val="9"/>
        <w:tabs>
          <w:tab w:val="right" w:leader="dot" w:pos="8697"/>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_Toc4097 </w:instrText>
      </w:r>
      <w:r>
        <w:rPr>
          <w:rFonts w:hint="eastAsia" w:ascii="宋体" w:hAnsi="宋体" w:cs="宋体"/>
          <w:color w:val="auto"/>
          <w:szCs w:val="21"/>
          <w:highlight w:val="none"/>
        </w:rPr>
        <w:fldChar w:fldCharType="separate"/>
      </w:r>
      <w:r>
        <w:rPr>
          <w:rFonts w:hint="eastAsia" w:ascii="宋体" w:hAnsi="宋体"/>
          <w:strike/>
          <w:color w:val="auto"/>
          <w:szCs w:val="24"/>
          <w:highlight w:val="none"/>
        </w:rPr>
        <w:t>附件15 定标委员会组建办法及定标方法</w:t>
      </w:r>
      <w:r>
        <w:rPr>
          <w:color w:val="auto"/>
          <w:highlight w:val="none"/>
        </w:rPr>
        <w:tab/>
      </w:r>
      <w:r>
        <w:rPr>
          <w:color w:val="auto"/>
          <w:highlight w:val="none"/>
        </w:rPr>
        <w:fldChar w:fldCharType="begin"/>
      </w:r>
      <w:r>
        <w:rPr>
          <w:color w:val="auto"/>
          <w:highlight w:val="none"/>
        </w:rPr>
        <w:instrText xml:space="preserve"> PAGEREF _Toc4097 \h </w:instrText>
      </w:r>
      <w:r>
        <w:rPr>
          <w:color w:val="auto"/>
          <w:highlight w:val="none"/>
        </w:rPr>
        <w:fldChar w:fldCharType="separate"/>
      </w:r>
      <w:r>
        <w:rPr>
          <w:color w:val="auto"/>
          <w:highlight w:val="none"/>
        </w:rPr>
        <w:t>66</w:t>
      </w:r>
      <w:r>
        <w:rPr>
          <w:color w:val="auto"/>
          <w:highlight w:val="none"/>
        </w:rPr>
        <w:fldChar w:fldCharType="end"/>
      </w:r>
      <w:r>
        <w:rPr>
          <w:rFonts w:hint="eastAsia" w:ascii="宋体" w:hAnsi="宋体" w:cs="宋体"/>
          <w:color w:val="auto"/>
          <w:szCs w:val="21"/>
          <w:highlight w:val="none"/>
        </w:rPr>
        <w:fldChar w:fldCharType="end"/>
      </w:r>
    </w:p>
    <w:p>
      <w:pPr>
        <w:pStyle w:val="15"/>
        <w:tabs>
          <w:tab w:val="right" w:leader="dot" w:pos="8697"/>
          <w:tab w:val="clear" w:pos="906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_Toc27866 </w:instrText>
      </w:r>
      <w:r>
        <w:rPr>
          <w:rFonts w:hint="eastAsia" w:ascii="宋体" w:hAnsi="宋体" w:cs="宋体"/>
          <w:color w:val="auto"/>
          <w:szCs w:val="21"/>
          <w:highlight w:val="none"/>
        </w:rPr>
        <w:fldChar w:fldCharType="separate"/>
      </w:r>
      <w:r>
        <w:rPr>
          <w:rFonts w:hint="eastAsia" w:ascii="宋体"/>
          <w:color w:val="auto"/>
          <w:highlight w:val="none"/>
        </w:rPr>
        <w:t>第三章  合同条款</w:t>
      </w:r>
      <w:r>
        <w:rPr>
          <w:color w:val="auto"/>
          <w:highlight w:val="none"/>
        </w:rPr>
        <w:tab/>
      </w:r>
      <w:r>
        <w:rPr>
          <w:color w:val="auto"/>
          <w:highlight w:val="none"/>
        </w:rPr>
        <w:fldChar w:fldCharType="begin"/>
      </w:r>
      <w:r>
        <w:rPr>
          <w:color w:val="auto"/>
          <w:highlight w:val="none"/>
        </w:rPr>
        <w:instrText xml:space="preserve"> PAGEREF _Toc27866 \h </w:instrText>
      </w:r>
      <w:r>
        <w:rPr>
          <w:color w:val="auto"/>
          <w:highlight w:val="none"/>
        </w:rPr>
        <w:fldChar w:fldCharType="separate"/>
      </w:r>
      <w:r>
        <w:rPr>
          <w:color w:val="auto"/>
          <w:highlight w:val="none"/>
        </w:rPr>
        <w:t>67</w:t>
      </w:r>
      <w:r>
        <w:rPr>
          <w:color w:val="auto"/>
          <w:highlight w:val="none"/>
        </w:rPr>
        <w:fldChar w:fldCharType="end"/>
      </w:r>
      <w:r>
        <w:rPr>
          <w:rFonts w:hint="eastAsia" w:ascii="宋体" w:hAnsi="宋体" w:cs="宋体"/>
          <w:color w:val="auto"/>
          <w:szCs w:val="21"/>
          <w:highlight w:val="none"/>
        </w:rPr>
        <w:fldChar w:fldCharType="end"/>
      </w:r>
    </w:p>
    <w:p>
      <w:pPr>
        <w:pStyle w:val="15"/>
        <w:tabs>
          <w:tab w:val="right" w:leader="dot" w:pos="8697"/>
          <w:tab w:val="clear" w:pos="906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_Toc27060 </w:instrText>
      </w:r>
      <w:r>
        <w:rPr>
          <w:rFonts w:hint="eastAsia" w:ascii="宋体" w:hAnsi="宋体" w:cs="宋体"/>
          <w:color w:val="auto"/>
          <w:szCs w:val="21"/>
          <w:highlight w:val="none"/>
        </w:rPr>
        <w:fldChar w:fldCharType="separate"/>
      </w:r>
      <w:r>
        <w:rPr>
          <w:rFonts w:hint="eastAsia" w:ascii="宋体"/>
          <w:color w:val="auto"/>
          <w:highlight w:val="none"/>
        </w:rPr>
        <w:t>第四章  投标文件格式</w:t>
      </w:r>
      <w:r>
        <w:rPr>
          <w:color w:val="auto"/>
          <w:highlight w:val="none"/>
        </w:rPr>
        <w:tab/>
      </w:r>
      <w:r>
        <w:rPr>
          <w:color w:val="auto"/>
          <w:highlight w:val="none"/>
        </w:rPr>
        <w:fldChar w:fldCharType="begin"/>
      </w:r>
      <w:r>
        <w:rPr>
          <w:color w:val="auto"/>
          <w:highlight w:val="none"/>
        </w:rPr>
        <w:instrText xml:space="preserve"> PAGEREF _Toc27060 \h </w:instrText>
      </w:r>
      <w:r>
        <w:rPr>
          <w:color w:val="auto"/>
          <w:highlight w:val="none"/>
        </w:rPr>
        <w:fldChar w:fldCharType="separate"/>
      </w:r>
      <w:r>
        <w:rPr>
          <w:color w:val="auto"/>
          <w:highlight w:val="none"/>
        </w:rPr>
        <w:t>68</w:t>
      </w:r>
      <w:r>
        <w:rPr>
          <w:color w:val="auto"/>
          <w:highlight w:val="none"/>
        </w:rPr>
        <w:fldChar w:fldCharType="end"/>
      </w:r>
      <w:r>
        <w:rPr>
          <w:rFonts w:hint="eastAsia" w:ascii="宋体" w:hAnsi="宋体" w:cs="宋体"/>
          <w:color w:val="auto"/>
          <w:szCs w:val="21"/>
          <w:highlight w:val="none"/>
        </w:rPr>
        <w:fldChar w:fldCharType="end"/>
      </w:r>
    </w:p>
    <w:p>
      <w:pPr>
        <w:pStyle w:val="9"/>
        <w:tabs>
          <w:tab w:val="right" w:leader="dot" w:pos="8697"/>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_Toc17380 </w:instrText>
      </w:r>
      <w:r>
        <w:rPr>
          <w:rFonts w:hint="eastAsia" w:ascii="宋体" w:hAnsi="宋体" w:cs="宋体"/>
          <w:color w:val="auto"/>
          <w:szCs w:val="21"/>
          <w:highlight w:val="none"/>
        </w:rPr>
        <w:fldChar w:fldCharType="separate"/>
      </w:r>
      <w:r>
        <w:rPr>
          <w:rFonts w:hint="eastAsia" w:ascii="宋体" w:hAnsi="宋体"/>
          <w:color w:val="auto"/>
          <w:szCs w:val="24"/>
          <w:highlight w:val="none"/>
        </w:rPr>
        <w:t>附件16 投标函</w:t>
      </w:r>
      <w:r>
        <w:rPr>
          <w:color w:val="auto"/>
          <w:highlight w:val="none"/>
        </w:rPr>
        <w:tab/>
      </w:r>
      <w:r>
        <w:rPr>
          <w:color w:val="auto"/>
          <w:highlight w:val="none"/>
        </w:rPr>
        <w:fldChar w:fldCharType="begin"/>
      </w:r>
      <w:r>
        <w:rPr>
          <w:color w:val="auto"/>
          <w:highlight w:val="none"/>
        </w:rPr>
        <w:instrText xml:space="preserve"> PAGEREF _Toc17380 \h </w:instrText>
      </w:r>
      <w:r>
        <w:rPr>
          <w:color w:val="auto"/>
          <w:highlight w:val="none"/>
        </w:rPr>
        <w:fldChar w:fldCharType="separate"/>
      </w:r>
      <w:r>
        <w:rPr>
          <w:color w:val="auto"/>
          <w:highlight w:val="none"/>
        </w:rPr>
        <w:t>69</w:t>
      </w:r>
      <w:r>
        <w:rPr>
          <w:color w:val="auto"/>
          <w:highlight w:val="none"/>
        </w:rPr>
        <w:fldChar w:fldCharType="end"/>
      </w:r>
      <w:r>
        <w:rPr>
          <w:rFonts w:hint="eastAsia" w:ascii="宋体" w:hAnsi="宋体" w:cs="宋体"/>
          <w:color w:val="auto"/>
          <w:szCs w:val="21"/>
          <w:highlight w:val="none"/>
        </w:rPr>
        <w:fldChar w:fldCharType="end"/>
      </w:r>
    </w:p>
    <w:p>
      <w:pPr>
        <w:pStyle w:val="9"/>
        <w:tabs>
          <w:tab w:val="right" w:leader="dot" w:pos="8697"/>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_Toc25163 </w:instrText>
      </w:r>
      <w:r>
        <w:rPr>
          <w:rFonts w:hint="eastAsia" w:ascii="宋体" w:hAnsi="宋体" w:cs="宋体"/>
          <w:color w:val="auto"/>
          <w:szCs w:val="21"/>
          <w:highlight w:val="none"/>
        </w:rPr>
        <w:fldChar w:fldCharType="separate"/>
      </w:r>
      <w:r>
        <w:rPr>
          <w:rFonts w:hint="eastAsia" w:ascii="宋体" w:hAnsi="宋体"/>
          <w:color w:val="auto"/>
          <w:szCs w:val="24"/>
          <w:highlight w:val="none"/>
        </w:rPr>
        <w:t>附件17 投标人声明</w:t>
      </w:r>
      <w:r>
        <w:rPr>
          <w:color w:val="auto"/>
          <w:highlight w:val="none"/>
        </w:rPr>
        <w:tab/>
      </w:r>
      <w:r>
        <w:rPr>
          <w:color w:val="auto"/>
          <w:highlight w:val="none"/>
        </w:rPr>
        <w:fldChar w:fldCharType="begin"/>
      </w:r>
      <w:r>
        <w:rPr>
          <w:color w:val="auto"/>
          <w:highlight w:val="none"/>
        </w:rPr>
        <w:instrText xml:space="preserve"> PAGEREF _Toc25163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cs="宋体"/>
          <w:color w:val="auto"/>
          <w:szCs w:val="21"/>
          <w:highlight w:val="none"/>
        </w:rPr>
        <w:fldChar w:fldCharType="end"/>
      </w:r>
    </w:p>
    <w:p>
      <w:pPr>
        <w:pStyle w:val="9"/>
        <w:tabs>
          <w:tab w:val="right" w:leader="dot" w:pos="8697"/>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_Toc25253 </w:instrText>
      </w:r>
      <w:r>
        <w:rPr>
          <w:rFonts w:hint="eastAsia" w:ascii="宋体" w:hAnsi="宋体" w:cs="宋体"/>
          <w:color w:val="auto"/>
          <w:szCs w:val="21"/>
          <w:highlight w:val="none"/>
        </w:rPr>
        <w:fldChar w:fldCharType="separate"/>
      </w:r>
      <w:r>
        <w:rPr>
          <w:rFonts w:hint="eastAsia" w:ascii="宋体" w:hAnsi="宋体" w:cs="宋体"/>
          <w:color w:val="auto"/>
          <w:szCs w:val="24"/>
          <w:highlight w:val="none"/>
        </w:rPr>
        <w:t>附件18 法人代表证明书及法定代表人授权书</w:t>
      </w:r>
      <w:r>
        <w:rPr>
          <w:color w:val="auto"/>
          <w:highlight w:val="none"/>
        </w:rPr>
        <w:tab/>
      </w:r>
      <w:r>
        <w:rPr>
          <w:color w:val="auto"/>
          <w:highlight w:val="none"/>
        </w:rPr>
        <w:fldChar w:fldCharType="begin"/>
      </w:r>
      <w:r>
        <w:rPr>
          <w:color w:val="auto"/>
          <w:highlight w:val="none"/>
        </w:rPr>
        <w:instrText xml:space="preserve"> PAGEREF _Toc25253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cs="宋体"/>
          <w:color w:val="auto"/>
          <w:szCs w:val="21"/>
          <w:highlight w:val="none"/>
        </w:rPr>
        <w:fldChar w:fldCharType="end"/>
      </w:r>
    </w:p>
    <w:p>
      <w:pPr>
        <w:pStyle w:val="9"/>
        <w:tabs>
          <w:tab w:val="right" w:leader="dot" w:pos="8697"/>
        </w:tabs>
        <w:rPr>
          <w:color w:val="auto"/>
          <w:highlight w:val="none"/>
        </w:rPr>
      </w:pPr>
      <w:r>
        <w:rPr>
          <w:rFonts w:hint="eastAsia" w:ascii="宋体" w:hAnsi="宋体" w:cs="宋体"/>
          <w:strike/>
          <w:dstrike w:val="0"/>
          <w:color w:val="auto"/>
          <w:szCs w:val="21"/>
          <w:highlight w:val="none"/>
        </w:rPr>
        <w:fldChar w:fldCharType="begin"/>
      </w:r>
      <w:r>
        <w:rPr>
          <w:rFonts w:hint="eastAsia" w:ascii="宋体" w:hAnsi="宋体" w:cs="宋体"/>
          <w:strike/>
          <w:dstrike w:val="0"/>
          <w:color w:val="auto"/>
          <w:szCs w:val="21"/>
          <w:highlight w:val="none"/>
        </w:rPr>
        <w:instrText xml:space="preserve"> HYPERLINK \l _Toc26524 </w:instrText>
      </w:r>
      <w:r>
        <w:rPr>
          <w:rFonts w:hint="eastAsia" w:ascii="宋体" w:hAnsi="宋体" w:cs="宋体"/>
          <w:strike/>
          <w:dstrike w:val="0"/>
          <w:color w:val="auto"/>
          <w:szCs w:val="21"/>
          <w:highlight w:val="none"/>
        </w:rPr>
        <w:fldChar w:fldCharType="separate"/>
      </w:r>
      <w:r>
        <w:rPr>
          <w:rFonts w:hint="eastAsia" w:ascii="宋体" w:hAnsi="宋体" w:cs="宋体"/>
          <w:strike/>
          <w:dstrike w:val="0"/>
          <w:color w:val="auto"/>
          <w:szCs w:val="24"/>
          <w:highlight w:val="none"/>
        </w:rPr>
        <w:t>附件19 联合体投标协议</w:t>
      </w:r>
      <w:r>
        <w:rPr>
          <w:strike/>
          <w:dstrike w:val="0"/>
          <w:color w:val="auto"/>
          <w:highlight w:val="none"/>
        </w:rPr>
        <w:tab/>
      </w:r>
      <w:r>
        <w:rPr>
          <w:strike/>
          <w:dstrike w:val="0"/>
          <w:color w:val="auto"/>
          <w:highlight w:val="none"/>
        </w:rPr>
        <w:fldChar w:fldCharType="begin"/>
      </w:r>
      <w:r>
        <w:rPr>
          <w:strike/>
          <w:dstrike w:val="0"/>
          <w:color w:val="auto"/>
          <w:highlight w:val="none"/>
        </w:rPr>
        <w:instrText xml:space="preserve"> PAGEREF _Toc26524 \h </w:instrText>
      </w:r>
      <w:r>
        <w:rPr>
          <w:strike/>
          <w:dstrike w:val="0"/>
          <w:color w:val="auto"/>
          <w:highlight w:val="none"/>
        </w:rPr>
        <w:fldChar w:fldCharType="separate"/>
      </w:r>
      <w:r>
        <w:rPr>
          <w:strike/>
          <w:dstrike w:val="0"/>
          <w:color w:val="auto"/>
          <w:highlight w:val="none"/>
        </w:rPr>
        <w:t>78</w:t>
      </w:r>
      <w:r>
        <w:rPr>
          <w:strike/>
          <w:dstrike w:val="0"/>
          <w:color w:val="auto"/>
          <w:highlight w:val="none"/>
        </w:rPr>
        <w:fldChar w:fldCharType="end"/>
      </w:r>
      <w:r>
        <w:rPr>
          <w:rFonts w:hint="eastAsia" w:ascii="宋体" w:hAnsi="宋体" w:cs="宋体"/>
          <w:strike/>
          <w:dstrike w:val="0"/>
          <w:color w:val="auto"/>
          <w:szCs w:val="21"/>
          <w:highlight w:val="none"/>
        </w:rPr>
        <w:fldChar w:fldCharType="end"/>
      </w:r>
    </w:p>
    <w:p>
      <w:pPr>
        <w:pStyle w:val="9"/>
        <w:tabs>
          <w:tab w:val="right" w:leader="dot" w:pos="8697"/>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_Toc15512 </w:instrText>
      </w:r>
      <w:r>
        <w:rPr>
          <w:rFonts w:hint="eastAsia" w:ascii="宋体" w:hAnsi="宋体" w:cs="宋体"/>
          <w:color w:val="auto"/>
          <w:szCs w:val="21"/>
          <w:highlight w:val="none"/>
        </w:rPr>
        <w:fldChar w:fldCharType="separate"/>
      </w:r>
      <w:r>
        <w:rPr>
          <w:rFonts w:hint="eastAsia" w:ascii="宋体" w:hAnsi="宋体" w:cs="宋体"/>
          <w:color w:val="auto"/>
          <w:szCs w:val="24"/>
          <w:highlight w:val="none"/>
        </w:rPr>
        <w:t>附件20 项目管理架构人员配置承诺书</w:t>
      </w:r>
      <w:r>
        <w:rPr>
          <w:color w:val="auto"/>
          <w:highlight w:val="none"/>
        </w:rPr>
        <w:tab/>
      </w:r>
      <w:r>
        <w:rPr>
          <w:color w:val="auto"/>
          <w:highlight w:val="none"/>
        </w:rPr>
        <w:fldChar w:fldCharType="begin"/>
      </w:r>
      <w:r>
        <w:rPr>
          <w:color w:val="auto"/>
          <w:highlight w:val="none"/>
        </w:rPr>
        <w:instrText xml:space="preserve"> PAGEREF _Toc15512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cs="宋体"/>
          <w:color w:val="auto"/>
          <w:szCs w:val="21"/>
          <w:highlight w:val="none"/>
        </w:rPr>
        <w:fldChar w:fldCharType="end"/>
      </w:r>
    </w:p>
    <w:p>
      <w:pPr>
        <w:pStyle w:val="9"/>
        <w:tabs>
          <w:tab w:val="right" w:leader="dot" w:pos="8697"/>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_Toc28717 </w:instrText>
      </w:r>
      <w:r>
        <w:rPr>
          <w:rFonts w:hint="eastAsia" w:ascii="宋体" w:hAnsi="宋体" w:cs="宋体"/>
          <w:color w:val="auto"/>
          <w:szCs w:val="21"/>
          <w:highlight w:val="none"/>
        </w:rPr>
        <w:fldChar w:fldCharType="separate"/>
      </w:r>
      <w:r>
        <w:rPr>
          <w:rFonts w:hint="eastAsia" w:ascii="宋体" w:hAnsi="宋体" w:cs="宋体"/>
          <w:color w:val="auto"/>
          <w:szCs w:val="24"/>
          <w:highlight w:val="none"/>
        </w:rPr>
        <w:t>附件21 主要人员简历表</w:t>
      </w:r>
      <w:r>
        <w:rPr>
          <w:color w:val="auto"/>
          <w:highlight w:val="none"/>
        </w:rPr>
        <w:tab/>
      </w:r>
      <w:r>
        <w:rPr>
          <w:color w:val="auto"/>
          <w:highlight w:val="none"/>
        </w:rPr>
        <w:fldChar w:fldCharType="begin"/>
      </w:r>
      <w:r>
        <w:rPr>
          <w:color w:val="auto"/>
          <w:highlight w:val="none"/>
        </w:rPr>
        <w:instrText xml:space="preserve"> PAGEREF _Toc28717 \h </w:instrText>
      </w:r>
      <w:r>
        <w:rPr>
          <w:color w:val="auto"/>
          <w:highlight w:val="none"/>
        </w:rPr>
        <w:fldChar w:fldCharType="separate"/>
      </w:r>
      <w:r>
        <w:rPr>
          <w:color w:val="auto"/>
          <w:highlight w:val="none"/>
        </w:rPr>
        <w:t>81</w:t>
      </w:r>
      <w:r>
        <w:rPr>
          <w:color w:val="auto"/>
          <w:highlight w:val="none"/>
        </w:rPr>
        <w:fldChar w:fldCharType="end"/>
      </w:r>
      <w:r>
        <w:rPr>
          <w:rFonts w:hint="eastAsia" w:ascii="宋体" w:hAnsi="宋体" w:cs="宋体"/>
          <w:color w:val="auto"/>
          <w:szCs w:val="21"/>
          <w:highlight w:val="none"/>
        </w:rPr>
        <w:fldChar w:fldCharType="end"/>
      </w:r>
    </w:p>
    <w:p>
      <w:pPr>
        <w:pStyle w:val="15"/>
        <w:tabs>
          <w:tab w:val="right" w:leader="dot" w:pos="8697"/>
          <w:tab w:val="clear" w:pos="906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_Toc25406 </w:instrText>
      </w:r>
      <w:r>
        <w:rPr>
          <w:rFonts w:hint="eastAsia" w:ascii="宋体" w:hAnsi="宋体" w:cs="宋体"/>
          <w:color w:val="auto"/>
          <w:szCs w:val="21"/>
          <w:highlight w:val="none"/>
        </w:rPr>
        <w:fldChar w:fldCharType="separate"/>
      </w:r>
      <w:r>
        <w:rPr>
          <w:rFonts w:hint="eastAsia" w:ascii="宋体"/>
          <w:color w:val="auto"/>
          <w:highlight w:val="none"/>
        </w:rPr>
        <w:t>第五章  技术条件（工程建设标准）</w:t>
      </w:r>
      <w:r>
        <w:rPr>
          <w:color w:val="auto"/>
          <w:highlight w:val="none"/>
        </w:rPr>
        <w:tab/>
      </w:r>
      <w:r>
        <w:rPr>
          <w:color w:val="auto"/>
          <w:highlight w:val="none"/>
        </w:rPr>
        <w:fldChar w:fldCharType="begin"/>
      </w:r>
      <w:r>
        <w:rPr>
          <w:color w:val="auto"/>
          <w:highlight w:val="none"/>
        </w:rPr>
        <w:instrText xml:space="preserve"> PAGEREF _Toc25406 \h </w:instrText>
      </w:r>
      <w:r>
        <w:rPr>
          <w:color w:val="auto"/>
          <w:highlight w:val="none"/>
        </w:rPr>
        <w:fldChar w:fldCharType="separate"/>
      </w:r>
      <w:r>
        <w:rPr>
          <w:color w:val="auto"/>
          <w:highlight w:val="none"/>
        </w:rPr>
        <w:t>83</w:t>
      </w:r>
      <w:r>
        <w:rPr>
          <w:color w:val="auto"/>
          <w:highlight w:val="none"/>
        </w:rPr>
        <w:fldChar w:fldCharType="end"/>
      </w:r>
      <w:r>
        <w:rPr>
          <w:rFonts w:hint="eastAsia" w:ascii="宋体" w:hAnsi="宋体" w:cs="宋体"/>
          <w:color w:val="auto"/>
          <w:szCs w:val="21"/>
          <w:highlight w:val="none"/>
        </w:rPr>
        <w:fldChar w:fldCharType="end"/>
      </w:r>
    </w:p>
    <w:p>
      <w:pPr>
        <w:pStyle w:val="15"/>
        <w:tabs>
          <w:tab w:val="right" w:leader="dot" w:pos="8697"/>
          <w:tab w:val="clear" w:pos="906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_Toc12362 </w:instrText>
      </w:r>
      <w:r>
        <w:rPr>
          <w:rFonts w:hint="eastAsia" w:ascii="宋体" w:hAnsi="宋体" w:cs="宋体"/>
          <w:color w:val="auto"/>
          <w:szCs w:val="21"/>
          <w:highlight w:val="none"/>
        </w:rPr>
        <w:fldChar w:fldCharType="separate"/>
      </w:r>
      <w:r>
        <w:rPr>
          <w:rFonts w:hint="eastAsia" w:ascii="宋体"/>
          <w:color w:val="auto"/>
          <w:highlight w:val="none"/>
        </w:rPr>
        <w:t>第六章  图纸及勘察资料</w:t>
      </w:r>
      <w:r>
        <w:rPr>
          <w:color w:val="auto"/>
          <w:highlight w:val="none"/>
        </w:rPr>
        <w:tab/>
      </w:r>
      <w:r>
        <w:rPr>
          <w:color w:val="auto"/>
          <w:highlight w:val="none"/>
        </w:rPr>
        <w:fldChar w:fldCharType="begin"/>
      </w:r>
      <w:r>
        <w:rPr>
          <w:color w:val="auto"/>
          <w:highlight w:val="none"/>
        </w:rPr>
        <w:instrText xml:space="preserve"> PAGEREF _Toc12362 \h </w:instrText>
      </w:r>
      <w:r>
        <w:rPr>
          <w:color w:val="auto"/>
          <w:highlight w:val="none"/>
        </w:rPr>
        <w:fldChar w:fldCharType="separate"/>
      </w:r>
      <w:r>
        <w:rPr>
          <w:color w:val="auto"/>
          <w:highlight w:val="none"/>
        </w:rPr>
        <w:t>84</w:t>
      </w:r>
      <w:r>
        <w:rPr>
          <w:color w:val="auto"/>
          <w:highlight w:val="none"/>
        </w:rPr>
        <w:fldChar w:fldCharType="end"/>
      </w:r>
      <w:r>
        <w:rPr>
          <w:rFonts w:hint="eastAsia" w:ascii="宋体" w:hAnsi="宋体" w:cs="宋体"/>
          <w:color w:val="auto"/>
          <w:szCs w:val="21"/>
          <w:highlight w:val="none"/>
        </w:rPr>
        <w:fldChar w:fldCharType="end"/>
      </w:r>
    </w:p>
    <w:p>
      <w:pPr>
        <w:pStyle w:val="15"/>
        <w:tabs>
          <w:tab w:val="right" w:leader="dot" w:pos="8697"/>
          <w:tab w:val="clear" w:pos="906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_Toc10072 </w:instrText>
      </w:r>
      <w:r>
        <w:rPr>
          <w:rFonts w:hint="eastAsia" w:ascii="宋体" w:hAnsi="宋体" w:cs="宋体"/>
          <w:color w:val="auto"/>
          <w:szCs w:val="21"/>
          <w:highlight w:val="none"/>
        </w:rPr>
        <w:fldChar w:fldCharType="separate"/>
      </w:r>
      <w:r>
        <w:rPr>
          <w:rFonts w:hint="eastAsia" w:ascii="宋体"/>
          <w:color w:val="auto"/>
          <w:highlight w:val="none"/>
        </w:rPr>
        <w:t>第七章  工程量清单</w:t>
      </w:r>
      <w:r>
        <w:rPr>
          <w:color w:val="auto"/>
          <w:highlight w:val="none"/>
        </w:rPr>
        <w:tab/>
      </w:r>
      <w:r>
        <w:rPr>
          <w:color w:val="auto"/>
          <w:highlight w:val="none"/>
        </w:rPr>
        <w:fldChar w:fldCharType="begin"/>
      </w:r>
      <w:r>
        <w:rPr>
          <w:color w:val="auto"/>
          <w:highlight w:val="none"/>
        </w:rPr>
        <w:instrText xml:space="preserve"> PAGEREF _Toc10072 \h </w:instrText>
      </w:r>
      <w:r>
        <w:rPr>
          <w:color w:val="auto"/>
          <w:highlight w:val="none"/>
        </w:rPr>
        <w:fldChar w:fldCharType="separate"/>
      </w:r>
      <w:r>
        <w:rPr>
          <w:color w:val="auto"/>
          <w:highlight w:val="none"/>
        </w:rPr>
        <w:t>85</w:t>
      </w:r>
      <w:r>
        <w:rPr>
          <w:color w:val="auto"/>
          <w:highlight w:val="none"/>
        </w:rPr>
        <w:fldChar w:fldCharType="end"/>
      </w:r>
      <w:r>
        <w:rPr>
          <w:rFonts w:hint="eastAsia" w:ascii="宋体" w:hAnsi="宋体" w:cs="宋体"/>
          <w:color w:val="auto"/>
          <w:szCs w:val="21"/>
          <w:highlight w:val="none"/>
        </w:rPr>
        <w:fldChar w:fldCharType="end"/>
      </w:r>
    </w:p>
    <w:p>
      <w:pPr>
        <w:pStyle w:val="15"/>
        <w:tabs>
          <w:tab w:val="right" w:leader="dot" w:pos="8697"/>
          <w:tab w:val="clear" w:pos="9060"/>
        </w:tabs>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_Toc29898 </w:instrText>
      </w:r>
      <w:r>
        <w:rPr>
          <w:rFonts w:hint="eastAsia" w:ascii="宋体" w:hAnsi="宋体" w:cs="宋体"/>
          <w:color w:val="auto"/>
          <w:szCs w:val="21"/>
          <w:highlight w:val="none"/>
        </w:rPr>
        <w:fldChar w:fldCharType="separate"/>
      </w:r>
      <w:r>
        <w:rPr>
          <w:rFonts w:hint="eastAsia" w:ascii="宋体" w:hAnsi="宋体" w:cs="宋体"/>
          <w:bCs/>
          <w:color w:val="auto"/>
          <w:szCs w:val="30"/>
          <w:highlight w:val="none"/>
        </w:rPr>
        <w:t>第八章</w:t>
      </w:r>
      <w:r>
        <w:rPr>
          <w:rFonts w:hint="eastAsia" w:ascii="宋体" w:hAnsi="宋体" w:cs="宋体"/>
          <w:color w:val="auto"/>
          <w:szCs w:val="30"/>
          <w:highlight w:val="none"/>
        </w:rPr>
        <w:t xml:space="preserve">  最高投标限价</w:t>
      </w:r>
      <w:r>
        <w:rPr>
          <w:color w:val="auto"/>
          <w:highlight w:val="none"/>
        </w:rPr>
        <w:tab/>
      </w:r>
      <w:r>
        <w:rPr>
          <w:color w:val="auto"/>
          <w:highlight w:val="none"/>
        </w:rPr>
        <w:fldChar w:fldCharType="begin"/>
      </w:r>
      <w:r>
        <w:rPr>
          <w:color w:val="auto"/>
          <w:highlight w:val="none"/>
        </w:rPr>
        <w:instrText xml:space="preserve"> PAGEREF _Toc29898 \h </w:instrText>
      </w:r>
      <w:r>
        <w:rPr>
          <w:color w:val="auto"/>
          <w:highlight w:val="none"/>
        </w:rPr>
        <w:fldChar w:fldCharType="separate"/>
      </w:r>
      <w:r>
        <w:rPr>
          <w:color w:val="auto"/>
          <w:highlight w:val="none"/>
        </w:rPr>
        <w:t>86</w:t>
      </w:r>
      <w:r>
        <w:rPr>
          <w:color w:val="auto"/>
          <w:highlight w:val="none"/>
        </w:rPr>
        <w:fldChar w:fldCharType="end"/>
      </w:r>
      <w:r>
        <w:rPr>
          <w:rFonts w:hint="eastAsia" w:ascii="宋体" w:hAnsi="宋体" w:cs="宋体"/>
          <w:color w:val="auto"/>
          <w:szCs w:val="21"/>
          <w:highlight w:val="none"/>
        </w:rPr>
        <w:fldChar w:fldCharType="end"/>
      </w:r>
    </w:p>
    <w:p>
      <w:pPr>
        <w:spacing w:line="336" w:lineRule="auto"/>
        <w:jc w:val="center"/>
        <w:rPr>
          <w:rFonts w:ascii="宋体" w:hAnsi="宋体" w:eastAsia="宋体"/>
          <w:b/>
          <w:color w:val="auto"/>
          <w:sz w:val="44"/>
          <w:szCs w:val="44"/>
          <w:highlight w:val="none"/>
        </w:rPr>
        <w:sectPr>
          <w:headerReference r:id="rId3" w:type="default"/>
          <w:footerReference r:id="rId4" w:type="default"/>
          <w:endnotePr>
            <w:numFmt w:val="decimal"/>
          </w:endnotePr>
          <w:pgSz w:w="11850" w:h="16783"/>
          <w:pgMar w:top="1418" w:right="1293" w:bottom="1418" w:left="1293" w:header="851" w:footer="992" w:gutter="567"/>
          <w:pgNumType w:fmt="decimal" w:start="1"/>
          <w:cols w:space="720" w:num="1"/>
        </w:sectPr>
      </w:pPr>
      <w:r>
        <w:rPr>
          <w:rFonts w:hint="eastAsia" w:ascii="宋体" w:hAnsi="宋体" w:eastAsia="宋体" w:cs="宋体"/>
          <w:color w:val="auto"/>
          <w:szCs w:val="21"/>
          <w:highlight w:val="none"/>
        </w:rPr>
        <w:fldChar w:fldCharType="end"/>
      </w:r>
    </w:p>
    <w:p>
      <w:pPr>
        <w:pStyle w:val="2"/>
        <w:rPr>
          <w:rFonts w:ascii="宋体" w:eastAsia="宋体"/>
          <w:color w:val="auto"/>
          <w:highlight w:val="none"/>
        </w:rPr>
      </w:pPr>
      <w:bookmarkStart w:id="1" w:name="_第一章__投标须知"/>
      <w:bookmarkEnd w:id="1"/>
      <w:bookmarkStart w:id="2" w:name="_Toc1626"/>
      <w:bookmarkStart w:id="3" w:name="_Toc27070"/>
      <w:bookmarkStart w:id="4" w:name="_Toc262229159"/>
      <w:bookmarkStart w:id="5" w:name="_Toc8930"/>
      <w:bookmarkStart w:id="6" w:name="_Toc9944"/>
      <w:bookmarkStart w:id="7" w:name="_Toc22933"/>
      <w:bookmarkStart w:id="8" w:name="_Toc10653"/>
      <w:bookmarkStart w:id="9" w:name="_Toc2209"/>
      <w:bookmarkStart w:id="10" w:name="_Toc29083"/>
      <w:bookmarkStart w:id="11" w:name="_Toc101777609"/>
      <w:bookmarkStart w:id="12" w:name="_Toc18352"/>
      <w:r>
        <w:rPr>
          <w:rFonts w:hint="eastAsia" w:ascii="宋体" w:eastAsia="宋体"/>
          <w:color w:val="auto"/>
          <w:highlight w:val="none"/>
        </w:rPr>
        <w:t>第一章  投标须知</w:t>
      </w:r>
      <w:bookmarkEnd w:id="2"/>
      <w:bookmarkEnd w:id="3"/>
      <w:bookmarkEnd w:id="4"/>
      <w:bookmarkEnd w:id="5"/>
      <w:bookmarkEnd w:id="6"/>
      <w:bookmarkEnd w:id="7"/>
      <w:bookmarkEnd w:id="8"/>
      <w:bookmarkEnd w:id="9"/>
      <w:bookmarkEnd w:id="10"/>
      <w:bookmarkEnd w:id="11"/>
      <w:bookmarkEnd w:id="12"/>
    </w:p>
    <w:p>
      <w:pPr>
        <w:pStyle w:val="6"/>
        <w:spacing w:before="120"/>
        <w:rPr>
          <w:rFonts w:ascii="宋体" w:eastAsia="宋体"/>
          <w:color w:val="auto"/>
          <w:highlight w:val="none"/>
        </w:rPr>
      </w:pPr>
      <w:bookmarkStart w:id="13" w:name="_一、投标须知前附表"/>
      <w:bookmarkEnd w:id="13"/>
      <w:bookmarkStart w:id="14" w:name="_Toc262229160"/>
      <w:bookmarkStart w:id="15" w:name="_Toc24826"/>
      <w:bookmarkStart w:id="16" w:name="_Toc22312"/>
      <w:bookmarkStart w:id="17" w:name="_Toc4718"/>
      <w:bookmarkStart w:id="18" w:name="_Toc28255"/>
      <w:bookmarkStart w:id="19" w:name="_Toc13828"/>
      <w:bookmarkStart w:id="20" w:name="_Toc20881"/>
      <w:bookmarkStart w:id="21" w:name="_Toc11756"/>
      <w:bookmarkStart w:id="22" w:name="_Toc8328"/>
      <w:bookmarkStart w:id="23" w:name="_Toc101777610"/>
      <w:bookmarkStart w:id="24" w:name="_Toc20346"/>
      <w:r>
        <w:rPr>
          <w:rFonts w:hint="eastAsia" w:ascii="宋体" w:eastAsia="宋体"/>
          <w:color w:val="auto"/>
          <w:highlight w:val="none"/>
        </w:rPr>
        <w:t>一、投标须知前附表</w:t>
      </w:r>
      <w:bookmarkEnd w:id="14"/>
      <w:bookmarkEnd w:id="15"/>
      <w:bookmarkEnd w:id="16"/>
      <w:bookmarkEnd w:id="17"/>
      <w:bookmarkEnd w:id="18"/>
      <w:bookmarkEnd w:id="19"/>
      <w:bookmarkEnd w:id="20"/>
      <w:bookmarkEnd w:id="21"/>
      <w:bookmarkEnd w:id="22"/>
      <w:bookmarkEnd w:id="23"/>
      <w:bookmarkEnd w:id="24"/>
    </w:p>
    <w:p>
      <w:pPr>
        <w:pStyle w:val="3"/>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声明：本投标须知前附表使用GZYLZB202</w:t>
      </w:r>
      <w:r>
        <w:rPr>
          <w:rFonts w:hint="eastAsia" w:ascii="宋体" w:hAnsi="宋体"/>
          <w:b/>
          <w:color w:val="auto"/>
          <w:szCs w:val="21"/>
          <w:highlight w:val="none"/>
          <w:lang w:val="en-US" w:eastAsia="zh-CN"/>
        </w:rPr>
        <w:t>2</w:t>
      </w:r>
      <w:r>
        <w:rPr>
          <w:rFonts w:hint="eastAsia" w:ascii="宋体" w:hAnsi="宋体"/>
          <w:b/>
          <w:color w:val="auto"/>
          <w:szCs w:val="21"/>
          <w:highlight w:val="none"/>
        </w:rPr>
        <w:t>-1招标文件范本，与范本不同之处均以下划线标明，所有标明下划线部分属于本表的组成部分，同其他部分具有同等效力。对范本《投标须知通用条款》和《开标、评标和定标办法通用条款》可选择部分的选择使用，均已在本表中注明，通用条款可选择部分中未被本投标须知前附表选择的部分无效。</w:t>
      </w:r>
    </w:p>
    <w:tbl>
      <w:tblPr>
        <w:tblStyle w:val="18"/>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941"/>
        <w:gridCol w:w="1341"/>
        <w:gridCol w:w="702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blHeader/>
          <w:jc w:val="center"/>
        </w:trPr>
        <w:tc>
          <w:tcPr>
            <w:tcW w:w="457" w:type="dxa"/>
            <w:tcBorders>
              <w:top w:val="doub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olor w:val="auto"/>
                <w:szCs w:val="22"/>
                <w:highlight w:val="none"/>
              </w:rPr>
            </w:pPr>
            <w:r>
              <w:rPr>
                <w:rFonts w:hint="eastAsia" w:ascii="宋体" w:hAnsi="宋体" w:eastAsia="宋体"/>
                <w:color w:val="auto"/>
                <w:szCs w:val="22"/>
                <w:highlight w:val="none"/>
              </w:rPr>
              <w:t>项目</w:t>
            </w:r>
          </w:p>
        </w:tc>
        <w:tc>
          <w:tcPr>
            <w:tcW w:w="941" w:type="dxa"/>
            <w:tcBorders>
              <w:top w:val="doub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olor w:val="auto"/>
                <w:szCs w:val="22"/>
                <w:highlight w:val="none"/>
              </w:rPr>
            </w:pPr>
            <w:r>
              <w:rPr>
                <w:rFonts w:hint="eastAsia" w:ascii="宋体" w:hAnsi="宋体" w:eastAsia="宋体"/>
                <w:color w:val="auto"/>
                <w:szCs w:val="22"/>
                <w:highlight w:val="none"/>
              </w:rPr>
              <w:t>条款号</w:t>
            </w:r>
          </w:p>
        </w:tc>
        <w:tc>
          <w:tcPr>
            <w:tcW w:w="1341" w:type="dxa"/>
            <w:tcBorders>
              <w:top w:val="doub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olor w:val="auto"/>
                <w:szCs w:val="22"/>
                <w:highlight w:val="none"/>
              </w:rPr>
            </w:pPr>
            <w:r>
              <w:rPr>
                <w:rFonts w:hint="eastAsia" w:ascii="宋体" w:hAnsi="宋体" w:eastAsia="宋体"/>
                <w:color w:val="auto"/>
                <w:szCs w:val="22"/>
                <w:highlight w:val="none"/>
              </w:rPr>
              <w:t>内容</w:t>
            </w:r>
          </w:p>
        </w:tc>
        <w:tc>
          <w:tcPr>
            <w:tcW w:w="7029" w:type="dxa"/>
            <w:tcBorders>
              <w:top w:val="double" w:color="auto" w:sz="4" w:space="0"/>
              <w:left w:val="single" w:color="auto" w:sz="4" w:space="0"/>
              <w:bottom w:val="single" w:color="auto" w:sz="4" w:space="0"/>
              <w:right w:val="double" w:color="auto" w:sz="4" w:space="0"/>
            </w:tcBorders>
            <w:noWrap w:val="0"/>
            <w:vAlign w:val="center"/>
          </w:tcPr>
          <w:p>
            <w:pPr>
              <w:pStyle w:val="11"/>
              <w:keepNext w:val="0"/>
              <w:keepLines w:val="0"/>
              <w:suppressLineNumbers w:val="0"/>
              <w:spacing w:before="0" w:beforeAutospacing="0" w:after="0" w:afterAutospacing="0"/>
              <w:ind w:left="0" w:right="0"/>
              <w:jc w:val="center"/>
              <w:rPr>
                <w:rFonts w:hint="default" w:ascii="宋体" w:hAnsi="宋体" w:eastAsia="宋体"/>
                <w:color w:val="auto"/>
                <w:kern w:val="2"/>
                <w:sz w:val="21"/>
                <w:szCs w:val="22"/>
                <w:highlight w:val="none"/>
                <w:lang w:val="en-US" w:eastAsia="zh-CN"/>
              </w:rPr>
            </w:pPr>
            <w:r>
              <w:rPr>
                <w:rFonts w:hint="eastAsia" w:ascii="宋体" w:hAnsi="宋体" w:eastAsia="宋体"/>
                <w:color w:val="auto"/>
                <w:kern w:val="2"/>
                <w:sz w:val="21"/>
                <w:szCs w:val="22"/>
                <w:highlight w:val="none"/>
                <w:lang w:val="en-US" w:eastAsia="zh-CN"/>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1</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1</w:t>
            </w:r>
          </w:p>
        </w:tc>
        <w:tc>
          <w:tcPr>
            <w:tcW w:w="1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定义</w:t>
            </w:r>
          </w:p>
        </w:tc>
        <w:tc>
          <w:tcPr>
            <w:tcW w:w="7029"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olor w:val="auto"/>
                <w:szCs w:val="22"/>
                <w:highlight w:val="none"/>
                <w:lang w:eastAsia="zh-CN"/>
              </w:rPr>
            </w:pPr>
            <w:r>
              <w:rPr>
                <w:rFonts w:hint="eastAsia" w:ascii="宋体" w:hAnsi="宋体" w:eastAsia="宋体"/>
                <w:color w:val="auto"/>
                <w:szCs w:val="22"/>
                <w:highlight w:val="none"/>
              </w:rPr>
              <w:t>招标人（即发包人）：</w:t>
            </w:r>
            <w:r>
              <w:rPr>
                <w:rFonts w:hint="eastAsia" w:ascii="宋体" w:hAnsi="宋体" w:eastAsia="宋体"/>
                <w:color w:val="auto"/>
                <w:szCs w:val="22"/>
                <w:highlight w:val="none"/>
                <w:u w:val="single"/>
                <w:lang w:eastAsia="zh-CN"/>
              </w:rPr>
              <w:t>广州市流溪河国家森林公园管理中心(广州市流溪河林场）</w:t>
            </w:r>
          </w:p>
          <w:p>
            <w:pPr>
              <w:keepNext w:val="0"/>
              <w:keepLines w:val="0"/>
              <w:suppressLineNumbers w:val="0"/>
              <w:spacing w:before="0" w:beforeAutospacing="0" w:after="0" w:afterAutospacing="0"/>
              <w:ind w:left="0" w:right="0"/>
              <w:rPr>
                <w:rFonts w:hint="eastAsia" w:ascii="宋体" w:hAnsi="宋体" w:eastAsia="宋体"/>
                <w:color w:val="auto"/>
                <w:szCs w:val="22"/>
                <w:highlight w:val="none"/>
              </w:rPr>
            </w:pPr>
            <w:r>
              <w:rPr>
                <w:rFonts w:hint="eastAsia" w:ascii="宋体" w:hAnsi="宋体" w:eastAsia="宋体"/>
                <w:color w:val="auto"/>
                <w:szCs w:val="22"/>
                <w:highlight w:val="none"/>
              </w:rPr>
              <w:t>招标代理机构：</w:t>
            </w:r>
            <w:r>
              <w:rPr>
                <w:rFonts w:hint="eastAsia" w:ascii="宋体" w:hAnsi="宋体" w:eastAsia="宋体"/>
                <w:color w:val="auto"/>
                <w:szCs w:val="22"/>
                <w:highlight w:val="none"/>
                <w:u w:val="single"/>
              </w:rPr>
              <w:t>广州盛园咨询服务有限公司</w:t>
            </w:r>
          </w:p>
          <w:p>
            <w:pPr>
              <w:keepNext w:val="0"/>
              <w:keepLines w:val="0"/>
              <w:suppressLineNumbers w:val="0"/>
              <w:spacing w:before="0" w:beforeAutospacing="0" w:after="0" w:afterAutospacing="0"/>
              <w:ind w:left="0" w:right="0"/>
              <w:rPr>
                <w:rFonts w:hint="default" w:ascii="宋体" w:hAnsi="宋体" w:eastAsia="宋体"/>
                <w:color w:val="auto"/>
                <w:szCs w:val="22"/>
                <w:highlight w:val="none"/>
                <w:lang w:val="en-US" w:eastAsia="zh-CN"/>
              </w:rPr>
            </w:pPr>
            <w:r>
              <w:rPr>
                <w:rFonts w:hint="eastAsia" w:ascii="宋体" w:hAnsi="宋体" w:eastAsia="宋体"/>
                <w:color w:val="auto"/>
                <w:szCs w:val="22"/>
                <w:highlight w:val="none"/>
              </w:rPr>
              <w:t>设计单位：</w:t>
            </w:r>
            <w:r>
              <w:rPr>
                <w:rFonts w:hint="eastAsia" w:ascii="宋体" w:hAnsi="宋体" w:eastAsia="宋体"/>
                <w:color w:val="auto"/>
                <w:szCs w:val="22"/>
                <w:highlight w:val="none"/>
                <w:u w:val="single"/>
                <w:lang w:val="en-US" w:eastAsia="zh-CN"/>
              </w:rPr>
              <w:t xml:space="preserve"> 广州颐景园林生态建设有限公司                            </w:t>
            </w:r>
          </w:p>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监理单位：</w:t>
            </w:r>
            <w:r>
              <w:rPr>
                <w:rFonts w:hint="eastAsia" w:ascii="宋体" w:hAnsi="宋体" w:eastAsia="宋体"/>
                <w:color w:val="auto"/>
                <w:szCs w:val="22"/>
                <w:highlight w:val="none"/>
                <w:u w:val="single"/>
              </w:rPr>
              <w:t xml:space="preserve">      </w:t>
            </w:r>
            <w:r>
              <w:rPr>
                <w:rFonts w:hint="eastAsia" w:ascii="宋体" w:hAnsi="宋体" w:eastAsia="宋体"/>
                <w:color w:val="auto"/>
                <w:szCs w:val="22"/>
                <w:highlight w:val="none"/>
                <w:u w:val="single"/>
                <w:lang w:val="en-US" w:eastAsia="zh-CN"/>
              </w:rPr>
              <w:t xml:space="preserve"> </w:t>
            </w:r>
            <w:r>
              <w:rPr>
                <w:rFonts w:hint="eastAsia" w:ascii="宋体" w:hAnsi="宋体" w:eastAsia="宋体"/>
                <w:color w:val="auto"/>
                <w:szCs w:val="22"/>
                <w:highlight w:val="none"/>
                <w:u w:val="single"/>
              </w:rPr>
              <w:t xml:space="preserve">       /    </w:t>
            </w:r>
            <w:r>
              <w:rPr>
                <w:rFonts w:hint="eastAsia" w:ascii="宋体" w:hAnsi="宋体" w:eastAsia="宋体"/>
                <w:color w:val="auto"/>
                <w:szCs w:val="22"/>
                <w:highlight w:val="none"/>
                <w:u w:val="single"/>
                <w:lang w:val="en-US" w:eastAsia="zh-CN"/>
              </w:rPr>
              <w:t xml:space="preserve"> </w:t>
            </w:r>
            <w:r>
              <w:rPr>
                <w:rFonts w:hint="eastAsia" w:ascii="宋体" w:hAnsi="宋体" w:eastAsia="宋体"/>
                <w:color w:val="auto"/>
                <w:szCs w:val="22"/>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2</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2.2</w:t>
            </w:r>
          </w:p>
        </w:tc>
        <w:tc>
          <w:tcPr>
            <w:tcW w:w="1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工程名称</w:t>
            </w:r>
          </w:p>
        </w:tc>
        <w:tc>
          <w:tcPr>
            <w:tcW w:w="7029"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olor w:val="auto"/>
                <w:szCs w:val="22"/>
                <w:highlight w:val="none"/>
                <w:u w:val="single"/>
                <w:lang w:eastAsia="zh-CN"/>
              </w:rPr>
            </w:pPr>
            <w:r>
              <w:rPr>
                <w:rFonts w:hint="eastAsia" w:ascii="宋体" w:hAnsi="宋体" w:eastAsia="宋体"/>
                <w:color w:val="auto"/>
                <w:szCs w:val="22"/>
                <w:highlight w:val="none"/>
                <w:u w:val="single"/>
                <w:lang w:eastAsia="zh-CN"/>
              </w:rPr>
              <w:t>保护地服务设施完善提升流溪湖景区森林步道提升改造工程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3</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2.2</w:t>
            </w:r>
          </w:p>
        </w:tc>
        <w:tc>
          <w:tcPr>
            <w:tcW w:w="1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建设地点</w:t>
            </w:r>
          </w:p>
        </w:tc>
        <w:tc>
          <w:tcPr>
            <w:tcW w:w="7029"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4</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2.2</w:t>
            </w:r>
          </w:p>
        </w:tc>
        <w:tc>
          <w:tcPr>
            <w:tcW w:w="1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建设规模</w:t>
            </w:r>
          </w:p>
        </w:tc>
        <w:tc>
          <w:tcPr>
            <w:tcW w:w="7029"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napToGrid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5</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2.2</w:t>
            </w:r>
          </w:p>
        </w:tc>
        <w:tc>
          <w:tcPr>
            <w:tcW w:w="1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承包方式</w:t>
            </w:r>
          </w:p>
        </w:tc>
        <w:tc>
          <w:tcPr>
            <w:tcW w:w="7029"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包工、包料、包工期、包质量、包安全、包文明施工。综合单价包干、项目措施费包干。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6</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2.2</w:t>
            </w:r>
          </w:p>
        </w:tc>
        <w:tc>
          <w:tcPr>
            <w:tcW w:w="1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质量标准</w:t>
            </w:r>
          </w:p>
        </w:tc>
        <w:tc>
          <w:tcPr>
            <w:tcW w:w="7029"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u w:val="single"/>
              </w:rPr>
              <w:t>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7</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2.2</w:t>
            </w:r>
          </w:p>
        </w:tc>
        <w:tc>
          <w:tcPr>
            <w:tcW w:w="1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招标范围</w:t>
            </w:r>
          </w:p>
        </w:tc>
        <w:tc>
          <w:tcPr>
            <w:tcW w:w="7029"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8</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2.2</w:t>
            </w:r>
          </w:p>
        </w:tc>
        <w:tc>
          <w:tcPr>
            <w:tcW w:w="1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工期要求</w:t>
            </w:r>
          </w:p>
        </w:tc>
        <w:tc>
          <w:tcPr>
            <w:tcW w:w="7029"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施工总工</w:t>
            </w:r>
            <w:r>
              <w:rPr>
                <w:rFonts w:hint="eastAsia" w:ascii="宋体" w:hAnsi="宋体" w:eastAsia="宋体" w:cs="Times New Roman"/>
                <w:color w:val="auto"/>
                <w:szCs w:val="22"/>
                <w:highlight w:val="none"/>
              </w:rPr>
              <w:t>期：</w:t>
            </w:r>
            <w:r>
              <w:rPr>
                <w:rFonts w:hint="eastAsia" w:ascii="宋体" w:hAnsi="宋体" w:eastAsia="宋体" w:cs="Times New Roman"/>
                <w:color w:val="auto"/>
                <w:szCs w:val="22"/>
                <w:highlight w:val="none"/>
                <w:u w:val="single"/>
                <w:lang w:val="en-US" w:eastAsia="zh-CN"/>
              </w:rPr>
              <w:t>暂定90日历天</w:t>
            </w:r>
            <w:r>
              <w:rPr>
                <w:rFonts w:hint="eastAsia" w:ascii="宋体" w:hAnsi="宋体" w:eastAsia="宋体" w:cs="Times New Roman"/>
                <w:color w:val="auto"/>
                <w:szCs w:val="22"/>
                <w:highlight w:val="none"/>
                <w:u w:val="single"/>
              </w:rPr>
              <w:t xml:space="preserve">，自   年  月  日起至  年  月 日止。项目具体起止时间以开工报告时间为计算依据。 </w:t>
            </w:r>
            <w:r>
              <w:rPr>
                <w:rFonts w:hint="eastAsia" w:ascii="宋体" w:hAnsi="宋体" w:eastAsia="宋体"/>
                <w:color w:val="auto"/>
                <w:szCs w:val="22"/>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9</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3</w:t>
            </w:r>
          </w:p>
        </w:tc>
        <w:tc>
          <w:tcPr>
            <w:tcW w:w="1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资金来源</w:t>
            </w:r>
          </w:p>
        </w:tc>
        <w:tc>
          <w:tcPr>
            <w:tcW w:w="7029"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u w:val="single"/>
              </w:rPr>
              <w:t>市财政资金。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10</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p>
        </w:tc>
        <w:tc>
          <w:tcPr>
            <w:tcW w:w="1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投标人资格条件</w:t>
            </w:r>
          </w:p>
        </w:tc>
        <w:tc>
          <w:tcPr>
            <w:tcW w:w="7029"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11</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p>
        </w:tc>
        <w:tc>
          <w:tcPr>
            <w:tcW w:w="1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资格审查方式</w:t>
            </w:r>
          </w:p>
        </w:tc>
        <w:tc>
          <w:tcPr>
            <w:tcW w:w="7029"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电子化资格后审。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12</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13.1</w:t>
            </w:r>
          </w:p>
        </w:tc>
        <w:tc>
          <w:tcPr>
            <w:tcW w:w="1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报价以及单价和总价计算方式</w:t>
            </w:r>
          </w:p>
        </w:tc>
        <w:tc>
          <w:tcPr>
            <w:tcW w:w="7029"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工程量清单计价，按国家、省有关计价规范执行。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13</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15.1</w:t>
            </w:r>
          </w:p>
        </w:tc>
        <w:tc>
          <w:tcPr>
            <w:tcW w:w="1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投标有效期</w:t>
            </w:r>
          </w:p>
        </w:tc>
        <w:tc>
          <w:tcPr>
            <w:tcW w:w="7029"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u w:val="single"/>
              </w:rPr>
            </w:pPr>
            <w:r>
              <w:rPr>
                <w:rFonts w:hint="eastAsia" w:ascii="宋体" w:hAnsi="宋体" w:eastAsia="宋体"/>
                <w:color w:val="auto"/>
                <w:szCs w:val="22"/>
                <w:highlight w:val="none"/>
                <w:u w:val="single"/>
              </w:rPr>
              <w:t xml:space="preserve">90 </w:t>
            </w:r>
            <w:r>
              <w:rPr>
                <w:rFonts w:hint="eastAsia" w:ascii="宋体" w:hAnsi="宋体" w:eastAsia="宋体"/>
                <w:color w:val="auto"/>
                <w:szCs w:val="22"/>
                <w:highlight w:val="none"/>
              </w:rPr>
              <w:t>日历天（从递交投标文件截止之日计起）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14</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16.1</w:t>
            </w:r>
          </w:p>
        </w:tc>
        <w:tc>
          <w:tcPr>
            <w:tcW w:w="1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投标保证金</w:t>
            </w:r>
          </w:p>
        </w:tc>
        <w:tc>
          <w:tcPr>
            <w:tcW w:w="7029"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■方式一：不要求投标人递交投标保证金。</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□方式二：要求投标人递交投标保证金，具体要求如下：</w:t>
            </w:r>
          </w:p>
          <w:p>
            <w:pPr>
              <w:keepNext w:val="0"/>
              <w:keepLines w:val="0"/>
              <w:suppressLineNumbers w:val="0"/>
              <w:spacing w:before="0" w:beforeAutospacing="0" w:after="0" w:afterAutospacing="0"/>
              <w:ind w:left="0" w:right="0"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1.投标保证金数额：投标保证金数额</w:t>
            </w:r>
            <w:r>
              <w:rPr>
                <w:rFonts w:hint="eastAsia" w:ascii="宋体" w:hAnsi="宋体" w:eastAsia="宋体" w:cs="宋体"/>
                <w:color w:val="auto"/>
                <w:szCs w:val="21"/>
                <w:highlight w:val="none"/>
                <w:u w:val="single"/>
                <w:lang w:val="en-US" w:eastAsia="zh-CN"/>
              </w:rPr>
              <w:t xml:space="preserve">  / </w:t>
            </w:r>
            <w:r>
              <w:rPr>
                <w:rFonts w:hint="eastAsia" w:ascii="宋体" w:hAnsi="宋体" w:eastAsia="宋体" w:cs="宋体"/>
                <w:color w:val="auto"/>
                <w:szCs w:val="21"/>
                <w:highlight w:val="none"/>
              </w:rPr>
              <w:t>万元。</w:t>
            </w:r>
          </w:p>
          <w:p>
            <w:pPr>
              <w:keepNext w:val="0"/>
              <w:keepLines w:val="0"/>
              <w:suppressLineNumbers w:val="0"/>
              <w:spacing w:before="0" w:beforeAutospacing="0" w:after="0" w:afterAutospacing="0"/>
              <w:ind w:left="1050" w:leftChars="400" w:right="0" w:hanging="210" w:hanging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2.投标保证金的形式：投标保证金可采用</w:t>
            </w:r>
            <w:r>
              <w:rPr>
                <w:rFonts w:hint="eastAsia" w:ascii="宋体" w:hAnsi="宋体" w:eastAsia="宋体" w:cs="宋体"/>
                <w:color w:val="auto"/>
                <w:szCs w:val="21"/>
                <w:highlight w:val="none"/>
                <w:u w:val="single"/>
              </w:rPr>
              <w:t>投标保函、转账、现金、支票、汇票、投标保证保险</w:t>
            </w:r>
            <w:r>
              <w:rPr>
                <w:rFonts w:hint="eastAsia" w:ascii="宋体" w:hAnsi="宋体" w:eastAsia="宋体" w:cs="宋体"/>
                <w:color w:val="auto"/>
                <w:szCs w:val="21"/>
                <w:highlight w:val="none"/>
              </w:rPr>
              <w:t>形式，须在递交投标文件截止时间前完成缴纳。</w:t>
            </w:r>
          </w:p>
          <w:p>
            <w:pPr>
              <w:keepNext w:val="0"/>
              <w:keepLines w:val="0"/>
              <w:suppressLineNumbers w:val="0"/>
              <w:spacing w:before="0" w:beforeAutospacing="0" w:after="0" w:afterAutospacing="0"/>
              <w:ind w:left="1050" w:leftChars="400" w:right="0" w:hanging="210" w:hangingChars="1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①</w:t>
            </w:r>
            <w:r>
              <w:rPr>
                <w:rFonts w:hint="eastAsia" w:ascii="宋体" w:hAnsi="宋体" w:eastAsia="宋体" w:cs="宋体"/>
                <w:color w:val="auto"/>
                <w:szCs w:val="21"/>
                <w:highlight w:val="none"/>
                <w:u w:val="single"/>
              </w:rPr>
              <w:t>如采用转账、现金、支票、汇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pStyle w:val="17"/>
              <w:keepNext w:val="0"/>
              <w:keepLines w:val="0"/>
              <w:suppressLineNumbers w:val="0"/>
              <w:spacing w:before="0" w:beforeAutospacing="0" w:afterAutospacing="0"/>
              <w:ind w:left="1050" w:leftChars="400" w:right="0" w:hanging="210" w:hangingChars="100"/>
              <w:rPr>
                <w:rFonts w:hint="eastAsia" w:ascii="宋体" w:hAnsi="宋体" w:cs="宋体"/>
                <w:color w:val="auto"/>
                <w:kern w:val="2"/>
                <w:sz w:val="21"/>
                <w:szCs w:val="21"/>
                <w:highlight w:val="none"/>
                <w:u w:val="single"/>
                <w:lang w:val="en-US" w:eastAsia="zh-CN"/>
              </w:rPr>
            </w:pPr>
            <w:r>
              <w:rPr>
                <w:rFonts w:hint="eastAsia" w:ascii="宋体" w:hAnsi="宋体" w:cs="宋体"/>
                <w:color w:val="auto"/>
                <w:kern w:val="2"/>
                <w:sz w:val="21"/>
                <w:szCs w:val="21"/>
                <w:highlight w:val="none"/>
                <w:lang w:val="en-US" w:eastAsia="zh-CN"/>
              </w:rPr>
              <w:t>②</w:t>
            </w:r>
            <w:r>
              <w:rPr>
                <w:rFonts w:hint="eastAsia" w:ascii="宋体" w:hAnsi="宋体" w:cs="宋体"/>
                <w:color w:val="auto"/>
                <w:kern w:val="2"/>
                <w:sz w:val="21"/>
                <w:szCs w:val="21"/>
                <w:highlight w:val="none"/>
                <w:u w:val="single"/>
                <w:lang w:val="en-US" w:eastAsia="zh-CN"/>
              </w:rPr>
              <w:t>如采用投标保函或投标保证保险的形式提交的，在开标前不强制要求投标人提交纸质原件，由中标候选人在中标候选人公示前提交并在网上公示，投标人应在投标文件中提交投标保函或投标保证保险扫描件并加盖投标人电子印章。</w:t>
            </w:r>
          </w:p>
          <w:p>
            <w:pPr>
              <w:keepNext w:val="0"/>
              <w:keepLines w:val="0"/>
              <w:suppressLineNumbers w:val="0"/>
              <w:spacing w:before="0" w:beforeAutospacing="0" w:after="0" w:afterAutospacing="0"/>
              <w:ind w:left="1050" w:right="0" w:hanging="1050" w:hangingChars="5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□方式三：</w:t>
            </w:r>
            <w:r>
              <w:rPr>
                <w:rFonts w:hint="eastAsia" w:ascii="宋体" w:hAnsi="宋体" w:eastAsia="宋体" w:cs="宋体"/>
                <w:color w:val="auto"/>
                <w:szCs w:val="21"/>
                <w:highlight w:val="none"/>
                <w:u w:val="single"/>
              </w:rPr>
              <w:t>招标人自定的其它方式（招标人不得限定投标保证金只能以现金形式提交）</w:t>
            </w:r>
            <w:r>
              <w:rPr>
                <w:rFonts w:hint="eastAsia" w:ascii="宋体" w:hAnsi="宋体" w:eastAsia="宋体" w:cs="宋体"/>
                <w:color w:val="auto"/>
                <w:szCs w:val="21"/>
                <w:highlight w:val="none"/>
              </w:rPr>
              <w:t>。</w:t>
            </w:r>
          </w:p>
          <w:p>
            <w:pPr>
              <w:keepNext w:val="0"/>
              <w:keepLines w:val="0"/>
              <w:suppressLineNumbers w:val="0"/>
              <w:spacing w:before="0" w:beforeAutospacing="0" w:after="0" w:afterAutospacing="0"/>
              <w:ind w:left="630" w:right="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注：招标人可对信用良好企业、中小企业免收投标保证金。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15</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7.5</w:t>
            </w:r>
          </w:p>
        </w:tc>
        <w:tc>
          <w:tcPr>
            <w:tcW w:w="1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领取招标文件及图纸</w:t>
            </w:r>
          </w:p>
        </w:tc>
        <w:tc>
          <w:tcPr>
            <w:tcW w:w="7029" w:type="dxa"/>
            <w:tcBorders>
              <w:top w:val="single" w:color="auto" w:sz="4" w:space="0"/>
              <w:left w:val="single" w:color="auto" w:sz="4" w:space="0"/>
              <w:bottom w:val="single" w:color="auto" w:sz="4" w:space="0"/>
              <w:right w:val="double" w:color="auto" w:sz="4" w:space="0"/>
            </w:tcBorders>
            <w:noWrap w:val="0"/>
            <w:vAlign w:val="center"/>
          </w:tcPr>
          <w:p>
            <w:pPr>
              <w:pStyle w:val="11"/>
              <w:keepNext w:val="0"/>
              <w:keepLines w:val="0"/>
              <w:suppressLineNumbers w:val="0"/>
              <w:spacing w:before="0" w:beforeAutospacing="0" w:after="0" w:afterAutospacing="0"/>
              <w:ind w:left="0" w:right="0"/>
              <w:rPr>
                <w:rFonts w:hint="default" w:ascii="宋体" w:hAnsi="宋体" w:eastAsia="宋体"/>
                <w:color w:val="auto"/>
                <w:kern w:val="2"/>
                <w:sz w:val="21"/>
                <w:szCs w:val="22"/>
                <w:highlight w:val="none"/>
                <w:u w:val="single"/>
                <w:lang w:val="en-US" w:eastAsia="zh-CN"/>
              </w:rPr>
            </w:pPr>
            <w:r>
              <w:rPr>
                <w:rFonts w:hint="eastAsia" w:ascii="宋体" w:hAnsi="宋体" w:eastAsia="宋体"/>
                <w:color w:val="auto"/>
                <w:kern w:val="2"/>
                <w:sz w:val="21"/>
                <w:szCs w:val="22"/>
                <w:highlight w:val="none"/>
                <w:lang w:val="en-US" w:eastAsia="zh-CN"/>
              </w:rPr>
              <w:t>由投标人自行在广州公共资源交易中心网站下载。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16</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5.1</w:t>
            </w:r>
          </w:p>
        </w:tc>
        <w:tc>
          <w:tcPr>
            <w:tcW w:w="1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踏勘现场</w:t>
            </w:r>
          </w:p>
        </w:tc>
        <w:tc>
          <w:tcPr>
            <w:tcW w:w="7029"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时间：自</w:t>
            </w:r>
            <w:r>
              <w:rPr>
                <w:rFonts w:hint="eastAsia" w:ascii="宋体" w:hAnsi="宋体" w:eastAsia="宋体"/>
                <w:color w:val="auto"/>
                <w:szCs w:val="22"/>
                <w:highlight w:val="none"/>
                <w:u w:val="single"/>
              </w:rPr>
              <w:t>招标公告发布之日</w:t>
            </w:r>
            <w:r>
              <w:rPr>
                <w:rFonts w:hint="eastAsia" w:ascii="宋体" w:hAnsi="宋体" w:eastAsia="宋体"/>
                <w:color w:val="auto"/>
                <w:szCs w:val="22"/>
                <w:highlight w:val="none"/>
              </w:rPr>
              <w:t>起具备现场踏勘条件；</w:t>
            </w:r>
          </w:p>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方式：招标人不集中组织，由投标人自行踏勘；</w:t>
            </w:r>
          </w:p>
          <w:p>
            <w:pPr>
              <w:pStyle w:val="11"/>
              <w:keepNext w:val="0"/>
              <w:keepLines w:val="0"/>
              <w:suppressLineNumbers w:val="0"/>
              <w:spacing w:before="0" w:beforeAutospacing="0" w:after="0" w:afterAutospacing="0"/>
              <w:ind w:left="0" w:right="0"/>
              <w:rPr>
                <w:rFonts w:hint="default" w:ascii="宋体" w:hAnsi="宋体" w:eastAsia="宋体"/>
                <w:color w:val="auto"/>
                <w:kern w:val="2"/>
                <w:sz w:val="21"/>
                <w:szCs w:val="22"/>
                <w:highlight w:val="none"/>
                <w:lang w:val="en-US" w:eastAsia="zh-CN"/>
              </w:rPr>
            </w:pPr>
            <w:r>
              <w:rPr>
                <w:rFonts w:hint="eastAsia" w:ascii="宋体" w:hAnsi="宋体" w:eastAsia="宋体"/>
                <w:color w:val="auto"/>
                <w:kern w:val="2"/>
                <w:sz w:val="21"/>
                <w:szCs w:val="22"/>
                <w:highlight w:val="none"/>
                <w:lang w:val="en-US" w:eastAsia="zh-CN"/>
              </w:rPr>
              <w:t>现场详细地点：</w:t>
            </w:r>
            <w:r>
              <w:rPr>
                <w:rFonts w:hint="eastAsia" w:ascii="宋体" w:hAnsi="宋体" w:eastAsia="宋体" w:cs="Times New Roman"/>
                <w:color w:val="auto"/>
                <w:kern w:val="2"/>
                <w:sz w:val="21"/>
                <w:szCs w:val="22"/>
                <w:highlight w:val="none"/>
                <w:u w:val="single"/>
                <w:lang w:val="en-US" w:eastAsia="zh-CN" w:bidi="ar-SA"/>
              </w:rPr>
              <w:t xml:space="preserve"> 广州市流溪河国家森林公园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17</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8.1</w:t>
            </w:r>
          </w:p>
        </w:tc>
        <w:tc>
          <w:tcPr>
            <w:tcW w:w="1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olor w:val="auto"/>
                <w:szCs w:val="22"/>
                <w:highlight w:val="none"/>
              </w:rPr>
            </w:pPr>
            <w:r>
              <w:rPr>
                <w:rFonts w:hint="eastAsia" w:ascii="宋体" w:hAnsi="宋体" w:eastAsia="宋体"/>
                <w:color w:val="auto"/>
                <w:szCs w:val="22"/>
                <w:highlight w:val="none"/>
              </w:rPr>
              <w:t>招标答疑与澄清</w:t>
            </w:r>
          </w:p>
        </w:tc>
        <w:tc>
          <w:tcPr>
            <w:tcW w:w="7029"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1.方式：网上答疑</w:t>
            </w:r>
          </w:p>
          <w:p>
            <w:pPr>
              <w:keepNext w:val="0"/>
              <w:keepLines w:val="0"/>
              <w:suppressLineNumbers w:val="0"/>
              <w:spacing w:before="0" w:beforeAutospacing="0" w:after="0" w:afterAutospacing="0"/>
              <w:ind w:left="0" w:right="0"/>
              <w:rPr>
                <w:rFonts w:hint="eastAsia" w:ascii="宋体" w:hAnsi="宋体" w:eastAsia="宋体"/>
                <w:color w:val="auto"/>
                <w:szCs w:val="22"/>
                <w:highlight w:val="none"/>
                <w:lang w:val="en-US" w:eastAsia="zh-CN"/>
              </w:rPr>
            </w:pPr>
            <w:r>
              <w:rPr>
                <w:rFonts w:hint="eastAsia" w:ascii="宋体" w:hAnsi="宋体" w:eastAsia="宋体"/>
                <w:color w:val="auto"/>
                <w:szCs w:val="22"/>
                <w:highlight w:val="none"/>
              </w:rPr>
              <w:t>2.投标人提问期限：自招标公告发布之日起3天内</w:t>
            </w:r>
          </w:p>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3.招标人澄清、修补或答疑期限：在递交投标文件截止日期前</w:t>
            </w:r>
            <w:r>
              <w:rPr>
                <w:rFonts w:hint="eastAsia" w:ascii="宋体" w:hAnsi="宋体" w:eastAsia="宋体"/>
                <w:color w:val="auto"/>
                <w:szCs w:val="22"/>
                <w:highlight w:val="none"/>
                <w:u w:val="single"/>
              </w:rPr>
              <w:t>15</w:t>
            </w:r>
            <w:r>
              <w:rPr>
                <w:rFonts w:hint="eastAsia" w:ascii="宋体" w:hAnsi="宋体" w:eastAsia="宋体"/>
                <w:color w:val="auto"/>
                <w:szCs w:val="22"/>
                <w:highlight w:val="none"/>
              </w:rPr>
              <w:t>日</w:t>
            </w:r>
          </w:p>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2"/>
                <w:highlight w:val="none"/>
              </w:rPr>
              <w:t>4.网上答疑的相关事项详见招标文件8.1款。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18</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11</w:t>
            </w:r>
          </w:p>
        </w:tc>
        <w:tc>
          <w:tcPr>
            <w:tcW w:w="1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投标文件的组成</w:t>
            </w:r>
          </w:p>
        </w:tc>
        <w:tc>
          <w:tcPr>
            <w:tcW w:w="7029"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投标文件由资格审查部分和技术经济部分两部分组成。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19</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17.1</w:t>
            </w:r>
          </w:p>
        </w:tc>
        <w:tc>
          <w:tcPr>
            <w:tcW w:w="1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olor w:val="auto"/>
                <w:szCs w:val="22"/>
                <w:highlight w:val="none"/>
              </w:rPr>
            </w:pPr>
            <w:r>
              <w:rPr>
                <w:rFonts w:hint="eastAsia" w:ascii="宋体" w:hAnsi="宋体" w:eastAsia="宋体"/>
                <w:color w:val="auto"/>
                <w:szCs w:val="22"/>
                <w:highlight w:val="none"/>
              </w:rPr>
              <w:t>投标文件编制要求</w:t>
            </w:r>
          </w:p>
        </w:tc>
        <w:tc>
          <w:tcPr>
            <w:tcW w:w="7029"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仿宋_GB2312"/>
                <w:color w:val="auto"/>
                <w:szCs w:val="22"/>
                <w:highlight w:val="none"/>
              </w:rPr>
            </w:pPr>
            <w:r>
              <w:rPr>
                <w:rFonts w:hint="eastAsia" w:ascii="宋体" w:hAnsi="宋体" w:eastAsia="宋体" w:cs="仿宋_GB2312"/>
                <w:color w:val="auto"/>
                <w:szCs w:val="22"/>
                <w:highlight w:val="none"/>
              </w:rPr>
              <w:t>投标文件为含电子签名及电子签章的加密电子投标文件</w:t>
            </w:r>
            <w:r>
              <w:rPr>
                <w:rFonts w:hint="default" w:ascii="宋体" w:hAnsi="宋体" w:eastAsia="宋体" w:cs="仿宋_GB2312"/>
                <w:color w:val="auto"/>
                <w:szCs w:val="22"/>
                <w:highlight w:val="none"/>
              </w:rPr>
              <w:t>1</w:t>
            </w:r>
            <w:r>
              <w:rPr>
                <w:rFonts w:hint="eastAsia" w:ascii="宋体" w:hAnsi="宋体" w:eastAsia="宋体" w:cs="仿宋_GB2312"/>
                <w:color w:val="auto"/>
                <w:szCs w:val="22"/>
                <w:highlight w:val="none"/>
              </w:rPr>
              <w:t>套。</w:t>
            </w:r>
          </w:p>
          <w:p>
            <w:pPr>
              <w:keepNext w:val="0"/>
              <w:keepLines w:val="0"/>
              <w:suppressLineNumbers w:val="0"/>
              <w:spacing w:before="0" w:beforeAutospacing="0" w:after="0" w:afterAutospacing="0"/>
              <w:ind w:left="0" w:right="0"/>
              <w:rPr>
                <w:rFonts w:hint="eastAsia" w:ascii="宋体" w:hAnsi="宋体" w:eastAsia="宋体" w:cs="仿宋_GB2312"/>
                <w:color w:val="auto"/>
                <w:szCs w:val="22"/>
                <w:highlight w:val="none"/>
              </w:rPr>
            </w:pPr>
            <w:r>
              <w:rPr>
                <w:rFonts w:hint="eastAsia" w:ascii="宋体" w:hAnsi="宋体" w:eastAsia="宋体" w:cs="仿宋_GB2312"/>
                <w:color w:val="auto"/>
                <w:szCs w:val="22"/>
                <w:highlight w:val="none"/>
              </w:rPr>
              <w:t>技术部分（施工组织方案）文件页数最多不超过</w:t>
            </w:r>
            <w:r>
              <w:rPr>
                <w:rFonts w:hint="eastAsia" w:ascii="宋体" w:hAnsi="宋体" w:eastAsia="宋体" w:cs="仿宋_GB2312"/>
                <w:color w:val="auto"/>
                <w:szCs w:val="22"/>
                <w:highlight w:val="none"/>
                <w:u w:val="single"/>
              </w:rPr>
              <w:t>50</w:t>
            </w:r>
            <w:r>
              <w:rPr>
                <w:rFonts w:hint="eastAsia" w:ascii="宋体" w:hAnsi="宋体" w:eastAsia="宋体" w:cs="仿宋_GB2312"/>
                <w:color w:val="auto"/>
                <w:szCs w:val="22"/>
                <w:highlight w:val="none"/>
              </w:rPr>
              <w:t>页（</w:t>
            </w:r>
            <w:r>
              <w:rPr>
                <w:rFonts w:hint="eastAsia" w:ascii="宋体" w:hAnsi="宋体" w:eastAsia="宋体" w:cs="仿宋_GB2312"/>
                <w:color w:val="auto"/>
                <w:szCs w:val="22"/>
                <w:highlight w:val="none"/>
                <w:u w:val="single"/>
              </w:rPr>
              <w:t>50</w:t>
            </w:r>
            <w:r>
              <w:rPr>
                <w:rFonts w:hint="eastAsia" w:ascii="宋体" w:hAnsi="宋体" w:eastAsia="宋体" w:cs="仿宋_GB2312"/>
                <w:color w:val="auto"/>
                <w:szCs w:val="22"/>
                <w:highlight w:val="none"/>
              </w:rPr>
              <w:t>页，不包括封面及目录页）。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20</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19.1</w:t>
            </w:r>
          </w:p>
        </w:tc>
        <w:tc>
          <w:tcPr>
            <w:tcW w:w="1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递交投标文件的时间和地点</w:t>
            </w:r>
          </w:p>
        </w:tc>
        <w:tc>
          <w:tcPr>
            <w:tcW w:w="7029"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default" w:ascii="宋体" w:hAnsi="宋体" w:eastAsia="宋体" w:cs="仿宋_GB2312"/>
                <w:color w:val="auto"/>
                <w:szCs w:val="22"/>
                <w:highlight w:val="none"/>
              </w:rPr>
              <w:t>1.</w:t>
            </w:r>
            <w:r>
              <w:rPr>
                <w:rFonts w:hint="eastAsia" w:ascii="宋体" w:hAnsi="宋体" w:eastAsia="宋体" w:cs="仿宋_GB2312"/>
                <w:color w:val="auto"/>
                <w:szCs w:val="22"/>
                <w:highlight w:val="none"/>
              </w:rPr>
              <w:t>递交方式：网上递交投标文件。</w:t>
            </w:r>
          </w:p>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default" w:ascii="宋体" w:hAnsi="宋体" w:eastAsia="宋体" w:cs="仿宋_GB2312"/>
                <w:color w:val="auto"/>
                <w:szCs w:val="22"/>
                <w:highlight w:val="none"/>
              </w:rPr>
              <w:t>2.</w:t>
            </w:r>
            <w:r>
              <w:rPr>
                <w:rFonts w:hint="eastAsia" w:ascii="宋体" w:hAnsi="宋体" w:eastAsia="宋体" w:cs="仿宋_GB2312"/>
                <w:color w:val="auto"/>
                <w:szCs w:val="22"/>
                <w:highlight w:val="none"/>
              </w:rPr>
              <w:t>递交投标文件截止时间：</w:t>
            </w:r>
            <w:r>
              <w:rPr>
                <w:rFonts w:hint="eastAsia" w:ascii="宋体" w:hAnsi="宋体" w:eastAsia="宋体" w:cs="仿宋_GB2312"/>
                <w:color w:val="auto"/>
                <w:szCs w:val="22"/>
                <w:highlight w:val="none"/>
                <w:u w:val="single"/>
                <w:lang w:eastAsia="zh-CN"/>
              </w:rPr>
              <w:t>2023</w:t>
            </w:r>
            <w:r>
              <w:rPr>
                <w:rFonts w:hint="eastAsia" w:ascii="宋体" w:hAnsi="宋体" w:eastAsia="宋体" w:cs="仿宋_GB2312"/>
                <w:color w:val="auto"/>
                <w:szCs w:val="22"/>
                <w:highlight w:val="none"/>
              </w:rPr>
              <w:t>年</w:t>
            </w:r>
            <w:r>
              <w:rPr>
                <w:rFonts w:hint="default" w:ascii="宋体" w:hAnsi="宋体" w:eastAsia="宋体" w:cs="仿宋_GB2312"/>
                <w:color w:val="auto"/>
                <w:szCs w:val="22"/>
                <w:highlight w:val="none"/>
                <w:u w:val="single"/>
              </w:rPr>
              <w:t xml:space="preserve">  </w:t>
            </w:r>
            <w:r>
              <w:rPr>
                <w:rFonts w:hint="eastAsia" w:ascii="宋体" w:hAnsi="宋体" w:eastAsia="宋体" w:cs="仿宋_GB2312"/>
                <w:color w:val="auto"/>
                <w:szCs w:val="22"/>
                <w:highlight w:val="none"/>
              </w:rPr>
              <w:t>月</w:t>
            </w:r>
            <w:r>
              <w:rPr>
                <w:rFonts w:hint="default" w:ascii="宋体" w:hAnsi="宋体" w:eastAsia="宋体" w:cs="仿宋_GB2312"/>
                <w:color w:val="auto"/>
                <w:szCs w:val="22"/>
                <w:highlight w:val="none"/>
                <w:u w:val="single"/>
              </w:rPr>
              <w:t xml:space="preserve">  </w:t>
            </w:r>
            <w:r>
              <w:rPr>
                <w:rFonts w:hint="eastAsia" w:ascii="宋体" w:hAnsi="宋体" w:eastAsia="宋体" w:cs="仿宋_GB2312"/>
                <w:color w:val="auto"/>
                <w:szCs w:val="22"/>
                <w:highlight w:val="none"/>
              </w:rPr>
              <w:t>日</w:t>
            </w:r>
            <w:r>
              <w:rPr>
                <w:rFonts w:hint="default" w:ascii="宋体" w:hAnsi="宋体" w:eastAsia="宋体" w:cs="仿宋_GB2312"/>
                <w:color w:val="auto"/>
                <w:szCs w:val="22"/>
                <w:highlight w:val="none"/>
                <w:u w:val="single"/>
              </w:rPr>
              <w:t xml:space="preserve">   </w:t>
            </w:r>
            <w:r>
              <w:rPr>
                <w:rFonts w:hint="eastAsia" w:ascii="宋体" w:hAnsi="宋体" w:eastAsia="宋体" w:cs="仿宋_GB2312"/>
                <w:color w:val="auto"/>
                <w:szCs w:val="22"/>
                <w:highlight w:val="none"/>
              </w:rPr>
              <w:t>时</w:t>
            </w:r>
            <w:r>
              <w:rPr>
                <w:rFonts w:hint="default" w:ascii="宋体" w:hAnsi="宋体" w:eastAsia="宋体" w:cs="仿宋_GB2312"/>
                <w:color w:val="auto"/>
                <w:szCs w:val="22"/>
                <w:highlight w:val="none"/>
                <w:u w:val="single"/>
              </w:rPr>
              <w:t xml:space="preserve">   </w:t>
            </w:r>
            <w:r>
              <w:rPr>
                <w:rFonts w:hint="eastAsia" w:ascii="宋体" w:hAnsi="宋体" w:eastAsia="宋体" w:cs="仿宋_GB2312"/>
                <w:color w:val="auto"/>
                <w:szCs w:val="22"/>
                <w:highlight w:val="none"/>
              </w:rPr>
              <w:t>分。</w:t>
            </w:r>
          </w:p>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default" w:ascii="宋体" w:hAnsi="宋体" w:eastAsia="宋体" w:cs="仿宋_GB2312"/>
                <w:color w:val="auto"/>
                <w:szCs w:val="22"/>
                <w:highlight w:val="none"/>
              </w:rPr>
              <w:t>2.</w:t>
            </w:r>
            <w:r>
              <w:rPr>
                <w:rFonts w:hint="eastAsia" w:ascii="宋体" w:hAnsi="宋体" w:eastAsia="宋体" w:cs="仿宋_GB2312"/>
                <w:color w:val="auto"/>
                <w:szCs w:val="22"/>
                <w:highlight w:val="none"/>
              </w:rPr>
              <w:t>地点：广州公共资源交易中心网站。投标人也可选择参加在线开标，具体按照交易平台相关指南进行操作。详见：广州公共资源交易中心网站(http://www.gzggzy.cn/html/index.html)服务指南栏目。</w:t>
            </w:r>
          </w:p>
          <w:p>
            <w:pPr>
              <w:keepNext w:val="0"/>
              <w:keepLines w:val="0"/>
              <w:suppressLineNumbers w:val="0"/>
              <w:spacing w:before="0" w:beforeAutospacing="0" w:after="0" w:afterAutospacing="0"/>
              <w:ind w:left="0" w:right="0"/>
              <w:rPr>
                <w:rFonts w:hint="default" w:ascii="宋体" w:hAnsi="宋体" w:eastAsia="宋体"/>
                <w:color w:val="auto"/>
                <w:szCs w:val="22"/>
                <w:highlight w:val="none"/>
                <w:u w:val="single"/>
              </w:rPr>
            </w:pPr>
            <w:r>
              <w:rPr>
                <w:rFonts w:hint="default" w:ascii="宋体" w:hAnsi="宋体" w:eastAsia="宋体" w:cs="仿宋_GB2312"/>
                <w:color w:val="auto"/>
                <w:szCs w:val="22"/>
                <w:highlight w:val="none"/>
              </w:rPr>
              <w:t>3.</w:t>
            </w:r>
            <w:r>
              <w:rPr>
                <w:rFonts w:hint="eastAsia" w:ascii="宋体" w:hAnsi="宋体" w:eastAsia="宋体" w:cs="仿宋_GB2312"/>
                <w:color w:val="auto"/>
                <w:szCs w:val="22"/>
                <w:highlight w:val="none"/>
              </w:rPr>
              <w:t>上述时间及地点是否有改变，请密切留意</w:t>
            </w:r>
            <w:r>
              <w:rPr>
                <w:rFonts w:hint="eastAsia" w:ascii="宋体" w:hAnsi="宋体" w:eastAsia="宋体" w:cs="仿宋_GB2312"/>
                <w:b w:val="0"/>
                <w:color w:val="auto"/>
                <w:szCs w:val="22"/>
                <w:highlight w:val="none"/>
              </w:rPr>
              <w:t>补充公告</w:t>
            </w:r>
            <w:r>
              <w:rPr>
                <w:rFonts w:hint="eastAsia" w:ascii="宋体" w:hAnsi="宋体" w:eastAsia="宋体" w:cs="仿宋_GB2312"/>
                <w:b w:val="0"/>
                <w:color w:val="auto"/>
                <w:szCs w:val="22"/>
                <w:highlight w:val="none"/>
                <w:lang w:eastAsia="zh-CN"/>
              </w:rPr>
              <w:t>或</w:t>
            </w:r>
            <w:r>
              <w:rPr>
                <w:rFonts w:hint="eastAsia" w:ascii="宋体" w:hAnsi="宋体" w:eastAsia="宋体" w:cs="仿宋_GB2312"/>
                <w:color w:val="auto"/>
                <w:szCs w:val="22"/>
                <w:highlight w:val="none"/>
              </w:rPr>
              <w:t>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21</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24</w:t>
            </w:r>
          </w:p>
        </w:tc>
        <w:tc>
          <w:tcPr>
            <w:tcW w:w="1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开标时间和地点</w:t>
            </w:r>
          </w:p>
        </w:tc>
        <w:tc>
          <w:tcPr>
            <w:tcW w:w="7029"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1.开标时间：</w:t>
            </w:r>
            <w:r>
              <w:rPr>
                <w:rFonts w:hint="eastAsia" w:ascii="宋体" w:hAnsi="宋体" w:eastAsia="宋体"/>
                <w:color w:val="auto"/>
                <w:szCs w:val="22"/>
                <w:highlight w:val="none"/>
                <w:u w:val="single"/>
                <w:lang w:eastAsia="zh-CN"/>
              </w:rPr>
              <w:t>2023</w:t>
            </w:r>
            <w:r>
              <w:rPr>
                <w:rFonts w:hint="eastAsia" w:ascii="宋体" w:hAnsi="宋体" w:eastAsia="宋体"/>
                <w:color w:val="auto"/>
                <w:szCs w:val="22"/>
                <w:highlight w:val="none"/>
              </w:rPr>
              <w:t>年</w:t>
            </w:r>
            <w:r>
              <w:rPr>
                <w:rFonts w:hint="eastAsia" w:ascii="宋体" w:hAnsi="宋体" w:eastAsia="宋体"/>
                <w:color w:val="auto"/>
                <w:szCs w:val="22"/>
                <w:highlight w:val="none"/>
                <w:u w:val="single"/>
              </w:rPr>
              <w:t xml:space="preserve">  </w:t>
            </w:r>
            <w:r>
              <w:rPr>
                <w:rFonts w:hint="eastAsia" w:ascii="宋体" w:hAnsi="宋体" w:eastAsia="宋体"/>
                <w:color w:val="auto"/>
                <w:szCs w:val="22"/>
                <w:highlight w:val="none"/>
              </w:rPr>
              <w:t>月</w:t>
            </w:r>
            <w:r>
              <w:rPr>
                <w:rFonts w:hint="eastAsia" w:ascii="宋体" w:hAnsi="宋体" w:eastAsia="宋体"/>
                <w:color w:val="auto"/>
                <w:szCs w:val="22"/>
                <w:highlight w:val="none"/>
                <w:u w:val="single"/>
              </w:rPr>
              <w:t xml:space="preserve">  </w:t>
            </w:r>
            <w:r>
              <w:rPr>
                <w:rFonts w:hint="eastAsia" w:ascii="宋体" w:hAnsi="宋体" w:eastAsia="宋体"/>
                <w:color w:val="auto"/>
                <w:szCs w:val="22"/>
                <w:highlight w:val="none"/>
              </w:rPr>
              <w:t>日</w:t>
            </w:r>
            <w:r>
              <w:rPr>
                <w:rFonts w:hint="eastAsia" w:ascii="宋体" w:hAnsi="宋体" w:eastAsia="宋体"/>
                <w:color w:val="auto"/>
                <w:szCs w:val="22"/>
                <w:highlight w:val="none"/>
                <w:u w:val="single"/>
              </w:rPr>
              <w:t xml:space="preserve">   </w:t>
            </w:r>
            <w:r>
              <w:rPr>
                <w:rFonts w:hint="eastAsia" w:ascii="宋体" w:hAnsi="宋体" w:eastAsia="宋体"/>
                <w:color w:val="auto"/>
                <w:szCs w:val="22"/>
                <w:highlight w:val="none"/>
              </w:rPr>
              <w:t>时</w:t>
            </w:r>
            <w:r>
              <w:rPr>
                <w:rFonts w:hint="eastAsia" w:ascii="宋体" w:hAnsi="宋体" w:eastAsia="宋体"/>
                <w:color w:val="auto"/>
                <w:szCs w:val="22"/>
                <w:highlight w:val="none"/>
                <w:u w:val="single"/>
              </w:rPr>
              <w:t xml:space="preserve">  </w:t>
            </w:r>
            <w:r>
              <w:rPr>
                <w:rFonts w:hint="eastAsia" w:ascii="宋体" w:hAnsi="宋体" w:eastAsia="宋体"/>
                <w:color w:val="auto"/>
                <w:szCs w:val="22"/>
                <w:highlight w:val="none"/>
              </w:rPr>
              <w:t>分。</w:t>
            </w:r>
          </w:p>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2.地点：广州公共资源交易中心</w:t>
            </w:r>
            <w:r>
              <w:rPr>
                <w:rFonts w:hint="eastAsia" w:ascii="宋体" w:hAnsi="宋体" w:eastAsia="宋体"/>
                <w:color w:val="auto"/>
                <w:szCs w:val="22"/>
                <w:highlight w:val="none"/>
                <w:u w:val="single"/>
              </w:rPr>
              <w:t xml:space="preserve">    </w:t>
            </w:r>
            <w:r>
              <w:rPr>
                <w:rFonts w:hint="eastAsia" w:ascii="宋体" w:hAnsi="宋体" w:eastAsia="宋体"/>
                <w:color w:val="auto"/>
                <w:szCs w:val="22"/>
                <w:highlight w:val="none"/>
              </w:rPr>
              <w:t>室。</w:t>
            </w:r>
          </w:p>
          <w:p>
            <w:pPr>
              <w:keepNext w:val="0"/>
              <w:keepLines w:val="0"/>
              <w:suppressLineNumbers w:val="0"/>
              <w:spacing w:before="0" w:beforeAutospacing="0" w:after="0" w:afterAutospacing="0"/>
              <w:ind w:left="0" w:right="0"/>
              <w:rPr>
                <w:rFonts w:hint="eastAsia" w:ascii="宋体" w:hAnsi="宋体" w:eastAsia="宋体"/>
                <w:color w:val="auto"/>
                <w:szCs w:val="22"/>
                <w:highlight w:val="none"/>
              </w:rPr>
            </w:pPr>
            <w:r>
              <w:rPr>
                <w:rFonts w:hint="eastAsia" w:ascii="宋体" w:hAnsi="宋体" w:eastAsia="宋体"/>
                <w:color w:val="auto"/>
                <w:szCs w:val="22"/>
                <w:highlight w:val="none"/>
              </w:rPr>
              <w:t>3.递交投标文件截止时间与开标时间应为同一时间。</w:t>
            </w:r>
            <w:r>
              <w:rPr>
                <w:rFonts w:hint="eastAsia" w:ascii="宋体" w:hAnsi="宋体" w:eastAsia="宋体" w:cs="仿宋_GB2312"/>
                <w:color w:val="auto"/>
                <w:szCs w:val="22"/>
                <w:highlight w:val="none"/>
              </w:rPr>
              <w:t>投标人也可选择参加在线开标，具体按照交易平台相关指南进行操作。详见：广州公共资源交易中心网站(http://www.gzggzy.cn/html/index.html)服务指南栏目。</w:t>
            </w:r>
          </w:p>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4.上述时间及地点是否有改变，请密切留意</w:t>
            </w:r>
            <w:r>
              <w:rPr>
                <w:rFonts w:hint="eastAsia" w:ascii="宋体" w:hAnsi="宋体" w:eastAsia="宋体" w:cs="仿宋_GB2312"/>
                <w:b w:val="0"/>
                <w:color w:val="auto"/>
                <w:szCs w:val="22"/>
                <w:highlight w:val="none"/>
              </w:rPr>
              <w:t>补充公告</w:t>
            </w:r>
            <w:r>
              <w:rPr>
                <w:rFonts w:hint="eastAsia" w:ascii="宋体" w:hAnsi="宋体" w:eastAsia="宋体" w:cs="仿宋_GB2312"/>
                <w:b w:val="0"/>
                <w:color w:val="auto"/>
                <w:szCs w:val="22"/>
                <w:highlight w:val="none"/>
                <w:lang w:eastAsia="zh-CN"/>
              </w:rPr>
              <w:t>或</w:t>
            </w:r>
            <w:r>
              <w:rPr>
                <w:rFonts w:hint="eastAsia" w:ascii="宋体" w:hAnsi="宋体" w:eastAsia="宋体"/>
                <w:color w:val="auto"/>
                <w:szCs w:val="22"/>
                <w:highlight w:val="none"/>
              </w:rPr>
              <w:t>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22</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p>
        </w:tc>
        <w:tc>
          <w:tcPr>
            <w:tcW w:w="1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评标办法</w:t>
            </w:r>
          </w:p>
        </w:tc>
        <w:tc>
          <w:tcPr>
            <w:tcW w:w="7029" w:type="dxa"/>
            <w:tcBorders>
              <w:top w:val="single" w:color="auto" w:sz="4" w:space="0"/>
              <w:left w:val="single" w:color="auto" w:sz="4" w:space="0"/>
              <w:bottom w:val="single" w:color="auto" w:sz="4" w:space="0"/>
              <w:right w:val="double" w:color="auto" w:sz="4" w:space="0"/>
            </w:tcBorders>
            <w:noWrap w:val="0"/>
            <w:vAlign w:val="center"/>
          </w:tcPr>
          <w:p>
            <w:pPr>
              <w:pStyle w:val="17"/>
              <w:keepNext w:val="0"/>
              <w:keepLines w:val="0"/>
              <w:suppressLineNumbers w:val="0"/>
              <w:spacing w:before="0" w:beforeAutospacing="0" w:after="0" w:afterAutospacing="0"/>
              <w:ind w:left="0" w:right="0" w:firstLine="0"/>
              <w:rPr>
                <w:rFonts w:hint="eastAsia" w:ascii="宋体" w:hAnsi="宋体"/>
                <w:color w:val="auto"/>
                <w:kern w:val="2"/>
                <w:sz w:val="21"/>
                <w:szCs w:val="22"/>
                <w:highlight w:val="none"/>
                <w:lang w:val="en-US" w:eastAsia="zh-CN"/>
              </w:rPr>
            </w:pPr>
            <w:r>
              <w:rPr>
                <w:rFonts w:hint="eastAsia" w:ascii="宋体" w:hAnsi="宋体"/>
                <w:color w:val="auto"/>
                <w:kern w:val="2"/>
                <w:sz w:val="21"/>
                <w:szCs w:val="22"/>
                <w:highlight w:val="none"/>
                <w:lang w:val="en-US" w:eastAsia="zh-CN"/>
              </w:rPr>
              <w:t xml:space="preserve">□可选办法一 </w:t>
            </w:r>
            <w:r>
              <w:rPr>
                <w:rFonts w:hint="eastAsia" w:ascii="宋体"/>
                <w:color w:val="auto"/>
                <w:kern w:val="2"/>
                <w:sz w:val="21"/>
                <w:szCs w:val="22"/>
                <w:highlight w:val="none"/>
                <w:lang w:val="en-US" w:eastAsia="zh-CN"/>
              </w:rPr>
              <w:t>两阶段评标法</w:t>
            </w:r>
          </w:p>
          <w:p>
            <w:pPr>
              <w:pStyle w:val="17"/>
              <w:keepNext w:val="0"/>
              <w:keepLines w:val="0"/>
              <w:suppressLineNumbers w:val="0"/>
              <w:spacing w:before="0" w:beforeAutospacing="0" w:after="0" w:afterAutospacing="0"/>
              <w:ind w:left="0" w:right="0" w:firstLine="0"/>
              <w:rPr>
                <w:rFonts w:hint="default" w:ascii="宋体" w:hAnsi="宋体"/>
                <w:color w:val="auto"/>
                <w:kern w:val="2"/>
                <w:sz w:val="24"/>
                <w:szCs w:val="24"/>
                <w:highlight w:val="none"/>
                <w:u w:val="single"/>
                <w:lang w:val="en-US" w:eastAsia="zh-CN"/>
              </w:rPr>
            </w:pPr>
            <w:r>
              <w:rPr>
                <w:rFonts w:hint="eastAsia" w:ascii="宋体" w:hAnsi="宋体"/>
                <w:color w:val="auto"/>
                <w:kern w:val="2"/>
                <w:sz w:val="21"/>
                <w:szCs w:val="22"/>
                <w:highlight w:val="none"/>
                <w:lang w:val="en-US" w:eastAsia="zh-CN"/>
              </w:rPr>
              <w:t>■可选办法二</w:t>
            </w:r>
            <w:r>
              <w:rPr>
                <w:rFonts w:hint="eastAsia" w:ascii="宋体"/>
                <w:color w:val="auto"/>
                <w:kern w:val="2"/>
                <w:sz w:val="21"/>
                <w:szCs w:val="22"/>
                <w:highlight w:val="none"/>
                <w:lang w:val="en-US" w:eastAsia="zh-CN"/>
              </w:rPr>
              <w:t xml:space="preserve"> 综合评分法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23</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p>
        </w:tc>
        <w:tc>
          <w:tcPr>
            <w:tcW w:w="1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olor w:val="auto"/>
                <w:szCs w:val="22"/>
                <w:highlight w:val="none"/>
              </w:rPr>
            </w:pPr>
            <w:r>
              <w:rPr>
                <w:rFonts w:hint="eastAsia" w:ascii="宋体" w:hAnsi="宋体" w:eastAsia="宋体"/>
                <w:color w:val="auto"/>
                <w:szCs w:val="22"/>
                <w:highlight w:val="none"/>
              </w:rPr>
              <w:t>评标委员会推荐中标候选人的人数</w:t>
            </w:r>
          </w:p>
        </w:tc>
        <w:tc>
          <w:tcPr>
            <w:tcW w:w="7029"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olor w:val="auto"/>
                <w:szCs w:val="22"/>
                <w:highlight w:val="none"/>
              </w:rPr>
            </w:pPr>
            <w:r>
              <w:rPr>
                <w:rFonts w:hint="eastAsia" w:ascii="宋体" w:hAnsi="宋体" w:eastAsia="宋体"/>
                <w:color w:val="auto"/>
                <w:szCs w:val="22"/>
                <w:highlight w:val="none"/>
              </w:rPr>
              <w:t>■不采用评定分离，中标候选人</w:t>
            </w:r>
            <w:r>
              <w:rPr>
                <w:rFonts w:hint="eastAsia" w:ascii="宋体" w:hAnsi="宋体" w:eastAsia="宋体"/>
                <w:color w:val="auto"/>
                <w:szCs w:val="22"/>
                <w:highlight w:val="none"/>
                <w:u w:val="single"/>
              </w:rPr>
              <w:t xml:space="preserve"> 3 </w:t>
            </w:r>
            <w:r>
              <w:rPr>
                <w:rFonts w:hint="eastAsia" w:ascii="宋体" w:hAnsi="宋体" w:eastAsia="宋体"/>
                <w:color w:val="auto"/>
                <w:szCs w:val="22"/>
                <w:highlight w:val="none"/>
              </w:rPr>
              <w:t>名（不超过3名）</w:t>
            </w:r>
          </w:p>
          <w:p>
            <w:pPr>
              <w:keepNext w:val="0"/>
              <w:keepLines w:val="0"/>
              <w:suppressLineNumbers w:val="0"/>
              <w:spacing w:before="0" w:beforeAutospacing="0" w:after="0" w:afterAutospacing="0"/>
              <w:ind w:left="0" w:right="0"/>
              <w:rPr>
                <w:rFonts w:hint="eastAsia" w:ascii="宋体" w:hAnsi="宋体" w:eastAsia="宋体"/>
                <w:color w:val="auto"/>
                <w:szCs w:val="22"/>
                <w:highlight w:val="none"/>
              </w:rPr>
            </w:pPr>
            <w:r>
              <w:rPr>
                <w:rFonts w:hint="eastAsia" w:ascii="宋体" w:hAnsi="宋体" w:eastAsia="宋体"/>
                <w:color w:val="auto"/>
                <w:szCs w:val="22"/>
                <w:highlight w:val="none"/>
              </w:rPr>
              <w:t>□采用评定分离，中标候选人</w:t>
            </w:r>
            <w:r>
              <w:rPr>
                <w:rFonts w:hint="eastAsia" w:ascii="宋体" w:hAnsi="宋体" w:eastAsia="宋体"/>
                <w:color w:val="auto"/>
                <w:szCs w:val="22"/>
                <w:highlight w:val="none"/>
                <w:u w:val="single"/>
              </w:rPr>
              <w:t xml:space="preserve">    </w:t>
            </w:r>
            <w:r>
              <w:rPr>
                <w:rFonts w:hint="eastAsia" w:ascii="宋体" w:hAnsi="宋体" w:eastAsia="宋体"/>
                <w:color w:val="auto"/>
                <w:szCs w:val="22"/>
                <w:highlight w:val="none"/>
              </w:rPr>
              <w:t>名（建议3-5名）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24</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p>
        </w:tc>
        <w:tc>
          <w:tcPr>
            <w:tcW w:w="1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vertAlign w:val="superscript"/>
              </w:rPr>
            </w:pPr>
            <w:r>
              <w:rPr>
                <w:rFonts w:hint="eastAsia" w:ascii="宋体" w:hAnsi="宋体" w:eastAsia="宋体"/>
                <w:color w:val="auto"/>
                <w:szCs w:val="22"/>
                <w:highlight w:val="none"/>
              </w:rPr>
              <w:t>最高投标限价</w:t>
            </w:r>
          </w:p>
        </w:tc>
        <w:tc>
          <w:tcPr>
            <w:tcW w:w="7029"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olor w:val="auto"/>
                <w:szCs w:val="21"/>
                <w:highlight w:val="none"/>
                <w:lang w:eastAsia="zh-CN"/>
              </w:rPr>
            </w:pPr>
            <w:r>
              <w:rPr>
                <w:rFonts w:hint="eastAsia" w:ascii="宋体" w:hAnsi="宋体" w:eastAsia="宋体" w:cs="Times New Roman"/>
                <w:color w:val="auto"/>
                <w:szCs w:val="21"/>
                <w:highlight w:val="none"/>
                <w:lang w:val="en-US" w:eastAsia="zh-CN"/>
              </w:rPr>
              <w:t>本项目最高投标限价为人民币</w:t>
            </w:r>
            <w:r>
              <w:rPr>
                <w:rFonts w:hint="eastAsia" w:ascii="宋体" w:hAnsi="宋体" w:eastAsia="宋体" w:cs="Times New Roman"/>
                <w:color w:val="auto"/>
                <w:szCs w:val="21"/>
                <w:highlight w:val="none"/>
                <w:u w:val="single"/>
                <w:lang w:val="en-US" w:eastAsia="zh-CN"/>
              </w:rPr>
              <w:t>￥8160178.35元</w:t>
            </w:r>
            <w:r>
              <w:rPr>
                <w:rFonts w:hint="eastAsia" w:ascii="宋体" w:hAnsi="宋体" w:eastAsia="宋体" w:cs="Times New Roman"/>
                <w:color w:val="auto"/>
                <w:szCs w:val="21"/>
                <w:highlight w:val="none"/>
                <w:lang w:val="en-US" w:eastAsia="zh-CN"/>
              </w:rPr>
              <w:t>。</w:t>
            </w:r>
          </w:p>
          <w:p>
            <w:pPr>
              <w:keepNext w:val="0"/>
              <w:keepLines w:val="0"/>
              <w:suppressLineNumbers w:val="0"/>
              <w:spacing w:before="0" w:beforeAutospacing="0" w:after="0" w:afterAutospacing="0"/>
              <w:ind w:left="0" w:right="0"/>
              <w:rPr>
                <w:rFonts w:hint="eastAsia" w:eastAsia="宋体"/>
                <w:color w:val="auto"/>
                <w:szCs w:val="22"/>
                <w:highlight w:val="none"/>
                <w:lang w:val="en-US" w:eastAsia="zh-CN"/>
              </w:rPr>
            </w:pPr>
            <w:r>
              <w:rPr>
                <w:rFonts w:hint="default" w:ascii="宋体" w:hAnsi="宋体" w:eastAsia="宋体" w:cs="Times New Roman"/>
                <w:color w:val="auto"/>
                <w:szCs w:val="21"/>
                <w:highlight w:val="none"/>
                <w:lang w:val="en-US" w:eastAsia="zh-CN"/>
              </w:rPr>
              <w:t>投标价超过最高投标限价乘以</w:t>
            </w:r>
            <w:r>
              <w:rPr>
                <w:rFonts w:hint="default" w:ascii="宋体" w:hAnsi="宋体" w:eastAsia="宋体" w:cs="Times New Roman"/>
                <w:color w:val="auto"/>
                <w:szCs w:val="21"/>
                <w:highlight w:val="none"/>
                <w:u w:val="single"/>
                <w:lang w:val="en-US" w:eastAsia="zh-CN"/>
              </w:rPr>
              <w:t>95%</w:t>
            </w:r>
            <w:r>
              <w:rPr>
                <w:rFonts w:hint="default" w:ascii="宋体" w:hAnsi="宋体" w:eastAsia="宋体" w:cs="Times New Roman"/>
                <w:color w:val="auto"/>
                <w:szCs w:val="21"/>
                <w:highlight w:val="none"/>
                <w:lang w:val="en-US" w:eastAsia="zh-CN"/>
              </w:rPr>
              <w:t>（即人民币</w:t>
            </w:r>
            <w:r>
              <w:rPr>
                <w:rFonts w:hint="default" w:ascii="宋体" w:hAnsi="宋体" w:eastAsia="宋体" w:cs="Times New Roman"/>
                <w:color w:val="auto"/>
                <w:szCs w:val="21"/>
                <w:highlight w:val="none"/>
                <w:u w:val="single"/>
                <w:lang w:val="en-US" w:eastAsia="zh-CN"/>
              </w:rPr>
              <w:t>￥</w:t>
            </w:r>
            <w:r>
              <w:rPr>
                <w:rFonts w:hint="eastAsia" w:ascii="宋体" w:hAnsi="宋体" w:eastAsia="宋体" w:cs="Times New Roman"/>
                <w:color w:val="auto"/>
                <w:szCs w:val="21"/>
                <w:highlight w:val="none"/>
                <w:u w:val="single"/>
                <w:lang w:val="en-US" w:eastAsia="zh-CN"/>
              </w:rPr>
              <w:t>7752169.43</w:t>
            </w:r>
            <w:r>
              <w:rPr>
                <w:rFonts w:hint="default" w:ascii="宋体" w:hAnsi="宋体" w:eastAsia="宋体" w:cs="Times New Roman"/>
                <w:color w:val="auto"/>
                <w:szCs w:val="21"/>
                <w:highlight w:val="none"/>
                <w:lang w:val="en-US" w:eastAsia="zh-CN"/>
              </w:rPr>
              <w:t>元）的投标文件将被否决。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25</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p>
        </w:tc>
        <w:tc>
          <w:tcPr>
            <w:tcW w:w="1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olor w:val="auto"/>
                <w:szCs w:val="22"/>
                <w:highlight w:val="none"/>
              </w:rPr>
            </w:pPr>
            <w:r>
              <w:rPr>
                <w:rFonts w:hint="eastAsia" w:ascii="宋体" w:hAnsi="宋体" w:eastAsia="宋体"/>
                <w:color w:val="auto"/>
                <w:szCs w:val="22"/>
                <w:highlight w:val="none"/>
              </w:rPr>
              <w:t>成本警示价（如有）</w:t>
            </w:r>
          </w:p>
        </w:tc>
        <w:tc>
          <w:tcPr>
            <w:tcW w:w="7029"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olor w:val="auto"/>
                <w:szCs w:val="21"/>
                <w:highlight w:val="none"/>
              </w:rPr>
            </w:pPr>
            <w:r>
              <w:rPr>
                <w:rFonts w:hint="eastAsia" w:ascii="宋体" w:hAnsi="宋体" w:eastAsia="宋体"/>
                <w:color w:val="auto"/>
                <w:szCs w:val="21"/>
                <w:highlight w:val="none"/>
              </w:rPr>
              <w:t>本项目成本警示价为人民币</w:t>
            </w:r>
            <w:r>
              <w:rPr>
                <w:rFonts w:hint="eastAsia" w:ascii="宋体" w:hAnsi="宋体" w:eastAsia="宋体"/>
                <w:color w:val="auto"/>
                <w:szCs w:val="21"/>
                <w:highlight w:val="none"/>
                <w:u w:val="single"/>
              </w:rPr>
              <w:t>￥</w:t>
            </w:r>
            <w:r>
              <w:rPr>
                <w:rFonts w:hint="eastAsia" w:ascii="宋体" w:hAnsi="宋体" w:eastAsia="宋体"/>
                <w:color w:val="auto"/>
                <w:szCs w:val="21"/>
                <w:highlight w:val="none"/>
                <w:u w:val="single"/>
                <w:lang w:val="en-US" w:eastAsia="zh-CN"/>
              </w:rPr>
              <w:t>6936151.60</w:t>
            </w:r>
            <w:r>
              <w:rPr>
                <w:rFonts w:hint="eastAsia" w:ascii="宋体" w:hAnsi="宋体" w:eastAsia="宋体"/>
                <w:color w:val="auto"/>
                <w:szCs w:val="21"/>
                <w:highlight w:val="none"/>
              </w:rPr>
              <w:t>元（最高投标限价的</w:t>
            </w:r>
            <w:r>
              <w:rPr>
                <w:rFonts w:hint="eastAsia" w:ascii="宋体" w:hAnsi="宋体" w:eastAsia="宋体"/>
                <w:color w:val="auto"/>
                <w:szCs w:val="21"/>
                <w:highlight w:val="none"/>
                <w:lang w:val="en-US" w:eastAsia="zh-CN"/>
              </w:rPr>
              <w:t>85</w:t>
            </w:r>
            <w:r>
              <w:rPr>
                <w:rFonts w:hint="eastAsia" w:ascii="宋体" w:hAnsi="宋体" w:eastAsia="宋体"/>
                <w:color w:val="auto"/>
                <w:szCs w:val="21"/>
                <w:highlight w:val="none"/>
              </w:rPr>
              <w:t>%）。对低于该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keepNext w:val="0"/>
              <w:keepLines w:val="0"/>
              <w:suppressLineNumbers w:val="0"/>
              <w:spacing w:before="0" w:beforeAutospacing="0" w:after="0" w:afterAutospacing="0"/>
              <w:ind w:left="0" w:right="0"/>
              <w:rPr>
                <w:rFonts w:hint="eastAsia" w:ascii="宋体" w:hAnsi="宋体" w:eastAsia="宋体"/>
                <w:color w:val="auto"/>
                <w:szCs w:val="21"/>
                <w:highlight w:val="none"/>
              </w:rPr>
            </w:pPr>
            <w:r>
              <w:rPr>
                <w:rFonts w:hint="eastAsia" w:ascii="宋体" w:hAnsi="宋体" w:eastAsia="宋体"/>
                <w:color w:val="auto"/>
                <w:szCs w:val="21"/>
                <w:highlight w:val="none"/>
              </w:rPr>
              <w:t>注：为充分体现招标人意愿及落实项目业主负责制，警示价由招标人决定。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26</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p>
        </w:tc>
        <w:tc>
          <w:tcPr>
            <w:tcW w:w="1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olor w:val="auto"/>
                <w:szCs w:val="22"/>
                <w:highlight w:val="none"/>
              </w:rPr>
            </w:pPr>
            <w:r>
              <w:rPr>
                <w:rFonts w:hint="eastAsia" w:ascii="宋体" w:hAnsi="宋体" w:eastAsia="宋体"/>
                <w:color w:val="auto"/>
                <w:szCs w:val="22"/>
                <w:highlight w:val="none"/>
              </w:rPr>
              <w:t>非竞争报价</w:t>
            </w:r>
          </w:p>
        </w:tc>
        <w:tc>
          <w:tcPr>
            <w:tcW w:w="7029"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olor w:val="auto"/>
                <w:szCs w:val="21"/>
                <w:highlight w:val="none"/>
              </w:rPr>
            </w:pPr>
            <w:r>
              <w:rPr>
                <w:rFonts w:hint="eastAsia" w:ascii="宋体" w:hAnsi="宋体" w:eastAsia="宋体"/>
                <w:color w:val="auto"/>
                <w:szCs w:val="21"/>
                <w:highlight w:val="none"/>
              </w:rPr>
              <w:t>本项目绿色施工安全防护措施费为</w:t>
            </w:r>
            <w:r>
              <w:rPr>
                <w:rFonts w:hint="eastAsia" w:ascii="宋体" w:hAnsi="宋体" w:eastAsia="宋体"/>
                <w:color w:val="auto"/>
                <w:szCs w:val="21"/>
                <w:highlight w:val="none"/>
                <w:u w:val="single"/>
              </w:rPr>
              <w:t>￥</w:t>
            </w:r>
            <w:r>
              <w:rPr>
                <w:rFonts w:hint="eastAsia" w:ascii="宋体" w:hAnsi="宋体" w:eastAsia="宋体"/>
                <w:color w:val="auto"/>
                <w:szCs w:val="21"/>
                <w:highlight w:val="none"/>
                <w:u w:val="single"/>
                <w:lang w:val="en-US" w:eastAsia="zh-CN"/>
              </w:rPr>
              <w:t>254329.80</w:t>
            </w:r>
            <w:r>
              <w:rPr>
                <w:rFonts w:hint="eastAsia" w:ascii="宋体" w:hAnsi="宋体" w:eastAsia="宋体"/>
                <w:color w:val="auto"/>
                <w:szCs w:val="21"/>
                <w:highlight w:val="none"/>
                <w:u w:val="single"/>
              </w:rPr>
              <w:t>元</w:t>
            </w:r>
            <w:r>
              <w:rPr>
                <w:rFonts w:hint="eastAsia" w:ascii="宋体" w:hAnsi="宋体" w:eastAsia="宋体"/>
                <w:color w:val="auto"/>
                <w:szCs w:val="21"/>
                <w:highlight w:val="none"/>
              </w:rPr>
              <w:t>（未按招标文件规定的金额填写的，其投标文件将被评标委员会否决）。</w:t>
            </w:r>
          </w:p>
          <w:p>
            <w:pPr>
              <w:keepNext w:val="0"/>
              <w:keepLines w:val="0"/>
              <w:suppressLineNumbers w:val="0"/>
              <w:spacing w:before="0" w:beforeAutospacing="0" w:after="0" w:afterAutospacing="0"/>
              <w:ind w:left="0" w:right="0"/>
              <w:rPr>
                <w:rFonts w:hint="eastAsia" w:ascii="宋体" w:hAnsi="宋体" w:eastAsia="宋体"/>
                <w:color w:val="auto"/>
                <w:szCs w:val="21"/>
                <w:highlight w:val="none"/>
              </w:rPr>
            </w:pPr>
            <w:r>
              <w:rPr>
                <w:rFonts w:hint="eastAsia" w:ascii="宋体" w:hAnsi="宋体" w:eastAsia="宋体"/>
                <w:color w:val="auto"/>
                <w:szCs w:val="21"/>
                <w:highlight w:val="none"/>
              </w:rPr>
              <w:t>本项目暂列金额为</w:t>
            </w:r>
            <w:r>
              <w:rPr>
                <w:rFonts w:hint="eastAsia" w:ascii="宋体" w:hAnsi="宋体" w:eastAsia="宋体" w:cs="Times New Roman"/>
                <w:color w:val="auto"/>
                <w:szCs w:val="21"/>
                <w:highlight w:val="none"/>
                <w:u w:val="single"/>
                <w:lang w:val="en-US" w:eastAsia="zh-CN"/>
              </w:rPr>
              <w:t>￥613737.51元</w:t>
            </w:r>
            <w:r>
              <w:rPr>
                <w:rFonts w:hint="eastAsia" w:ascii="宋体" w:hAnsi="宋体" w:eastAsia="宋体"/>
                <w:color w:val="auto"/>
                <w:szCs w:val="21"/>
                <w:highlight w:val="none"/>
              </w:rPr>
              <w:t>，暂估价为</w:t>
            </w:r>
            <w:r>
              <w:rPr>
                <w:rFonts w:hint="eastAsia" w:ascii="宋体" w:hAnsi="宋体" w:eastAsia="宋体" w:cs="Times New Roman"/>
                <w:color w:val="auto"/>
                <w:szCs w:val="21"/>
                <w:highlight w:val="none"/>
                <w:u w:val="single"/>
                <w:lang w:val="en-US" w:eastAsia="zh-CN"/>
              </w:rPr>
              <w:t>￥150751.00元</w:t>
            </w:r>
            <w:r>
              <w:rPr>
                <w:rFonts w:hint="eastAsia" w:ascii="宋体" w:hAnsi="宋体" w:eastAsia="宋体"/>
                <w:color w:val="auto"/>
                <w:szCs w:val="21"/>
                <w:highlight w:val="none"/>
              </w:rPr>
              <w:t>。（未按招标文件规定的金额填写的，由评标委员会按照招标文件规定的金额进行修正）。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27</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olor w:val="auto"/>
                <w:szCs w:val="22"/>
                <w:highlight w:val="none"/>
              </w:rPr>
            </w:pPr>
            <w:r>
              <w:rPr>
                <w:rFonts w:hint="eastAsia" w:ascii="宋体" w:hAnsi="宋体" w:eastAsia="宋体"/>
                <w:color w:val="auto"/>
                <w:szCs w:val="22"/>
                <w:highlight w:val="none"/>
              </w:rPr>
              <w:t>32</w:t>
            </w:r>
          </w:p>
        </w:tc>
        <w:tc>
          <w:tcPr>
            <w:tcW w:w="1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履约担保</w:t>
            </w:r>
          </w:p>
        </w:tc>
        <w:tc>
          <w:tcPr>
            <w:tcW w:w="7029"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840" w:right="0" w:hanging="840" w:hangingChars="400"/>
              <w:jc w:val="left"/>
              <w:rPr>
                <w:rFonts w:hint="eastAsia" w:ascii="宋体" w:hAnsi="宋体" w:eastAsia="宋体"/>
                <w:color w:val="auto"/>
                <w:szCs w:val="22"/>
                <w:highlight w:val="none"/>
              </w:rPr>
            </w:pPr>
            <w:r>
              <w:rPr>
                <w:rFonts w:hint="eastAsia" w:ascii="宋体" w:hAnsi="宋体" w:eastAsia="宋体"/>
                <w:color w:val="auto"/>
                <w:szCs w:val="22"/>
                <w:highlight w:val="none"/>
              </w:rPr>
              <w:t>■要求。履约担保金额：</w:t>
            </w:r>
            <w:r>
              <w:rPr>
                <w:rFonts w:hint="eastAsia" w:ascii="宋体" w:hAnsi="宋体" w:eastAsia="宋体"/>
                <w:color w:val="auto"/>
                <w:szCs w:val="22"/>
                <w:highlight w:val="none"/>
                <w:u w:val="single"/>
              </w:rPr>
              <w:t>合同价的</w:t>
            </w:r>
            <w:r>
              <w:rPr>
                <w:rFonts w:hint="eastAsia" w:ascii="宋体" w:hAnsi="宋体" w:eastAsia="宋体"/>
                <w:color w:val="auto"/>
                <w:szCs w:val="22"/>
                <w:highlight w:val="none"/>
                <w:u w:val="single"/>
                <w:lang w:val="en-US" w:eastAsia="zh-CN"/>
              </w:rPr>
              <w:t>10</w:t>
            </w:r>
            <w:r>
              <w:rPr>
                <w:rFonts w:hint="eastAsia" w:ascii="宋体" w:hAnsi="宋体" w:eastAsia="宋体"/>
                <w:color w:val="auto"/>
                <w:szCs w:val="22"/>
                <w:highlight w:val="none"/>
                <w:u w:val="single"/>
              </w:rPr>
              <w:t>%</w:t>
            </w:r>
            <w:r>
              <w:rPr>
                <w:rFonts w:hint="eastAsia" w:ascii="宋体" w:hAnsi="宋体" w:eastAsia="宋体"/>
                <w:color w:val="auto"/>
                <w:szCs w:val="22"/>
                <w:highlight w:val="none"/>
              </w:rPr>
              <w:t>。履约担保形式：可采用</w:t>
            </w:r>
            <w:r>
              <w:rPr>
                <w:rFonts w:hint="eastAsia" w:ascii="宋体" w:hAnsi="宋体" w:eastAsia="宋体" w:cs="宋体"/>
                <w:color w:val="auto"/>
                <w:sz w:val="21"/>
                <w:szCs w:val="21"/>
                <w:highlight w:val="none"/>
                <w:u w:val="single"/>
              </w:rPr>
              <w:t>金融机构保函或保证保险</w:t>
            </w:r>
            <w:r>
              <w:rPr>
                <w:rFonts w:hint="eastAsia" w:ascii="宋体" w:hAnsi="宋体" w:eastAsia="宋体" w:cs="宋体"/>
                <w:color w:val="auto"/>
                <w:sz w:val="21"/>
                <w:szCs w:val="21"/>
                <w:highlight w:val="none"/>
                <w:u w:val="single"/>
                <w:lang w:eastAsia="zh-CN"/>
              </w:rPr>
              <w:t>的形式提供</w:t>
            </w:r>
            <w:r>
              <w:rPr>
                <w:rFonts w:hint="eastAsia" w:ascii="宋体" w:hAnsi="宋体" w:eastAsia="宋体" w:cs="宋体"/>
                <w:color w:val="auto"/>
                <w:sz w:val="21"/>
                <w:szCs w:val="21"/>
                <w:highlight w:val="none"/>
                <w:u w:val="single"/>
              </w:rPr>
              <w:t>（具体形式详见合同）</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u w:val="single"/>
              </w:rPr>
              <w:t>该金融机构或保险公司的注册地址须是在中国大陆境内。</w:t>
            </w:r>
          </w:p>
          <w:p>
            <w:pPr>
              <w:keepNext w:val="0"/>
              <w:keepLines w:val="0"/>
              <w:suppressLineNumbers w:val="0"/>
              <w:spacing w:before="0" w:beforeAutospacing="0" w:after="0" w:afterAutospacing="0"/>
              <w:ind w:left="840" w:right="0" w:hanging="840" w:hangingChars="400"/>
              <w:jc w:val="left"/>
              <w:rPr>
                <w:rFonts w:hint="default" w:ascii="宋体" w:hAnsi="宋体" w:eastAsia="宋体"/>
                <w:color w:val="auto"/>
                <w:szCs w:val="22"/>
                <w:highlight w:val="none"/>
              </w:rPr>
            </w:pPr>
            <w:r>
              <w:rPr>
                <w:rFonts w:hint="eastAsia" w:ascii="宋体" w:hAnsi="宋体" w:eastAsia="宋体"/>
                <w:color w:val="auto"/>
                <w:szCs w:val="22"/>
                <w:highlight w:val="none"/>
              </w:rPr>
              <w:t>□不要求。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28</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p>
        </w:tc>
        <w:tc>
          <w:tcPr>
            <w:tcW w:w="1341"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suppressLineNumbers w:val="0"/>
              <w:spacing w:before="0" w:beforeAutospacing="0" w:after="0" w:afterAutospacing="0"/>
              <w:ind w:left="0" w:right="0" w:firstLine="0"/>
              <w:rPr>
                <w:rFonts w:hint="default" w:ascii="宋体" w:hAnsi="宋体"/>
                <w:color w:val="auto"/>
                <w:kern w:val="2"/>
                <w:sz w:val="21"/>
                <w:szCs w:val="22"/>
                <w:highlight w:val="none"/>
                <w:lang w:val="en-US" w:eastAsia="zh-CN"/>
              </w:rPr>
            </w:pPr>
            <w:r>
              <w:rPr>
                <w:rFonts w:hint="eastAsia" w:ascii="宋体" w:hAnsi="宋体"/>
                <w:color w:val="auto"/>
                <w:kern w:val="2"/>
                <w:sz w:val="21"/>
                <w:szCs w:val="22"/>
                <w:highlight w:val="none"/>
                <w:lang w:val="en-US" w:eastAsia="zh-CN"/>
              </w:rPr>
              <w:t>保修期</w:t>
            </w:r>
          </w:p>
        </w:tc>
        <w:tc>
          <w:tcPr>
            <w:tcW w:w="7029"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29</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p>
        </w:tc>
        <w:tc>
          <w:tcPr>
            <w:tcW w:w="1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olor w:val="auto"/>
                <w:szCs w:val="22"/>
                <w:highlight w:val="none"/>
              </w:rPr>
            </w:pPr>
            <w:r>
              <w:rPr>
                <w:rFonts w:hint="eastAsia" w:ascii="宋体" w:hAnsi="宋体" w:eastAsia="宋体"/>
                <w:color w:val="auto"/>
                <w:szCs w:val="22"/>
                <w:highlight w:val="none"/>
              </w:rPr>
              <w:t>评标参考价的下浮率</w:t>
            </w:r>
          </w:p>
        </w:tc>
        <w:tc>
          <w:tcPr>
            <w:tcW w:w="7029"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计算评标参考价的下浮率X从0.5%、1%、1.5%、2%、2.5%、3%、3.5%中随机抽取。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30</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39.1</w:t>
            </w:r>
          </w:p>
        </w:tc>
        <w:tc>
          <w:tcPr>
            <w:tcW w:w="1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2"/>
                <w:highlight w:val="none"/>
              </w:rPr>
            </w:pPr>
            <w:r>
              <w:rPr>
                <w:rFonts w:hint="eastAsia" w:ascii="宋体" w:hAnsi="宋体" w:eastAsia="宋体"/>
                <w:color w:val="auto"/>
                <w:szCs w:val="22"/>
                <w:highlight w:val="none"/>
              </w:rPr>
              <w:t>评标委员会的组建</w:t>
            </w:r>
          </w:p>
        </w:tc>
        <w:tc>
          <w:tcPr>
            <w:tcW w:w="7029"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olor w:val="auto"/>
                <w:szCs w:val="22"/>
                <w:highlight w:val="none"/>
              </w:rPr>
            </w:pPr>
            <w:r>
              <w:rPr>
                <w:rFonts w:hint="eastAsia" w:ascii="宋体" w:hAnsi="宋体" w:eastAsia="宋体"/>
                <w:color w:val="auto"/>
                <w:szCs w:val="22"/>
                <w:highlight w:val="none"/>
              </w:rPr>
              <w:t>■方式一：评标委员会共</w:t>
            </w:r>
            <w:r>
              <w:rPr>
                <w:rFonts w:hint="eastAsia" w:ascii="宋体" w:hAnsi="宋体" w:eastAsia="宋体"/>
                <w:color w:val="auto"/>
                <w:szCs w:val="22"/>
                <w:highlight w:val="none"/>
                <w:u w:val="single"/>
                <w:lang w:val="en-US" w:eastAsia="zh-CN"/>
              </w:rPr>
              <w:t>5</w:t>
            </w:r>
            <w:r>
              <w:rPr>
                <w:rFonts w:hint="eastAsia" w:ascii="宋体" w:hAnsi="宋体" w:eastAsia="宋体"/>
                <w:color w:val="auto"/>
                <w:szCs w:val="22"/>
                <w:highlight w:val="none"/>
              </w:rPr>
              <w:t>人。</w:t>
            </w:r>
          </w:p>
          <w:p>
            <w:pPr>
              <w:keepNext w:val="0"/>
              <w:keepLines w:val="0"/>
              <w:suppressLineNumbers w:val="0"/>
              <w:spacing w:before="0" w:beforeAutospacing="0" w:after="0" w:afterAutospacing="0"/>
              <w:ind w:left="1050" w:right="0" w:hanging="1050" w:hangingChars="500"/>
              <w:rPr>
                <w:rFonts w:hint="eastAsia" w:ascii="宋体" w:hAnsi="宋体" w:eastAsia="宋体"/>
                <w:color w:val="auto"/>
                <w:szCs w:val="22"/>
                <w:highlight w:val="none"/>
              </w:rPr>
            </w:pPr>
            <w:r>
              <w:rPr>
                <w:rFonts w:hint="eastAsia" w:ascii="宋体" w:hAnsi="宋体" w:eastAsia="宋体"/>
                <w:color w:val="auto"/>
                <w:szCs w:val="22"/>
                <w:highlight w:val="none"/>
              </w:rPr>
              <w:t>□方式二：评标委员会共</w:t>
            </w:r>
            <w:r>
              <w:rPr>
                <w:rFonts w:hint="eastAsia" w:ascii="宋体" w:hAnsi="宋体" w:eastAsia="宋体"/>
                <w:color w:val="auto"/>
                <w:szCs w:val="22"/>
                <w:highlight w:val="none"/>
                <w:u w:val="single"/>
                <w:lang w:val="en-US" w:eastAsia="zh-CN"/>
              </w:rPr>
              <w:t>/</w:t>
            </w:r>
            <w:r>
              <w:rPr>
                <w:rFonts w:hint="eastAsia" w:ascii="宋体" w:hAnsi="宋体" w:eastAsia="宋体"/>
                <w:color w:val="auto"/>
                <w:szCs w:val="22"/>
                <w:highlight w:val="none"/>
              </w:rPr>
              <w:t>人，其中招标人代表</w:t>
            </w:r>
            <w:r>
              <w:rPr>
                <w:rFonts w:hint="eastAsia" w:ascii="宋体" w:hAnsi="宋体" w:eastAsia="宋体"/>
                <w:color w:val="auto"/>
                <w:szCs w:val="22"/>
                <w:highlight w:val="none"/>
                <w:u w:val="single"/>
                <w:lang w:val="en-US" w:eastAsia="zh-CN"/>
              </w:rPr>
              <w:t>/</w:t>
            </w:r>
            <w:r>
              <w:rPr>
                <w:rFonts w:hint="eastAsia" w:ascii="宋体" w:hAnsi="宋体" w:eastAsia="宋体"/>
                <w:color w:val="auto"/>
                <w:szCs w:val="22"/>
                <w:highlight w:val="none"/>
              </w:rPr>
              <w:t>人，技术、经济等方面专家</w:t>
            </w:r>
            <w:r>
              <w:rPr>
                <w:rFonts w:hint="eastAsia" w:ascii="宋体" w:hAnsi="宋体" w:eastAsia="宋体"/>
                <w:color w:val="auto"/>
                <w:szCs w:val="22"/>
                <w:highlight w:val="none"/>
                <w:u w:val="single"/>
                <w:lang w:val="en-US" w:eastAsia="zh-CN"/>
              </w:rPr>
              <w:t>/</w:t>
            </w:r>
            <w:r>
              <w:rPr>
                <w:rFonts w:hint="eastAsia" w:ascii="宋体" w:hAnsi="宋体" w:eastAsia="宋体"/>
                <w:color w:val="auto"/>
                <w:szCs w:val="22"/>
                <w:highlight w:val="none"/>
              </w:rPr>
              <w:t>人。</w:t>
            </w:r>
          </w:p>
          <w:p>
            <w:pPr>
              <w:keepNext w:val="0"/>
              <w:keepLines w:val="0"/>
              <w:suppressLineNumbers w:val="0"/>
              <w:spacing w:before="0" w:beforeAutospacing="0" w:after="0" w:afterAutospacing="0"/>
              <w:ind w:left="1050" w:right="0" w:hanging="1050" w:hangingChars="500"/>
              <w:rPr>
                <w:rFonts w:hint="eastAsia" w:ascii="宋体" w:hAnsi="宋体" w:eastAsia="宋体"/>
                <w:color w:val="auto"/>
                <w:szCs w:val="22"/>
                <w:highlight w:val="none"/>
              </w:rPr>
            </w:pPr>
            <w:r>
              <w:rPr>
                <w:rFonts w:hint="eastAsia" w:ascii="宋体" w:hAnsi="宋体" w:eastAsia="宋体"/>
                <w:color w:val="auto"/>
                <w:szCs w:val="22"/>
                <w:highlight w:val="none"/>
              </w:rPr>
              <w:t>评标专家从政府评标专家库随机抽取。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31</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olor w:val="auto"/>
                <w:szCs w:val="22"/>
                <w:highlight w:val="none"/>
              </w:rPr>
            </w:pPr>
          </w:p>
        </w:tc>
        <w:tc>
          <w:tcPr>
            <w:tcW w:w="1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分值权重</w:t>
            </w:r>
          </w:p>
        </w:tc>
        <w:tc>
          <w:tcPr>
            <w:tcW w:w="7029"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olor w:val="auto"/>
                <w:szCs w:val="22"/>
                <w:highlight w:val="none"/>
              </w:rPr>
              <w:t>□</w:t>
            </w:r>
            <w:r>
              <w:rPr>
                <w:rFonts w:hint="eastAsia" w:ascii="宋体" w:hAnsi="宋体" w:eastAsia="宋体" w:cs="宋体"/>
                <w:color w:val="auto"/>
                <w:kern w:val="0"/>
                <w:szCs w:val="21"/>
                <w:highlight w:val="none"/>
              </w:rPr>
              <w:t>两阶段评标法：业绩得分3分，报价得分权重</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%，诚信综合评价得分权重</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注：诚信综合评价得分权重占0-10%，报价得分权重=100-业绩得分-诚信综合评价得分权重。</w:t>
            </w:r>
          </w:p>
          <w:p>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■综合评分法：技术部分（施工组织方案）得分权重</w:t>
            </w:r>
            <w:r>
              <w:rPr>
                <w:rFonts w:hint="eastAsia" w:ascii="宋体" w:hAnsi="宋体" w:eastAsia="宋体" w:cs="宋体"/>
                <w:color w:val="auto"/>
                <w:kern w:val="0"/>
                <w:szCs w:val="21"/>
                <w:highlight w:val="none"/>
                <w:u w:val="single"/>
                <w:lang w:val="en-US" w:eastAsia="zh-CN"/>
              </w:rPr>
              <w:t>5</w:t>
            </w:r>
            <w:r>
              <w:rPr>
                <w:rFonts w:hint="eastAsia" w:ascii="宋体" w:hAnsi="宋体" w:eastAsia="宋体" w:cs="宋体"/>
                <w:color w:val="auto"/>
                <w:kern w:val="0"/>
                <w:szCs w:val="21"/>
                <w:highlight w:val="none"/>
              </w:rPr>
              <w:t>%，技术部分（项目实施能力）得分权重</w:t>
            </w:r>
            <w:r>
              <w:rPr>
                <w:rFonts w:hint="eastAsia" w:ascii="宋体" w:hAnsi="宋体" w:eastAsia="宋体" w:cs="宋体"/>
                <w:color w:val="auto"/>
                <w:kern w:val="0"/>
                <w:szCs w:val="21"/>
                <w:highlight w:val="none"/>
                <w:u w:val="single"/>
                <w:lang w:val="en-US" w:eastAsia="zh-CN"/>
              </w:rPr>
              <w:t>15</w:t>
            </w:r>
            <w:r>
              <w:rPr>
                <w:rFonts w:hint="eastAsia" w:ascii="宋体" w:hAnsi="宋体" w:eastAsia="宋体" w:cs="宋体"/>
                <w:color w:val="auto"/>
                <w:kern w:val="0"/>
                <w:szCs w:val="21"/>
                <w:highlight w:val="none"/>
              </w:rPr>
              <w:t>%，报价得分权重</w:t>
            </w:r>
            <w:r>
              <w:rPr>
                <w:rFonts w:hint="eastAsia" w:ascii="宋体" w:hAnsi="宋体" w:eastAsia="宋体" w:cs="宋体"/>
                <w:color w:val="auto"/>
                <w:kern w:val="0"/>
                <w:szCs w:val="21"/>
                <w:highlight w:val="none"/>
                <w:u w:val="single"/>
                <w:lang w:val="en-US" w:eastAsia="zh-CN"/>
              </w:rPr>
              <w:t>80</w:t>
            </w:r>
            <w:r>
              <w:rPr>
                <w:rFonts w:hint="eastAsia" w:ascii="宋体" w:hAnsi="宋体" w:eastAsia="宋体" w:cs="宋体"/>
                <w:color w:val="auto"/>
                <w:kern w:val="0"/>
                <w:szCs w:val="21"/>
                <w:highlight w:val="none"/>
              </w:rPr>
              <w:t>%，诚信综合评价得分权重</w:t>
            </w:r>
            <w:r>
              <w:rPr>
                <w:rFonts w:hint="eastAsia" w:ascii="宋体" w:hAnsi="宋体" w:eastAsia="宋体" w:cs="宋体"/>
                <w:color w:val="auto"/>
                <w:kern w:val="0"/>
                <w:szCs w:val="21"/>
                <w:highlight w:val="none"/>
                <w:u w:val="single"/>
                <w:lang w:val="en-US" w:eastAsia="zh-CN"/>
              </w:rPr>
              <w:t>0</w:t>
            </w:r>
            <w:r>
              <w:rPr>
                <w:rFonts w:hint="eastAsia" w:ascii="宋体" w:hAnsi="宋体" w:eastAsia="宋体" w:cs="宋体"/>
                <w:color w:val="auto"/>
                <w:kern w:val="0"/>
                <w:szCs w:val="21"/>
                <w:highlight w:val="none"/>
              </w:rPr>
              <w:t>%。</w:t>
            </w:r>
          </w:p>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s="宋体"/>
                <w:color w:val="auto"/>
                <w:kern w:val="0"/>
                <w:szCs w:val="21"/>
                <w:highlight w:val="none"/>
              </w:rPr>
              <w:t>注：特殊性工程、复杂和大型工程，技术部分（施工组织方案）得分权重不少于10%，报价得分权重不少于60%，诚信综合评价得分权重占0%-25%；其他工程，技术部分（施工组织方案）得分权重不少于5%，报价得分权重不少于80%，诚信综合评价得分权重占0-10%。技术部分（项目实施能力）权重=100-技术部分（施工组织方案）得分权重-报价得分权重-诚信综合评价得分权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11"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32</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p>
        </w:tc>
        <w:tc>
          <w:tcPr>
            <w:tcW w:w="1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olor w:val="auto"/>
                <w:szCs w:val="22"/>
                <w:highlight w:val="none"/>
              </w:rPr>
            </w:pPr>
            <w:r>
              <w:rPr>
                <w:rFonts w:hint="eastAsia" w:ascii="宋体" w:hAnsi="宋体" w:eastAsia="宋体"/>
                <w:color w:val="auto"/>
                <w:szCs w:val="22"/>
                <w:highlight w:val="none"/>
              </w:rPr>
              <w:t>技术部分（施工组织方案）、技术部分（项目实施能力）评分汇总方式</w:t>
            </w:r>
          </w:p>
        </w:tc>
        <w:tc>
          <w:tcPr>
            <w:tcW w:w="7029"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840" w:right="0" w:hanging="840" w:hangingChars="4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■方式一：所有评委的分数汇总后去掉一个最高分和一个最低分，剩余分数的算术平均值为投标人的技术部分（施工组织方案）、技术部分（项目实施能力）最终得分。</w:t>
            </w:r>
          </w:p>
          <w:p>
            <w:pPr>
              <w:keepNext w:val="0"/>
              <w:keepLines w:val="0"/>
              <w:suppressLineNumbers w:val="0"/>
              <w:spacing w:before="0" w:beforeAutospacing="0" w:after="0" w:afterAutospacing="0"/>
              <w:ind w:left="840" w:right="0" w:hanging="840" w:hangingChars="400"/>
              <w:rPr>
                <w:rFonts w:hint="eastAsia" w:ascii="宋体" w:hAnsi="宋体" w:eastAsia="宋体"/>
                <w:color w:val="auto"/>
                <w:szCs w:val="22"/>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方式二：所有评委的分数汇总后的算术平均值为投标人的技术部分（施工组织方案）、技术部分（项目实施能力）最终得分。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33</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p>
        </w:tc>
        <w:tc>
          <w:tcPr>
            <w:tcW w:w="1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eastAsia="宋体"/>
                <w:color w:val="auto"/>
                <w:szCs w:val="22"/>
                <w:highlight w:val="none"/>
                <w:lang w:eastAsia="zh-CN"/>
              </w:rPr>
            </w:pPr>
            <w:r>
              <w:rPr>
                <w:rFonts w:hint="eastAsia" w:ascii="宋体" w:hAnsi="宋体" w:eastAsia="宋体"/>
                <w:color w:val="auto"/>
                <w:szCs w:val="22"/>
                <w:highlight w:val="none"/>
              </w:rPr>
              <w:t>企业诚信综合评价计分</w:t>
            </w:r>
            <w:r>
              <w:rPr>
                <w:rFonts w:hint="eastAsia" w:ascii="宋体" w:hAnsi="宋体" w:eastAsia="宋体" w:cs="Times New Roman"/>
                <w:b w:val="0"/>
                <w:color w:val="auto"/>
                <w:kern w:val="2"/>
                <w:sz w:val="21"/>
                <w:szCs w:val="22"/>
                <w:highlight w:val="none"/>
                <w:lang w:val="en-US" w:eastAsia="zh-CN" w:bidi="ar-SA"/>
              </w:rPr>
              <w:t>（本项目不适用）</w:t>
            </w:r>
          </w:p>
        </w:tc>
        <w:tc>
          <w:tcPr>
            <w:tcW w:w="7029"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olor w:val="auto"/>
                <w:szCs w:val="22"/>
                <w:highlight w:val="none"/>
              </w:rPr>
            </w:pPr>
            <w:r>
              <w:rPr>
                <w:rFonts w:hint="eastAsia" w:ascii="宋体" w:hAnsi="宋体" w:eastAsia="宋体"/>
                <w:color w:val="auto"/>
                <w:szCs w:val="22"/>
                <w:highlight w:val="none"/>
              </w:rPr>
              <w:t>本项目的企业诚信综合评价得分，以</w:t>
            </w:r>
            <w:r>
              <w:rPr>
                <w:rFonts w:hint="eastAsia" w:ascii="宋体" w:hAnsi="宋体" w:eastAsia="宋体"/>
                <w:color w:val="auto"/>
                <w:szCs w:val="22"/>
                <w:highlight w:val="none"/>
                <w:u w:val="single"/>
              </w:rPr>
              <w:t>开标当天广州公共资源交易</w:t>
            </w:r>
            <w:r>
              <w:rPr>
                <w:rFonts w:hint="eastAsia" w:ascii="宋体" w:hAnsi="宋体" w:eastAsia="宋体"/>
                <w:color w:val="auto"/>
                <w:szCs w:val="22"/>
                <w:highlight w:val="none"/>
                <w:u w:val="single"/>
                <w:lang w:eastAsia="zh-CN"/>
              </w:rPr>
              <w:t>网站</w:t>
            </w:r>
            <w:r>
              <w:rPr>
                <w:rFonts w:hint="eastAsia" w:ascii="宋体" w:hAnsi="宋体" w:eastAsia="宋体"/>
                <w:color w:val="auto"/>
                <w:szCs w:val="22"/>
                <w:highlight w:val="none"/>
                <w:u w:val="single"/>
              </w:rPr>
              <w:t>公布的得分</w:t>
            </w:r>
            <w:r>
              <w:rPr>
                <w:rFonts w:hint="eastAsia" w:ascii="宋体" w:hAnsi="宋体" w:eastAsia="宋体"/>
                <w:color w:val="auto"/>
                <w:szCs w:val="22"/>
                <w:highlight w:val="none"/>
              </w:rPr>
              <w:t>为准：</w:t>
            </w:r>
          </w:p>
          <w:p>
            <w:pPr>
              <w:keepNext w:val="0"/>
              <w:keepLines w:val="0"/>
              <w:suppressLineNumbers w:val="0"/>
              <w:spacing w:before="0" w:beforeAutospacing="0" w:after="0" w:afterAutospacing="0"/>
              <w:ind w:left="0" w:right="0"/>
              <w:rPr>
                <w:rFonts w:hint="eastAsia" w:ascii="宋体" w:hAnsi="宋体" w:eastAsia="宋体"/>
                <w:color w:val="auto"/>
                <w:szCs w:val="22"/>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olor w:val="auto"/>
                <w:szCs w:val="22"/>
                <w:highlight w:val="none"/>
              </w:rPr>
              <w:t>方式一：广州市园林绿化企业诚信综合评价得分</w:t>
            </w:r>
            <w:r>
              <w:rPr>
                <w:rFonts w:hint="eastAsia" w:ascii="宋体" w:hAnsi="宋体" w:eastAsia="宋体"/>
                <w:color w:val="auto"/>
                <w:szCs w:val="22"/>
                <w:highlight w:val="none"/>
                <w:lang w:eastAsia="zh-CN"/>
              </w:rPr>
              <w:t>。</w:t>
            </w:r>
          </w:p>
          <w:p>
            <w:pPr>
              <w:keepNext w:val="0"/>
              <w:keepLines w:val="0"/>
              <w:suppressLineNumbers w:val="0"/>
              <w:spacing w:before="0" w:beforeAutospacing="0" w:after="0" w:afterAutospacing="0"/>
              <w:ind w:left="0" w:right="0"/>
              <w:rPr>
                <w:rFonts w:hint="eastAsia" w:ascii="宋体" w:hAnsi="宋体" w:eastAsia="宋体"/>
                <w:color w:val="auto"/>
                <w:szCs w:val="22"/>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方式二：</w:t>
            </w:r>
            <w:r>
              <w:rPr>
                <w:rFonts w:hint="eastAsia" w:ascii="宋体" w:hAnsi="宋体" w:eastAsia="宋体"/>
                <w:color w:val="auto"/>
                <w:szCs w:val="22"/>
                <w:highlight w:val="none"/>
              </w:rPr>
              <w:t>广州公共资源</w:t>
            </w:r>
            <w:r>
              <w:rPr>
                <w:rFonts w:hint="eastAsia" w:ascii="宋体" w:hAnsi="宋体" w:eastAsia="宋体"/>
                <w:color w:val="auto"/>
                <w:szCs w:val="22"/>
                <w:highlight w:val="none"/>
                <w:lang w:eastAsia="zh-CN"/>
              </w:rPr>
              <w:t>交易</w:t>
            </w:r>
            <w:r>
              <w:rPr>
                <w:rFonts w:hint="eastAsia" w:ascii="宋体" w:hAnsi="宋体" w:eastAsia="宋体"/>
                <w:color w:val="auto"/>
                <w:szCs w:val="22"/>
                <w:highlight w:val="none"/>
              </w:rPr>
              <w:t>信用评价2.0（园林）得分</w:t>
            </w:r>
            <w:r>
              <w:rPr>
                <w:rFonts w:hint="eastAsia" w:ascii="宋体" w:hAnsi="宋体" w:eastAsia="宋体"/>
                <w:color w:val="auto"/>
                <w:szCs w:val="22"/>
                <w:highlight w:val="none"/>
                <w:lang w:eastAsia="zh-CN"/>
              </w:rPr>
              <w:t>。</w:t>
            </w:r>
          </w:p>
          <w:p>
            <w:pPr>
              <w:keepNext w:val="0"/>
              <w:keepLines w:val="0"/>
              <w:suppressLineNumbers w:val="0"/>
              <w:spacing w:before="0" w:beforeAutospacing="0" w:after="0" w:afterAutospacing="0"/>
              <w:ind w:left="0" w:right="0"/>
              <w:rPr>
                <w:rFonts w:hint="eastAsia" w:ascii="宋体" w:hAnsi="宋体" w:eastAsia="宋体"/>
                <w:color w:val="auto"/>
                <w:szCs w:val="22"/>
                <w:highlight w:val="none"/>
              </w:rPr>
            </w:pPr>
          </w:p>
          <w:p>
            <w:pPr>
              <w:keepNext w:val="0"/>
              <w:keepLines w:val="0"/>
              <w:suppressLineNumbers w:val="0"/>
              <w:spacing w:before="0" w:beforeAutospacing="0" w:after="0" w:afterAutospacing="0"/>
              <w:ind w:left="0" w:right="0"/>
              <w:rPr>
                <w:rFonts w:hint="eastAsia" w:ascii="宋体" w:hAnsi="宋体" w:eastAsia="宋体"/>
                <w:color w:val="auto"/>
                <w:szCs w:val="22"/>
                <w:highlight w:val="none"/>
              </w:rPr>
            </w:pPr>
            <w:r>
              <w:rPr>
                <w:rFonts w:hint="eastAsia" w:ascii="宋体" w:hAnsi="宋体" w:eastAsia="宋体"/>
                <w:color w:val="auto"/>
                <w:szCs w:val="22"/>
                <w:highlight w:val="none"/>
              </w:rPr>
              <w:t>[①同一专业组成联合体的投标人，其企业诚信综合评价排名得分以组成联合体各成员的企业诚信综合评价得分的算术平均值计算。</w:t>
            </w:r>
          </w:p>
          <w:p>
            <w:pPr>
              <w:keepNext w:val="0"/>
              <w:keepLines w:val="0"/>
              <w:suppressLineNumbers w:val="0"/>
              <w:spacing w:before="0" w:beforeAutospacing="0" w:after="0" w:afterAutospacing="0"/>
              <w:ind w:left="0" w:right="0"/>
              <w:rPr>
                <w:rFonts w:hint="eastAsia" w:ascii="宋体" w:hAnsi="宋体" w:eastAsia="宋体"/>
                <w:color w:val="auto"/>
                <w:szCs w:val="22"/>
                <w:highlight w:val="none"/>
              </w:rPr>
            </w:pPr>
            <w:r>
              <w:rPr>
                <w:rFonts w:hint="eastAsia" w:ascii="宋体" w:hAnsi="宋体" w:eastAsia="宋体"/>
                <w:color w:val="auto"/>
                <w:szCs w:val="22"/>
                <w:highlight w:val="none"/>
              </w:rPr>
              <w:t>②不同专业组成联合体的投标人，各投标人诚信综合评价分以最高投标限价中各专业工程的占比作为权重，将其各专业诚信综合评价分加权平均计算。</w:t>
            </w:r>
          </w:p>
          <w:p>
            <w:pPr>
              <w:keepNext w:val="0"/>
              <w:keepLines w:val="0"/>
              <w:suppressLineNumbers w:val="0"/>
              <w:spacing w:before="0" w:beforeAutospacing="0" w:after="0" w:afterAutospacing="0"/>
              <w:ind w:left="0" w:right="0"/>
              <w:rPr>
                <w:rFonts w:hint="eastAsia" w:ascii="宋体" w:hAnsi="宋体" w:eastAsia="宋体"/>
                <w:color w:val="auto"/>
                <w:szCs w:val="22"/>
                <w:highlight w:val="none"/>
              </w:rPr>
            </w:pPr>
            <w:r>
              <w:rPr>
                <w:rFonts w:hint="eastAsia" w:ascii="宋体" w:hAnsi="宋体" w:eastAsia="宋体"/>
                <w:color w:val="auto"/>
                <w:szCs w:val="22"/>
                <w:highlight w:val="none"/>
              </w:rPr>
              <w:t>③已在广州公共资源交易</w:t>
            </w:r>
            <w:r>
              <w:rPr>
                <w:rFonts w:hint="eastAsia" w:ascii="宋体" w:hAnsi="宋体" w:eastAsia="宋体"/>
                <w:color w:val="auto"/>
                <w:szCs w:val="22"/>
                <w:highlight w:val="none"/>
                <w:lang w:eastAsia="zh-CN"/>
              </w:rPr>
              <w:t>平台</w:t>
            </w:r>
            <w:r>
              <w:rPr>
                <w:rFonts w:hint="eastAsia" w:ascii="宋体" w:hAnsi="宋体" w:eastAsia="宋体"/>
                <w:color w:val="auto"/>
                <w:szCs w:val="22"/>
                <w:highlight w:val="none"/>
              </w:rPr>
              <w:t>办理企业信息登记的投标人，如未获广州市园林绿化企业诚信综合评价分的，则该投标人得分为基准分62分；如未获广州公共资源</w:t>
            </w:r>
            <w:r>
              <w:rPr>
                <w:rFonts w:hint="eastAsia" w:ascii="宋体" w:hAnsi="宋体" w:eastAsia="宋体"/>
                <w:color w:val="auto"/>
                <w:szCs w:val="22"/>
                <w:highlight w:val="none"/>
                <w:lang w:eastAsia="zh-CN"/>
              </w:rPr>
              <w:t>交易</w:t>
            </w:r>
            <w:r>
              <w:rPr>
                <w:rFonts w:hint="eastAsia" w:ascii="宋体" w:hAnsi="宋体" w:eastAsia="宋体"/>
                <w:color w:val="auto"/>
                <w:szCs w:val="22"/>
                <w:highlight w:val="none"/>
              </w:rPr>
              <w:t>信用评价2.0（园林）得分的，则该投标人得分为基准分，基准分值以广州公共资源信用评价相关规定为准。]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34</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13.4、13.5.2</w:t>
            </w:r>
          </w:p>
        </w:tc>
        <w:tc>
          <w:tcPr>
            <w:tcW w:w="1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合同价款的调整办法</w:t>
            </w:r>
          </w:p>
        </w:tc>
        <w:tc>
          <w:tcPr>
            <w:tcW w:w="7029"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u w:val="single"/>
              </w:rPr>
            </w:pPr>
            <w:r>
              <w:rPr>
                <w:rFonts w:hint="eastAsia" w:ascii="宋体" w:hAnsi="宋体" w:eastAsia="宋体"/>
                <w:color w:val="auto"/>
                <w:szCs w:val="22"/>
                <w:highlight w:val="none"/>
                <w:u w:val="single"/>
              </w:rPr>
              <w:t xml:space="preserve">按合同相关条款执行。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57" w:type="dxa"/>
            <w:tcBorders>
              <w:top w:val="single" w:color="auto" w:sz="4" w:space="0"/>
              <w:left w:val="doub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35</w:t>
            </w:r>
          </w:p>
        </w:tc>
        <w:tc>
          <w:tcPr>
            <w:tcW w:w="9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olor w:val="auto"/>
                <w:szCs w:val="22"/>
                <w:highlight w:val="none"/>
              </w:rPr>
            </w:pPr>
          </w:p>
        </w:tc>
        <w:tc>
          <w:tcPr>
            <w:tcW w:w="13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olor w:val="auto"/>
                <w:szCs w:val="22"/>
                <w:highlight w:val="none"/>
              </w:rPr>
            </w:pPr>
            <w:r>
              <w:rPr>
                <w:rFonts w:hint="eastAsia" w:ascii="宋体" w:hAnsi="宋体" w:eastAsia="宋体"/>
                <w:color w:val="auto"/>
                <w:szCs w:val="22"/>
                <w:highlight w:val="none"/>
              </w:rPr>
              <w:t>建设工程质量检测管理办法</w:t>
            </w:r>
          </w:p>
        </w:tc>
        <w:tc>
          <w:tcPr>
            <w:tcW w:w="7029" w:type="dxa"/>
            <w:tcBorders>
              <w:top w:val="single" w:color="auto" w:sz="4" w:space="0"/>
              <w:left w:val="single" w:color="auto" w:sz="4" w:space="0"/>
              <w:bottom w:val="single" w:color="auto" w:sz="4" w:space="0"/>
              <w:right w:val="doub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olor w:val="auto"/>
                <w:szCs w:val="22"/>
                <w:highlight w:val="none"/>
                <w:u w:val="single"/>
              </w:rPr>
            </w:pPr>
            <w:r>
              <w:rPr>
                <w:rFonts w:hint="eastAsia" w:ascii="宋体" w:hAnsi="宋体" w:eastAsia="宋体"/>
                <w:color w:val="auto"/>
                <w:szCs w:val="22"/>
                <w:highlight w:val="none"/>
              </w:rPr>
              <w:t>根据《建设工程质量检测管理办法》（建设部令第</w:t>
            </w:r>
            <w:r>
              <w:rPr>
                <w:rFonts w:hint="default" w:ascii="宋体" w:hAnsi="宋体" w:eastAsia="宋体"/>
                <w:color w:val="auto"/>
                <w:szCs w:val="22"/>
                <w:highlight w:val="none"/>
              </w:rPr>
              <w:t>141</w:t>
            </w:r>
            <w:r>
              <w:rPr>
                <w:rFonts w:hint="eastAsia" w:ascii="宋体" w:hAnsi="宋体" w:eastAsia="宋体"/>
                <w:color w:val="auto"/>
                <w:szCs w:val="22"/>
                <w:highlight w:val="none"/>
              </w:rPr>
              <w:t>号）第十二条规定，建设工程质量、安全检测业务应由建设单位依法委托，不列入本次招标范围。招标文件中与此条不一致的，以此条为准。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57" w:type="dxa"/>
            <w:tcBorders>
              <w:top w:val="single" w:color="auto" w:sz="4" w:space="0"/>
              <w:left w:val="double" w:color="auto" w:sz="4" w:space="0"/>
              <w:bottom w:val="doub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36</w:t>
            </w:r>
          </w:p>
        </w:tc>
        <w:tc>
          <w:tcPr>
            <w:tcW w:w="941" w:type="dxa"/>
            <w:tcBorders>
              <w:top w:val="single" w:color="auto" w:sz="4" w:space="0"/>
              <w:left w:val="single" w:color="auto" w:sz="4" w:space="0"/>
              <w:bottom w:val="doub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2"/>
                <w:highlight w:val="none"/>
              </w:rPr>
            </w:pPr>
            <w:r>
              <w:rPr>
                <w:rFonts w:hint="eastAsia" w:ascii="宋体" w:hAnsi="宋体" w:eastAsia="宋体"/>
                <w:color w:val="auto"/>
                <w:szCs w:val="22"/>
                <w:highlight w:val="none"/>
              </w:rPr>
              <w:t>36</w:t>
            </w:r>
          </w:p>
        </w:tc>
        <w:tc>
          <w:tcPr>
            <w:tcW w:w="1341" w:type="dxa"/>
            <w:tcBorders>
              <w:top w:val="single" w:color="auto" w:sz="4" w:space="0"/>
              <w:left w:val="single" w:color="auto" w:sz="4" w:space="0"/>
              <w:bottom w:val="doub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olor w:val="auto"/>
                <w:szCs w:val="22"/>
                <w:highlight w:val="none"/>
              </w:rPr>
            </w:pPr>
            <w:r>
              <w:rPr>
                <w:rFonts w:hint="eastAsia" w:ascii="宋体" w:hAnsi="宋体" w:eastAsia="宋体"/>
                <w:color w:val="auto"/>
                <w:szCs w:val="22"/>
                <w:highlight w:val="none"/>
              </w:rPr>
              <w:t>其他</w:t>
            </w:r>
          </w:p>
        </w:tc>
        <w:tc>
          <w:tcPr>
            <w:tcW w:w="7029" w:type="dxa"/>
            <w:tcBorders>
              <w:top w:val="single" w:color="auto" w:sz="4" w:space="0"/>
              <w:left w:val="single" w:color="auto" w:sz="4" w:space="0"/>
              <w:bottom w:val="double" w:color="auto" w:sz="4" w:space="0"/>
              <w:right w:val="double" w:color="auto" w:sz="4" w:space="0"/>
            </w:tcBorders>
            <w:noWrap w:val="0"/>
            <w:vAlign w:val="center"/>
          </w:tcPr>
          <w:p>
            <w:pPr>
              <w:keepNext w:val="0"/>
              <w:keepLines w:val="0"/>
              <w:suppressLineNumbers w:val="0"/>
              <w:tabs>
                <w:tab w:val="left" w:pos="312"/>
              </w:tabs>
              <w:spacing w:before="0" w:beforeAutospacing="0" w:after="0" w:afterAutospacing="0"/>
              <w:ind w:left="0" w:right="0"/>
              <w:rPr>
                <w:rFonts w:hint="eastAsia" w:ascii="宋体" w:hAnsi="宋体" w:eastAsia="宋体"/>
                <w:color w:val="auto"/>
                <w:szCs w:val="22"/>
                <w:highlight w:val="none"/>
                <w:u w:val="single"/>
              </w:rPr>
            </w:pPr>
            <w:r>
              <w:rPr>
                <w:rFonts w:hint="eastAsia" w:ascii="宋体" w:hAnsi="宋体" w:eastAsia="宋体"/>
                <w:color w:val="auto"/>
                <w:szCs w:val="22"/>
                <w:highlight w:val="none"/>
                <w:u w:val="single"/>
              </w:rPr>
              <w:t>中标人在中标公示结束后，签订合同前，须提供与所递交投标电子标书内容一致且加盖单位公章的纸质文件四套及电子文件二套（不用生成投标书；包括用Microsoft Excel 软件或广州公共资源交易中心提供的投标书制作软件制作的工程量清单报价表和单价分析表，用Microsoft Word软件或广州公共资源交易中心提供的投标书制作软件制作的经济投标文件其他部分；以及与所递交投标电子标书内容一致的投标版计价软件及XML投标版cos文件；补齐遗漏表格及相关内容或者无条件接受招标人给出的表格及相关内容。电子文件介质使用CD-R光盘，所有电子文件不能采用压缩处理）给招标人。</w:t>
            </w:r>
          </w:p>
        </w:tc>
      </w:tr>
    </w:tbl>
    <w:p>
      <w:pPr>
        <w:pStyle w:val="6"/>
        <w:spacing w:before="120"/>
        <w:rPr>
          <w:rFonts w:ascii="宋体" w:eastAsia="宋体"/>
          <w:color w:val="auto"/>
          <w:highlight w:val="none"/>
        </w:rPr>
      </w:pPr>
      <w:bookmarkStart w:id="25" w:name="_二、投标须知修改表"/>
      <w:bookmarkEnd w:id="25"/>
      <w:r>
        <w:rPr>
          <w:rFonts w:hint="eastAsia" w:ascii="宋体" w:eastAsia="宋体"/>
          <w:color w:val="auto"/>
          <w:highlight w:val="none"/>
        </w:rPr>
        <w:br w:type="page"/>
      </w:r>
      <w:bookmarkStart w:id="26" w:name="_Toc5504"/>
      <w:bookmarkStart w:id="27" w:name="_Toc8938"/>
      <w:bookmarkStart w:id="28" w:name="_Toc24309"/>
      <w:bookmarkStart w:id="29" w:name="_Toc4195"/>
      <w:bookmarkStart w:id="30" w:name="_Toc28948"/>
      <w:bookmarkStart w:id="31" w:name="_Toc262229161"/>
      <w:bookmarkStart w:id="32" w:name="_Toc123032756"/>
      <w:bookmarkStart w:id="33" w:name="_Toc26978"/>
      <w:bookmarkStart w:id="34" w:name="_Toc29501"/>
      <w:bookmarkStart w:id="35" w:name="_Toc20294"/>
      <w:bookmarkStart w:id="36" w:name="_Toc29288"/>
      <w:bookmarkStart w:id="37" w:name="_Toc127216670"/>
      <w:bookmarkStart w:id="38" w:name="_Toc111453376"/>
      <w:bookmarkStart w:id="39" w:name="_Toc17504"/>
      <w:r>
        <w:rPr>
          <w:rFonts w:hint="eastAsia" w:ascii="宋体" w:eastAsia="宋体"/>
          <w:color w:val="auto"/>
          <w:highlight w:val="none"/>
        </w:rPr>
        <w:t>二、投标须知</w:t>
      </w:r>
      <w:r>
        <w:rPr>
          <w:rFonts w:hint="eastAsia" w:ascii="宋体" w:hAnsi="宋体" w:eastAsia="宋体" w:cs="Times New Roman"/>
          <w:b/>
          <w:color w:val="auto"/>
          <w:highlight w:val="none"/>
        </w:rPr>
        <w:t>修改</w:t>
      </w:r>
      <w:r>
        <w:rPr>
          <w:rFonts w:hint="eastAsia" w:ascii="宋体" w:eastAsia="宋体"/>
          <w:color w:val="auto"/>
          <w:highlight w:val="none"/>
        </w:rPr>
        <w:t>表</w:t>
      </w:r>
      <w:bookmarkEnd w:id="26"/>
      <w:bookmarkEnd w:id="27"/>
      <w:bookmarkEnd w:id="28"/>
      <w:bookmarkEnd w:id="29"/>
      <w:bookmarkEnd w:id="30"/>
      <w:bookmarkEnd w:id="31"/>
      <w:bookmarkEnd w:id="32"/>
      <w:bookmarkEnd w:id="33"/>
      <w:bookmarkEnd w:id="34"/>
      <w:bookmarkEnd w:id="35"/>
      <w:bookmarkEnd w:id="36"/>
      <w:bookmarkEnd w:id="37"/>
      <w:bookmarkEnd w:id="38"/>
      <w:bookmarkEnd w:id="39"/>
    </w:p>
    <w:p>
      <w:pPr>
        <w:pStyle w:val="17"/>
        <w:spacing w:line="360" w:lineRule="auto"/>
        <w:ind w:firstLine="0"/>
        <w:rPr>
          <w:rFonts w:ascii="宋体" w:hAnsi="宋体"/>
          <w:b/>
          <w:color w:val="auto"/>
          <w:szCs w:val="21"/>
          <w:highlight w:val="none"/>
        </w:rPr>
      </w:pPr>
      <w:r>
        <w:rPr>
          <w:rFonts w:hint="eastAsia" w:ascii="宋体" w:hAnsi="宋体"/>
          <w:b/>
          <w:color w:val="auto"/>
          <w:szCs w:val="21"/>
          <w:highlight w:val="none"/>
        </w:rPr>
        <w:t>声明：本投标须知使用GZYLZB2022-1招标文件范本的投标须知通用条款，与该通用条款不同之处，均在本表中列明，修改之处均以下划线标明，并以现文为准，原文不再有效。没有在本表中列明的条款，以原文为准。本招标文件中不再转录投标须知通用条款，请投标人自行到广州市林业和园林局网站（网址：http://lyylj.gz.gov.cn/）下载查阅。</w:t>
      </w:r>
    </w:p>
    <w:p>
      <w:pPr>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条款号：</w:t>
      </w:r>
      <w:r>
        <w:rPr>
          <w:rFonts w:hint="eastAsia" w:ascii="宋体" w:hAnsi="宋体" w:eastAsia="宋体" w:cs="宋体"/>
          <w:b/>
          <w:color w:val="auto"/>
          <w:szCs w:val="21"/>
          <w:highlight w:val="none"/>
          <w:lang w:val="en-US" w:eastAsia="zh-CN"/>
        </w:rPr>
        <w:t>5.1</w:t>
      </w: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修改类型：</w:t>
      </w:r>
      <w:r>
        <w:rPr>
          <w:rFonts w:hint="eastAsia" w:ascii="宋体" w:hAnsi="宋体" w:eastAsia="宋体" w:cs="宋体"/>
          <w:b/>
          <w:color w:val="auto"/>
          <w:szCs w:val="21"/>
          <w:highlight w:val="none"/>
          <w:lang w:val="en-US" w:eastAsia="zh-CN"/>
        </w:rPr>
        <w:t>修改</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 w:val="21"/>
          <w:szCs w:val="21"/>
          <w:highlight w:val="none"/>
        </w:rPr>
        <w:t>5.1 投标人应按本投标须知前附表第16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4" w:space="0"/>
        </w:pBdr>
        <w:spacing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
          <w:color w:val="auto"/>
          <w:szCs w:val="21"/>
          <w:highlight w:val="none"/>
          <w:lang w:val="en-US" w:eastAsia="zh-CN"/>
        </w:rPr>
        <w:t>现文：</w:t>
      </w:r>
      <w:r>
        <w:rPr>
          <w:rFonts w:hint="eastAsia" w:ascii="宋体" w:hAnsi="宋体" w:eastAsia="宋体" w:cs="宋体"/>
          <w:bCs/>
          <w:color w:val="auto"/>
          <w:sz w:val="21"/>
          <w:szCs w:val="21"/>
          <w:highlight w:val="none"/>
        </w:rPr>
        <w:t>5.1 投标人应按本投标须知前附表第16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eastAsia="宋体" w:cs="宋体"/>
          <w:bCs/>
          <w:color w:val="auto"/>
          <w:sz w:val="21"/>
          <w:szCs w:val="21"/>
          <w:highlight w:val="none"/>
          <w:u w:val="single"/>
        </w:rPr>
        <w:t>投标人不进行踏勘的，视为已熟知现场条件，自行承担相关风险</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rPr>
        <w:t>一旦中标，这种考察即被认为其结果已在中标文件中得到充分反映。考察现场的费用由投标人自己承担。</w:t>
      </w:r>
    </w:p>
    <w:p>
      <w:pPr>
        <w:pBdr>
          <w:top w:val="single" w:color="auto" w:sz="4" w:space="0"/>
        </w:pBdr>
        <w:spacing w:line="48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条款号：8.1                                                        修改类型：修改</w:t>
      </w:r>
    </w:p>
    <w:p>
      <w:pPr>
        <w:pBdr>
          <w:top w:val="single" w:color="auto" w:sz="4" w:space="0"/>
        </w:pBdr>
        <w:spacing w:line="360" w:lineRule="auto"/>
        <w:ind w:firstLine="422" w:firstLineChars="200"/>
        <w:rPr>
          <w:rFonts w:hint="eastAsia" w:ascii="宋体" w:hAnsi="宋体" w:eastAsia="宋体" w:cs="宋体"/>
          <w:bCs/>
          <w:color w:val="auto"/>
          <w:szCs w:val="21"/>
          <w:highlight w:val="none"/>
          <w:lang w:eastAsia="zh-CN"/>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8.1 招标答疑采用网上答疑方式。投标人若对招标文件（包括招标图纸、清单、最高投标限价）有疑问的，可在规定的时间内通过广州公共资源交易网站凭密码进入提问区域将问题提交给招标人或招标代理机构，提交问题时一律不得署名。</w:t>
      </w:r>
    </w:p>
    <w:p>
      <w:pPr>
        <w:pBdr>
          <w:top w:val="single" w:color="auto" w:sz="4" w:space="0"/>
        </w:pBd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网上答疑的具体操作详见交易平台发布的相关操作指引。</w:t>
      </w:r>
    </w:p>
    <w:p>
      <w:pPr>
        <w:pStyle w:val="17"/>
        <w:spacing w:after="0" w:line="360" w:lineRule="auto"/>
        <w:ind w:firstLine="402" w:firstLineChars="200"/>
        <w:rPr>
          <w:rFonts w:hint="eastAsia" w:ascii="宋体" w:hAnsi="宋体" w:cs="宋体"/>
          <w:color w:val="auto"/>
          <w:sz w:val="21"/>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Cs/>
          <w:color w:val="auto"/>
          <w:szCs w:val="21"/>
          <w:highlight w:val="none"/>
        </w:rPr>
        <w:t>：8.1</w:t>
      </w:r>
      <w:r>
        <w:rPr>
          <w:rFonts w:hint="eastAsia" w:ascii="宋体" w:hAnsi="宋体" w:eastAsia="宋体" w:cs="宋体"/>
          <w:bCs/>
          <w:color w:val="auto"/>
          <w:sz w:val="21"/>
          <w:szCs w:val="21"/>
          <w:highlight w:val="none"/>
        </w:rPr>
        <w:t xml:space="preserve"> </w:t>
      </w:r>
      <w:r>
        <w:rPr>
          <w:rFonts w:hint="eastAsia" w:ascii="宋体" w:hAnsi="宋体" w:cs="宋体"/>
          <w:color w:val="auto"/>
          <w:sz w:val="21"/>
          <w:szCs w:val="21"/>
          <w:highlight w:val="none"/>
        </w:rPr>
        <w:t>招标答疑采用网上答疑方式。投标人若对招标文件（包括招标图纸、清单、最高投标限价）有疑问的，可在规定的时间内通过广州公共资源交易中心网站凭密码进入提问区域将问题提交给招标人或招标代理机构，提交问题时一律不得署名。</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kern w:val="0"/>
          <w:sz w:val="21"/>
          <w:szCs w:val="21"/>
          <w:highlight w:val="none"/>
          <w:u w:val="single"/>
          <w:lang w:val="en-US" w:eastAsia="zh-CN" w:bidi="ar-SA"/>
        </w:rPr>
        <w:t>网上答疑的操作指南为：登陆广州公共资源交易中心网站→进入“建设工程”交易业务→进入“网上答疑”专区→通过项目编号或名称找到所需的项目→在上述的答疑时间内点击“提问” →进入到提问区域→无记名或匿名提出问题以及查看所有的问题。</w:t>
      </w:r>
    </w:p>
    <w:p>
      <w:pPr>
        <w:pBdr>
          <w:top w:val="single" w:color="auto" w:sz="4" w:space="0"/>
        </w:pBdr>
        <w:spacing w:line="480" w:lineRule="auto"/>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条款号：11.2                                                       修改类型：修改</w:t>
      </w:r>
    </w:p>
    <w:p>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11.2</w:t>
      </w:r>
      <w:r>
        <w:rPr>
          <w:rFonts w:hint="eastAsia" w:ascii="宋体" w:hAnsi="宋体" w:eastAsia="宋体" w:cs="宋体"/>
          <w:bCs/>
          <w:color w:val="auto"/>
          <w:szCs w:val="21"/>
          <w:highlight w:val="none"/>
        </w:rPr>
        <w:t>资格审查文件主要包括的内容：</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11.2.1法定代表人证明书，如投标文件为委托代理人签署应同时附上法定代表人证明书和法定代表人授权书；</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11.2.2</w:t>
      </w:r>
      <w:r>
        <w:rPr>
          <w:rFonts w:hint="eastAsia" w:ascii="宋体" w:hAnsi="宋体" w:eastAsia="宋体" w:cs="宋体"/>
          <w:color w:val="auto"/>
          <w:szCs w:val="21"/>
          <w:highlight w:val="none"/>
        </w:rPr>
        <w:t>工商行政管理部门核发的</w:t>
      </w:r>
      <w:r>
        <w:rPr>
          <w:rFonts w:hint="eastAsia" w:ascii="宋体" w:hAnsi="宋体" w:eastAsia="宋体" w:cs="宋体"/>
          <w:bCs/>
          <w:color w:val="auto"/>
          <w:szCs w:val="21"/>
          <w:highlight w:val="none"/>
        </w:rPr>
        <w:t>营业执照；</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11.2.3项目负责人（按招标公告要求和网上投标登记时选择拟投标的项目负责人）</w:t>
      </w:r>
      <w:r>
        <w:rPr>
          <w:rFonts w:hint="eastAsia" w:ascii="宋体" w:hAnsi="宋体" w:eastAsia="宋体" w:cs="宋体"/>
          <w:color w:val="auto"/>
          <w:kern w:val="0"/>
          <w:szCs w:val="21"/>
          <w:highlight w:val="none"/>
        </w:rPr>
        <w:t>；</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11.2.4用于资格审查的业绩（设置业绩要求时选择此项，投标人选择用于资格审查的业绩须用本企业的CA数字证书对生成的内容进行签章）；</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11.2.5</w:t>
      </w:r>
      <w:r>
        <w:rPr>
          <w:rFonts w:hint="eastAsia" w:ascii="宋体" w:hAnsi="宋体" w:eastAsia="宋体" w:cs="宋体"/>
          <w:color w:val="auto"/>
          <w:szCs w:val="21"/>
          <w:highlight w:val="none"/>
        </w:rPr>
        <w:t>专职安全人员须具有在有效期内的安全生产考核合格证书（C类），或能够提供广东省建筑施工企业管理人员安全生产考核信息系统安全生产管理人员证书信息的打印页</w:t>
      </w:r>
      <w:r>
        <w:rPr>
          <w:rFonts w:hint="eastAsia" w:ascii="宋体" w:hAnsi="宋体" w:eastAsia="宋体" w:cs="宋体"/>
          <w:bCs/>
          <w:color w:val="auto"/>
          <w:szCs w:val="21"/>
          <w:highlight w:val="none"/>
        </w:rPr>
        <w:t>（按网上投标登记时选择拟派专职安全员）；</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11.2.6</w:t>
      </w:r>
      <w:r>
        <w:rPr>
          <w:rFonts w:hint="eastAsia" w:ascii="宋体" w:hAnsi="宋体" w:eastAsia="宋体" w:cs="宋体"/>
          <w:color w:val="auto"/>
          <w:szCs w:val="21"/>
          <w:highlight w:val="none"/>
        </w:rPr>
        <w:t>投标人按照规定的格式及内容要求签署的《投标人声明》（格式见第四章）；</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11.2.7列明主办单位的联合体工作协议（采用联合体投标时需递交，投标人拟任本工程项目负责人应为联合体主办方企业信息登记中的在册人员，联合体工作协议应明确约定各方拟承担的工作和责任）；</w:t>
      </w:r>
    </w:p>
    <w:p>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注：资格审查内容的11.2.2至11.2.5项</w:t>
      </w:r>
      <w:r>
        <w:rPr>
          <w:rFonts w:hint="eastAsia" w:ascii="宋体" w:hAnsi="宋体" w:eastAsia="宋体" w:cs="宋体"/>
          <w:color w:val="auto"/>
          <w:szCs w:val="21"/>
          <w:highlight w:val="none"/>
        </w:rPr>
        <w:t>（除广东省建筑施工企业管理人员安全生产考核信息系统安全生产管理人员证书信息的打印页、《信息公开证明》打印页外）的资料取自投标申请人在广州公共资源交易中心企业库、广州公共资源交易中心城市园林绿化企业工程业绩库中的资料，广州公共资源交易中心企业库、广州公共资源交易中心城市园林绿化企业工程业绩库中该部分信息将被视为投标申请人递交的资格审查资料的一部分，</w:t>
      </w:r>
      <w:r>
        <w:rPr>
          <w:rFonts w:hint="eastAsia" w:ascii="宋体" w:hAnsi="宋体" w:eastAsia="宋体" w:cs="宋体"/>
          <w:bCs/>
          <w:color w:val="auto"/>
          <w:szCs w:val="21"/>
          <w:highlight w:val="none"/>
        </w:rPr>
        <w:t>资格审查文件不需另行提交</w:t>
      </w:r>
      <w:r>
        <w:rPr>
          <w:rFonts w:hint="eastAsia" w:ascii="宋体" w:hAnsi="宋体" w:eastAsia="宋体" w:cs="宋体"/>
          <w:color w:val="auto"/>
          <w:szCs w:val="21"/>
          <w:highlight w:val="none"/>
        </w:rPr>
        <w:t>。</w:t>
      </w:r>
    </w:p>
    <w:p>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11.2</w:t>
      </w:r>
      <w:r>
        <w:rPr>
          <w:rFonts w:hint="eastAsia" w:ascii="宋体" w:hAnsi="宋体" w:eastAsia="宋体" w:cs="宋体"/>
          <w:bCs/>
          <w:color w:val="auto"/>
          <w:szCs w:val="21"/>
          <w:highlight w:val="none"/>
        </w:rPr>
        <w:t>资格审查文件主要包括的内容：</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11.2.1法定代表人证明书，如投标文件为委托代理人签署应同时附上法定代表人证明书和法定代表人授权书；</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11.2.2</w:t>
      </w:r>
      <w:r>
        <w:rPr>
          <w:rFonts w:hint="eastAsia" w:ascii="宋体" w:hAnsi="宋体" w:eastAsia="宋体" w:cs="宋体"/>
          <w:color w:val="auto"/>
          <w:szCs w:val="21"/>
          <w:highlight w:val="none"/>
        </w:rPr>
        <w:t>工商行政管理部门核发的</w:t>
      </w:r>
      <w:r>
        <w:rPr>
          <w:rFonts w:hint="eastAsia" w:ascii="宋体" w:hAnsi="宋体" w:eastAsia="宋体" w:cs="宋体"/>
          <w:bCs/>
          <w:color w:val="auto"/>
          <w:szCs w:val="21"/>
          <w:highlight w:val="none"/>
        </w:rPr>
        <w:t>营业执照；</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11.2.3项目负责人（按招标公告要求和网上投标登记时选择拟投标的项目负责人）</w:t>
      </w:r>
      <w:r>
        <w:rPr>
          <w:rFonts w:hint="eastAsia" w:ascii="宋体" w:hAnsi="宋体" w:eastAsia="宋体" w:cs="宋体"/>
          <w:color w:val="auto"/>
          <w:kern w:val="0"/>
          <w:szCs w:val="21"/>
          <w:highlight w:val="none"/>
        </w:rPr>
        <w:t>；</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11.2.4用于资格审查的业绩（设置业绩要求时选择此项，投标人选择用于资格审查的业绩须用本企业的CA数字证书对生成的内容进行签章）；</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11.2.5</w:t>
      </w:r>
      <w:r>
        <w:rPr>
          <w:rFonts w:ascii="微软雅黑" w:hAnsi="微软雅黑" w:eastAsia="微软雅黑" w:cs="微软雅黑"/>
          <w:i w:val="0"/>
          <w:iCs w:val="0"/>
          <w:caps w:val="0"/>
          <w:color w:val="333333"/>
          <w:spacing w:val="0"/>
          <w:sz w:val="21"/>
          <w:szCs w:val="21"/>
          <w:shd w:val="clear" w:fill="FFFFFF"/>
        </w:rPr>
        <w:t>专职安全员须具有在有效期内的安全生产考核合格证书（C类）或建筑施工企业专职安全生产管理人员安全生产考核合格证书（C3）</w:t>
      </w:r>
      <w:r>
        <w:rPr>
          <w:rFonts w:hint="eastAsia" w:ascii="宋体" w:hAnsi="宋体" w:eastAsia="宋体" w:cs="宋体"/>
          <w:bCs/>
          <w:color w:val="auto"/>
          <w:szCs w:val="21"/>
          <w:highlight w:val="none"/>
        </w:rPr>
        <w:t>（按网上投标登记时选择拟派专职安全员）；</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11.2.6投标人按照规定的格式及内容要求签署的《投标人声明》（格式见第四章）；</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11.2.7关于联合体投标：</w:t>
      </w:r>
      <w:r>
        <w:rPr>
          <w:rFonts w:hint="eastAsia" w:ascii="宋体" w:hAnsi="宋体" w:eastAsia="宋体" w:cs="宋体"/>
          <w:bCs/>
          <w:color w:val="auto"/>
          <w:szCs w:val="21"/>
          <w:highlight w:val="none"/>
          <w:u w:val="single"/>
        </w:rPr>
        <w:t>本项目</w:t>
      </w:r>
      <w:r>
        <w:rPr>
          <w:rFonts w:hint="eastAsia" w:ascii="宋体" w:hAnsi="宋体" w:eastAsia="宋体" w:cs="宋体"/>
          <w:bCs/>
          <w:color w:val="auto"/>
          <w:szCs w:val="21"/>
          <w:highlight w:val="none"/>
          <w:u w:val="single"/>
          <w:lang w:val="en-US" w:eastAsia="zh-CN"/>
        </w:rPr>
        <w:t>不</w:t>
      </w:r>
      <w:r>
        <w:rPr>
          <w:rFonts w:hint="eastAsia" w:ascii="宋体" w:hAnsi="宋体" w:eastAsia="宋体" w:cs="宋体"/>
          <w:bCs/>
          <w:color w:val="auto"/>
          <w:szCs w:val="21"/>
          <w:highlight w:val="none"/>
          <w:u w:val="single"/>
        </w:rPr>
        <w:t>接受联合体投标</w:t>
      </w:r>
      <w:r>
        <w:rPr>
          <w:rFonts w:hint="eastAsia" w:ascii="宋体" w:hAnsi="宋体" w:eastAsia="宋体" w:cs="宋体"/>
          <w:bCs/>
          <w:color w:val="auto"/>
          <w:szCs w:val="21"/>
          <w:highlight w:val="none"/>
        </w:rPr>
        <w:t>。</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11.2.8未被列入国家、省、市失信联合惩戒名单，或未因失信行为被本项目所在地行政主管部门作出限制参与工程建设项目投标的决定。</w:t>
      </w:r>
    </w:p>
    <w:p>
      <w:pPr>
        <w:pBdr>
          <w:bottom w:val="single" w:color="auto" w:sz="4" w:space="0"/>
        </w:pBdr>
        <w:spacing w:line="360" w:lineRule="auto"/>
        <w:ind w:firstLine="420" w:firstLineChars="200"/>
        <w:rPr>
          <w:rFonts w:hint="default"/>
          <w:color w:val="auto"/>
          <w:highlight w:val="none"/>
          <w:lang w:val="en-US" w:eastAsia="zh-CN"/>
        </w:rPr>
      </w:pPr>
      <w:r>
        <w:rPr>
          <w:rFonts w:hint="eastAsia" w:ascii="宋体" w:hAnsi="宋体" w:eastAsia="宋体" w:cs="宋体"/>
          <w:bCs/>
          <w:color w:val="auto"/>
          <w:szCs w:val="21"/>
          <w:highlight w:val="none"/>
        </w:rPr>
        <w:t>注：资格审查内容的11.2.2至11.2.5项</w:t>
      </w:r>
      <w:r>
        <w:rPr>
          <w:rFonts w:hint="eastAsia" w:ascii="宋体" w:hAnsi="宋体" w:eastAsia="宋体" w:cs="宋体"/>
          <w:color w:val="auto"/>
          <w:szCs w:val="21"/>
          <w:highlight w:val="none"/>
        </w:rPr>
        <w:t>（除广东省建筑施工企业管理人员安全生产考核信息系统安全生产管理人员证书信息的打印页、《信息公开证明》打印页外）的资料取自投标申请人在广州公共资源交易中心企业库、广州公共资源交易中心城市园林绿化企业工程业绩库中的资料，广州公共资源交易中心企业库、广州公共资源交易中心城市园林绿化企业工程业绩库中该部分信息将被视为投标申请人递交的资格审查资料的一部分，</w:t>
      </w:r>
      <w:r>
        <w:rPr>
          <w:rFonts w:hint="eastAsia" w:ascii="宋体" w:hAnsi="宋体" w:eastAsia="宋体" w:cs="宋体"/>
          <w:bCs/>
          <w:color w:val="auto"/>
          <w:szCs w:val="21"/>
          <w:highlight w:val="none"/>
        </w:rPr>
        <w:t>资格审查文件不需另行提交。</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条款号：11.3                                                        修改类型：修改</w:t>
      </w:r>
    </w:p>
    <w:p>
      <w:pPr>
        <w:spacing w:line="360" w:lineRule="auto"/>
        <w:ind w:firstLine="422" w:firstLineChars="200"/>
        <w:rPr>
          <w:rFonts w:hint="eastAsia" w:ascii="宋体" w:hAnsi="宋体" w:eastAsia="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bCs/>
          <w:color w:val="auto"/>
          <w:szCs w:val="21"/>
          <w:highlight w:val="none"/>
        </w:rPr>
        <w:t>11.3技术部分（施工组织方案）文件（办法二可选）：</w:t>
      </w:r>
    </w:p>
    <w:p>
      <w:pPr>
        <w:spacing w:line="360" w:lineRule="auto"/>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技术部分（施工组织方案）文件评审采用“暗标形式”，文件中不得出现名称、印章、商标、投标金额等记认符号（或使人辨认出投标人或其专业技术人员的身份）或出现涉及人员姓名、简历等暴露投标人身份的内容。技术部分（施工组织方案）文件投标文件应包含但不限于一下内容：</w:t>
      </w:r>
    </w:p>
    <w:p>
      <w:pPr>
        <w:numPr>
          <w:ilvl w:val="0"/>
          <w:numId w:val="1"/>
        </w:numPr>
        <w:spacing w:line="360" w:lineRule="auto"/>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技术部分（施工组织方案）文件以A4（210mm*297mm）规格编排；</w:t>
      </w:r>
    </w:p>
    <w:p>
      <w:pPr>
        <w:numPr>
          <w:ilvl w:val="0"/>
          <w:numId w:val="1"/>
        </w:numPr>
        <w:spacing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技术部分（施工组织方案）文件页数最多不超过</w:t>
      </w:r>
      <w:r>
        <w:rPr>
          <w:rFonts w:hint="eastAsia" w:ascii="宋体" w:hAnsi="宋体" w:eastAsia="宋体"/>
          <w:bCs/>
          <w:color w:val="auto"/>
          <w:szCs w:val="21"/>
          <w:highlight w:val="none"/>
          <w:u w:val="single"/>
        </w:rPr>
        <w:t xml:space="preserve">   </w:t>
      </w:r>
      <w:r>
        <w:rPr>
          <w:rFonts w:hint="eastAsia" w:ascii="宋体" w:hAnsi="宋体" w:eastAsia="宋体"/>
          <w:bCs/>
          <w:color w:val="auto"/>
          <w:szCs w:val="21"/>
          <w:highlight w:val="none"/>
        </w:rPr>
        <w:t>页（</w:t>
      </w:r>
      <w:r>
        <w:rPr>
          <w:rFonts w:hint="eastAsia" w:ascii="宋体" w:hAnsi="宋体" w:eastAsia="宋体"/>
          <w:bCs/>
          <w:color w:val="auto"/>
          <w:szCs w:val="21"/>
          <w:highlight w:val="none"/>
          <w:u w:val="single"/>
        </w:rPr>
        <w:t>50</w:t>
      </w:r>
      <w:r>
        <w:rPr>
          <w:rFonts w:hint="eastAsia" w:ascii="宋体" w:hAnsi="宋体" w:eastAsia="宋体"/>
          <w:bCs/>
          <w:color w:val="auto"/>
          <w:szCs w:val="21"/>
          <w:highlight w:val="none"/>
        </w:rPr>
        <w:t>页，不包括封面及目录页）；</w:t>
      </w:r>
    </w:p>
    <w:p>
      <w:pPr>
        <w:numPr>
          <w:ilvl w:val="0"/>
          <w:numId w:val="1"/>
        </w:numPr>
        <w:spacing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技术部分（施工组织方案）文件正文内容：</w:t>
      </w:r>
    </w:p>
    <w:p>
      <w:pPr>
        <w:spacing w:line="360" w:lineRule="auto"/>
        <w:ind w:left="420" w:leftChars="200"/>
        <w:rPr>
          <w:rFonts w:hint="eastAsia" w:ascii="宋体" w:hAnsi="宋体" w:eastAsia="宋体"/>
          <w:bCs/>
          <w:color w:val="auto"/>
          <w:szCs w:val="21"/>
          <w:highlight w:val="none"/>
        </w:rPr>
      </w:pPr>
      <w:r>
        <w:rPr>
          <w:rFonts w:hint="eastAsia" w:ascii="宋体" w:hAnsi="宋体" w:eastAsia="宋体"/>
          <w:bCs/>
          <w:color w:val="auto"/>
          <w:szCs w:val="21"/>
          <w:highlight w:val="none"/>
        </w:rPr>
        <w:t xml:space="preserve">  ①封面：写明项目名称、编制年月；</w:t>
      </w:r>
    </w:p>
    <w:p>
      <w:pPr>
        <w:spacing w:line="360" w:lineRule="auto"/>
        <w:ind w:left="420" w:leftChars="200"/>
        <w:rPr>
          <w:rFonts w:hint="eastAsia" w:ascii="宋体" w:hAnsi="宋体" w:eastAsia="宋体"/>
          <w:bCs/>
          <w:color w:val="auto"/>
          <w:szCs w:val="21"/>
          <w:highlight w:val="none"/>
        </w:rPr>
      </w:pPr>
      <w:r>
        <w:rPr>
          <w:rFonts w:hint="eastAsia" w:ascii="宋体" w:hAnsi="宋体" w:eastAsia="宋体"/>
          <w:bCs/>
          <w:color w:val="auto"/>
          <w:szCs w:val="21"/>
          <w:highlight w:val="none"/>
        </w:rPr>
        <w:t xml:space="preserve">  ②目录；</w:t>
      </w:r>
    </w:p>
    <w:p>
      <w:pPr>
        <w:spacing w:line="360" w:lineRule="auto"/>
        <w:ind w:left="420" w:leftChars="200"/>
        <w:rPr>
          <w:rFonts w:hint="eastAsia" w:ascii="宋体" w:hAnsi="宋体" w:eastAsia="宋体"/>
          <w:bCs/>
          <w:color w:val="auto"/>
          <w:szCs w:val="21"/>
          <w:highlight w:val="none"/>
        </w:rPr>
      </w:pPr>
      <w:r>
        <w:rPr>
          <w:rFonts w:hint="eastAsia" w:ascii="宋体" w:hAnsi="宋体" w:eastAsia="宋体"/>
          <w:bCs/>
          <w:color w:val="auto"/>
          <w:szCs w:val="21"/>
          <w:highlight w:val="none"/>
        </w:rPr>
        <w:t xml:space="preserve">  ③概况；</w:t>
      </w:r>
    </w:p>
    <w:p>
      <w:pPr>
        <w:spacing w:line="360" w:lineRule="auto"/>
        <w:ind w:left="420" w:leftChars="200"/>
        <w:rPr>
          <w:rFonts w:hint="eastAsia" w:ascii="宋体" w:hAnsi="宋体" w:eastAsia="宋体"/>
          <w:bCs/>
          <w:color w:val="auto"/>
          <w:szCs w:val="21"/>
          <w:highlight w:val="none"/>
        </w:rPr>
      </w:pPr>
      <w:r>
        <w:rPr>
          <w:rFonts w:hint="eastAsia" w:ascii="宋体" w:hAnsi="宋体" w:eastAsia="宋体"/>
          <w:bCs/>
          <w:color w:val="auto"/>
          <w:szCs w:val="21"/>
          <w:highlight w:val="none"/>
        </w:rPr>
        <w:t xml:space="preserve">  ④工作目标与组织架构；</w:t>
      </w:r>
    </w:p>
    <w:p>
      <w:pPr>
        <w:spacing w:line="360" w:lineRule="auto"/>
        <w:ind w:left="420" w:leftChars="200"/>
        <w:rPr>
          <w:rFonts w:hint="eastAsia" w:ascii="宋体" w:hAnsi="宋体" w:eastAsia="宋体"/>
          <w:bCs/>
          <w:color w:val="auto"/>
          <w:szCs w:val="21"/>
          <w:highlight w:val="none"/>
        </w:rPr>
      </w:pPr>
      <w:r>
        <w:rPr>
          <w:rFonts w:hint="eastAsia" w:ascii="宋体" w:hAnsi="宋体" w:eastAsia="宋体"/>
          <w:bCs/>
          <w:color w:val="auto"/>
          <w:szCs w:val="21"/>
          <w:highlight w:val="none"/>
        </w:rPr>
        <w:t xml:space="preserve">  ⑤现状调研与分析；</w:t>
      </w:r>
    </w:p>
    <w:p>
      <w:pPr>
        <w:spacing w:line="360" w:lineRule="auto"/>
        <w:ind w:left="420" w:leftChars="200"/>
        <w:rPr>
          <w:rFonts w:hint="eastAsia" w:ascii="宋体" w:hAnsi="宋体" w:eastAsia="宋体"/>
          <w:bCs/>
          <w:color w:val="auto"/>
          <w:szCs w:val="21"/>
          <w:highlight w:val="none"/>
        </w:rPr>
      </w:pPr>
      <w:r>
        <w:rPr>
          <w:rFonts w:hint="eastAsia" w:ascii="宋体" w:hAnsi="宋体" w:eastAsia="宋体"/>
          <w:bCs/>
          <w:color w:val="auto"/>
          <w:szCs w:val="21"/>
          <w:highlight w:val="none"/>
        </w:rPr>
        <w:t xml:space="preserve">  ⑥实施方案；</w:t>
      </w:r>
    </w:p>
    <w:p>
      <w:pPr>
        <w:spacing w:line="360" w:lineRule="auto"/>
        <w:ind w:left="420" w:leftChars="200"/>
        <w:rPr>
          <w:rFonts w:hint="eastAsia" w:ascii="宋体" w:hAnsi="宋体" w:eastAsia="宋体"/>
          <w:bCs/>
          <w:color w:val="auto"/>
          <w:szCs w:val="21"/>
          <w:highlight w:val="none"/>
        </w:rPr>
      </w:pPr>
      <w:r>
        <w:rPr>
          <w:rFonts w:hint="eastAsia" w:ascii="宋体" w:hAnsi="宋体" w:eastAsia="宋体"/>
          <w:bCs/>
          <w:color w:val="auto"/>
          <w:szCs w:val="21"/>
          <w:highlight w:val="none"/>
        </w:rPr>
        <w:t xml:space="preserve">  ⑦投资及风险控制；</w:t>
      </w:r>
    </w:p>
    <w:p>
      <w:pPr>
        <w:spacing w:line="360" w:lineRule="auto"/>
        <w:ind w:left="420" w:leftChars="200"/>
        <w:rPr>
          <w:rFonts w:ascii="宋体" w:hAnsi="宋体" w:eastAsia="宋体"/>
          <w:bCs/>
          <w:color w:val="auto"/>
          <w:szCs w:val="21"/>
          <w:highlight w:val="none"/>
        </w:rPr>
      </w:pPr>
      <w:r>
        <w:rPr>
          <w:rFonts w:hint="eastAsia" w:ascii="宋体" w:hAnsi="宋体" w:eastAsia="宋体"/>
          <w:bCs/>
          <w:color w:val="auto"/>
          <w:szCs w:val="21"/>
          <w:highlight w:val="none"/>
        </w:rPr>
        <w:t xml:space="preserve">  ⑧投标人认为有必要提供的其他资料</w:t>
      </w:r>
    </w:p>
    <w:p>
      <w:pPr>
        <w:spacing w:line="360" w:lineRule="auto"/>
        <w:ind w:firstLine="422" w:firstLineChars="200"/>
        <w:rPr>
          <w:rFonts w:hint="eastAsia" w:ascii="宋体" w:hAnsi="宋体" w:eastAsia="宋体"/>
          <w:bCs/>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bCs/>
          <w:color w:val="auto"/>
          <w:szCs w:val="21"/>
          <w:highlight w:val="none"/>
        </w:rPr>
        <w:t>11.3技术部分（施工组织方案）文件（办法二可选）：</w:t>
      </w:r>
    </w:p>
    <w:p>
      <w:pPr>
        <w:spacing w:line="360" w:lineRule="auto"/>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技术部分（施工组织方案）文件评审采用“暗标形式”，文件中不得出现名称、印章、商标、投标金额等记认符号（或使人辨认出投标人或其专业技术人员的身份）或出现涉及人员姓名、简历等暴露投标人身份的内容。技术部分（施工组织方案）文件投标文件应包含但不限于一下内容：</w:t>
      </w:r>
    </w:p>
    <w:p>
      <w:pPr>
        <w:numPr>
          <w:ilvl w:val="0"/>
          <w:numId w:val="2"/>
        </w:numPr>
        <w:spacing w:line="360" w:lineRule="auto"/>
        <w:ind w:firstLine="420" w:firstLineChars="200"/>
        <w:rPr>
          <w:rFonts w:hint="eastAsia" w:ascii="宋体" w:hAnsi="宋体" w:eastAsia="宋体"/>
          <w:bCs/>
          <w:color w:val="auto"/>
          <w:szCs w:val="21"/>
          <w:highlight w:val="none"/>
        </w:rPr>
      </w:pPr>
      <w:r>
        <w:rPr>
          <w:rFonts w:hint="eastAsia" w:ascii="宋体" w:hAnsi="宋体" w:eastAsia="宋体"/>
          <w:bCs/>
          <w:color w:val="auto"/>
          <w:szCs w:val="21"/>
          <w:highlight w:val="none"/>
        </w:rPr>
        <w:t>技术部分（施工组织方案）文件以A4（210mm*297mm）规格编排；</w:t>
      </w:r>
    </w:p>
    <w:p>
      <w:pPr>
        <w:numPr>
          <w:ilvl w:val="0"/>
          <w:numId w:val="2"/>
        </w:numPr>
        <w:spacing w:line="360" w:lineRule="auto"/>
        <w:ind w:firstLine="420" w:firstLineChars="200"/>
        <w:rPr>
          <w:rFonts w:ascii="宋体" w:hAnsi="宋体" w:eastAsia="宋体"/>
          <w:bCs/>
          <w:color w:val="auto"/>
          <w:szCs w:val="21"/>
          <w:highlight w:val="none"/>
          <w:u w:val="single"/>
        </w:rPr>
      </w:pPr>
      <w:r>
        <w:rPr>
          <w:rFonts w:hint="eastAsia" w:ascii="宋体" w:hAnsi="宋体" w:eastAsia="宋体"/>
          <w:bCs/>
          <w:color w:val="auto"/>
          <w:szCs w:val="21"/>
          <w:highlight w:val="none"/>
          <w:u w:val="single"/>
        </w:rPr>
        <w:t>技术部分（施工组织方案）文件页数最多不超过50页（50页，不包括封面及目录页）；</w:t>
      </w:r>
    </w:p>
    <w:p>
      <w:pPr>
        <w:numPr>
          <w:ilvl w:val="0"/>
          <w:numId w:val="2"/>
        </w:numPr>
        <w:spacing w:line="360" w:lineRule="auto"/>
        <w:ind w:firstLine="420" w:firstLineChars="200"/>
        <w:rPr>
          <w:rFonts w:ascii="宋体" w:hAnsi="宋体" w:eastAsia="宋体"/>
          <w:bCs/>
          <w:color w:val="auto"/>
          <w:szCs w:val="21"/>
          <w:highlight w:val="none"/>
        </w:rPr>
      </w:pPr>
      <w:r>
        <w:rPr>
          <w:rFonts w:hint="eastAsia" w:ascii="宋体" w:hAnsi="宋体" w:eastAsia="宋体"/>
          <w:bCs/>
          <w:color w:val="auto"/>
          <w:szCs w:val="21"/>
          <w:highlight w:val="none"/>
        </w:rPr>
        <w:t>技术部分（施工组织方案）文件正文内容：</w:t>
      </w:r>
    </w:p>
    <w:p>
      <w:pPr>
        <w:spacing w:line="360" w:lineRule="auto"/>
        <w:ind w:left="420" w:leftChars="200"/>
        <w:rPr>
          <w:rFonts w:hint="eastAsia" w:ascii="宋体" w:hAnsi="宋体" w:eastAsia="宋体"/>
          <w:bCs/>
          <w:color w:val="auto"/>
          <w:szCs w:val="21"/>
          <w:highlight w:val="none"/>
        </w:rPr>
      </w:pPr>
      <w:r>
        <w:rPr>
          <w:rFonts w:hint="eastAsia" w:ascii="宋体" w:hAnsi="宋体" w:eastAsia="宋体"/>
          <w:bCs/>
          <w:color w:val="auto"/>
          <w:szCs w:val="21"/>
          <w:highlight w:val="none"/>
        </w:rPr>
        <w:t xml:space="preserve">  ①封面：写明项目名称、编制年月；</w:t>
      </w:r>
    </w:p>
    <w:p>
      <w:pPr>
        <w:spacing w:line="360" w:lineRule="auto"/>
        <w:ind w:left="420" w:leftChars="200"/>
        <w:rPr>
          <w:rFonts w:hint="eastAsia" w:ascii="宋体" w:hAnsi="宋体" w:eastAsia="宋体"/>
          <w:bCs/>
          <w:color w:val="auto"/>
          <w:szCs w:val="21"/>
          <w:highlight w:val="none"/>
        </w:rPr>
      </w:pPr>
      <w:r>
        <w:rPr>
          <w:rFonts w:hint="eastAsia" w:ascii="宋体" w:hAnsi="宋体" w:eastAsia="宋体"/>
          <w:bCs/>
          <w:color w:val="auto"/>
          <w:szCs w:val="21"/>
          <w:highlight w:val="none"/>
        </w:rPr>
        <w:t xml:space="preserve">  ②目录；</w:t>
      </w:r>
    </w:p>
    <w:p>
      <w:pPr>
        <w:spacing w:line="360" w:lineRule="auto"/>
        <w:ind w:left="420" w:leftChars="200"/>
        <w:rPr>
          <w:rFonts w:hint="eastAsia" w:ascii="宋体" w:hAnsi="宋体" w:eastAsia="宋体"/>
          <w:bCs/>
          <w:color w:val="auto"/>
          <w:szCs w:val="21"/>
          <w:highlight w:val="none"/>
        </w:rPr>
      </w:pPr>
      <w:r>
        <w:rPr>
          <w:rFonts w:hint="eastAsia" w:ascii="宋体" w:hAnsi="宋体" w:eastAsia="宋体"/>
          <w:bCs/>
          <w:color w:val="auto"/>
          <w:szCs w:val="21"/>
          <w:highlight w:val="none"/>
        </w:rPr>
        <w:t xml:space="preserve">  ③概况；</w:t>
      </w:r>
    </w:p>
    <w:p>
      <w:pPr>
        <w:spacing w:line="360" w:lineRule="auto"/>
        <w:ind w:left="420" w:leftChars="200"/>
        <w:rPr>
          <w:rFonts w:hint="eastAsia" w:ascii="宋体" w:hAnsi="宋体" w:eastAsia="宋体"/>
          <w:bCs/>
          <w:color w:val="auto"/>
          <w:szCs w:val="21"/>
          <w:highlight w:val="none"/>
        </w:rPr>
      </w:pPr>
      <w:r>
        <w:rPr>
          <w:rFonts w:hint="eastAsia" w:ascii="宋体" w:hAnsi="宋体" w:eastAsia="宋体"/>
          <w:bCs/>
          <w:color w:val="auto"/>
          <w:szCs w:val="21"/>
          <w:highlight w:val="none"/>
        </w:rPr>
        <w:t xml:space="preserve">  ④工作目标与组织架构；</w:t>
      </w:r>
    </w:p>
    <w:p>
      <w:pPr>
        <w:spacing w:line="360" w:lineRule="auto"/>
        <w:ind w:left="420" w:leftChars="200"/>
        <w:rPr>
          <w:rFonts w:hint="eastAsia" w:ascii="宋体" w:hAnsi="宋体" w:eastAsia="宋体"/>
          <w:bCs/>
          <w:color w:val="auto"/>
          <w:szCs w:val="21"/>
          <w:highlight w:val="none"/>
        </w:rPr>
      </w:pPr>
      <w:r>
        <w:rPr>
          <w:rFonts w:hint="eastAsia" w:ascii="宋体" w:hAnsi="宋体" w:eastAsia="宋体"/>
          <w:bCs/>
          <w:color w:val="auto"/>
          <w:szCs w:val="21"/>
          <w:highlight w:val="none"/>
        </w:rPr>
        <w:t xml:space="preserve">  ⑤现状调研与分析；</w:t>
      </w:r>
    </w:p>
    <w:p>
      <w:pPr>
        <w:spacing w:line="360" w:lineRule="auto"/>
        <w:ind w:left="420" w:leftChars="200"/>
        <w:rPr>
          <w:rFonts w:hint="eastAsia" w:ascii="宋体" w:hAnsi="宋体" w:eastAsia="宋体"/>
          <w:bCs/>
          <w:color w:val="auto"/>
          <w:szCs w:val="21"/>
          <w:highlight w:val="none"/>
        </w:rPr>
      </w:pPr>
      <w:r>
        <w:rPr>
          <w:rFonts w:hint="eastAsia" w:ascii="宋体" w:hAnsi="宋体" w:eastAsia="宋体"/>
          <w:bCs/>
          <w:color w:val="auto"/>
          <w:szCs w:val="21"/>
          <w:highlight w:val="none"/>
        </w:rPr>
        <w:t xml:space="preserve">  ⑥实施方案；</w:t>
      </w:r>
    </w:p>
    <w:p>
      <w:pPr>
        <w:spacing w:line="360" w:lineRule="auto"/>
        <w:ind w:left="420" w:leftChars="200"/>
        <w:rPr>
          <w:rFonts w:hint="eastAsia" w:ascii="宋体" w:hAnsi="宋体" w:eastAsia="宋体"/>
          <w:bCs/>
          <w:color w:val="auto"/>
          <w:szCs w:val="21"/>
          <w:highlight w:val="none"/>
        </w:rPr>
      </w:pPr>
      <w:r>
        <w:rPr>
          <w:rFonts w:hint="eastAsia" w:ascii="宋体" w:hAnsi="宋体" w:eastAsia="宋体"/>
          <w:bCs/>
          <w:color w:val="auto"/>
          <w:szCs w:val="21"/>
          <w:highlight w:val="none"/>
        </w:rPr>
        <w:t xml:space="preserve">  ⑦投资及风险控制；</w:t>
      </w:r>
    </w:p>
    <w:p>
      <w:pPr>
        <w:spacing w:line="360" w:lineRule="auto"/>
        <w:ind w:left="420" w:leftChars="200"/>
        <w:rPr>
          <w:rFonts w:hint="eastAsia" w:ascii="宋体" w:hAnsi="宋体" w:eastAsia="宋体" w:cs="宋体"/>
          <w:bCs/>
          <w:color w:val="auto"/>
          <w:szCs w:val="21"/>
          <w:highlight w:val="none"/>
        </w:rPr>
      </w:pPr>
      <w:r>
        <w:rPr>
          <w:rFonts w:hint="eastAsia" w:ascii="宋体" w:hAnsi="宋体" w:eastAsia="宋体"/>
          <w:bCs/>
          <w:color w:val="auto"/>
          <w:szCs w:val="21"/>
          <w:highlight w:val="none"/>
        </w:rPr>
        <w:t xml:space="preserve">  ⑧投标人认为有必要提供的其他资料</w:t>
      </w:r>
      <w:r>
        <w:rPr>
          <w:rFonts w:hint="eastAsia" w:ascii="宋体" w:hAnsi="宋体" w:eastAsia="宋体" w:cs="宋体"/>
          <w:bCs/>
          <w:color w:val="auto"/>
          <w:szCs w:val="21"/>
          <w:highlight w:val="none"/>
        </w:rPr>
        <w:t>；</w:t>
      </w:r>
    </w:p>
    <w:p>
      <w:pPr>
        <w:pBdr>
          <w:top w:val="single" w:color="auto" w:sz="4" w:space="0"/>
        </w:pBd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条款号：11.4.5 （2）                                                修改类型：修改</w:t>
      </w:r>
    </w:p>
    <w:p>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（2）投标人应详细列出本工程组织机构中主要成员的名单、简历资料、职务职称和在本项目中拟担任的职务等资料，并附上有关证明材料复印件；</w:t>
      </w:r>
    </w:p>
    <w:p>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Cs/>
          <w:color w:val="auto"/>
          <w:szCs w:val="21"/>
          <w:highlight w:val="none"/>
        </w:rPr>
        <w:t>（2）投标人应详细列出本工程组织机构中主要成员的名单、简历资料、职务职称和在本项目中拟担任的职务等资料，并附上有关证明材料</w:t>
      </w:r>
      <w:r>
        <w:rPr>
          <w:rFonts w:hint="eastAsia" w:ascii="宋体" w:hAnsi="宋体" w:eastAsia="宋体" w:cs="宋体"/>
          <w:bCs/>
          <w:color w:val="auto"/>
          <w:szCs w:val="21"/>
          <w:highlight w:val="none"/>
          <w:lang w:val="en-US" w:eastAsia="zh-CN"/>
        </w:rPr>
        <w:t>扫描件</w:t>
      </w:r>
      <w:r>
        <w:rPr>
          <w:rFonts w:hint="eastAsia" w:ascii="宋体" w:hAnsi="宋体" w:eastAsia="宋体" w:cs="宋体"/>
          <w:bCs/>
          <w:color w:val="auto"/>
          <w:szCs w:val="21"/>
          <w:highlight w:val="none"/>
          <w:u w:val="single"/>
        </w:rPr>
        <w:t>（格式见第四章附件20《项目管理架构人员配置承诺书》 、附件21《主要人员简历表》）</w:t>
      </w:r>
      <w:r>
        <w:rPr>
          <w:rFonts w:hint="eastAsia" w:ascii="宋体" w:hAnsi="宋体" w:eastAsia="宋体" w:cs="宋体"/>
          <w:bCs/>
          <w:color w:val="auto"/>
          <w:szCs w:val="21"/>
          <w:highlight w:val="none"/>
        </w:rPr>
        <w:t>；</w:t>
      </w:r>
    </w:p>
    <w:p>
      <w:pPr>
        <w:pBdr>
          <w:top w:val="single" w:color="auto" w:sz="4" w:space="0"/>
        </w:pBd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条款号：11.4                                                        修改类型：修改</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11.4技术部分（项目实施能力）主要包括的内容：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11.4.1《投标函》（格式见第四章）；</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11.4技术部分（项目实施能力）主要包括的内容：</w:t>
      </w:r>
    </w:p>
    <w:p>
      <w:pPr>
        <w:pBdr>
          <w:bottom w:val="single" w:color="auto" w:sz="6" w:space="1"/>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11.4.1《投标函》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《项目负责人驻场承诺书》</w:t>
      </w:r>
      <w:r>
        <w:rPr>
          <w:rFonts w:hint="eastAsia" w:ascii="宋体" w:hAnsi="宋体" w:eastAsia="宋体" w:cs="宋体"/>
          <w:color w:val="auto"/>
          <w:szCs w:val="21"/>
          <w:highlight w:val="none"/>
        </w:rPr>
        <w:t>（格式见第四章）</w:t>
      </w:r>
      <w:r>
        <w:rPr>
          <w:rFonts w:hint="eastAsia" w:ascii="宋体" w:hAnsi="宋体" w:eastAsia="宋体" w:cs="宋体"/>
          <w:color w:val="auto"/>
          <w:szCs w:val="21"/>
          <w:highlight w:val="none"/>
          <w:lang w:eastAsia="zh-CN"/>
        </w:rPr>
        <w:t>；</w:t>
      </w:r>
    </w:p>
    <w:p>
      <w:pPr>
        <w:spacing w:line="360" w:lineRule="auto"/>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 xml:space="preserve">    修改类型：修改</w:t>
      </w:r>
    </w:p>
    <w:p>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 xml:space="preserve">13.8属于投标人自行采购的主要材料、设备，招标人可以在招标文件中提出材料、设备的技术标准或者质量要求。如果必须引用某一生产供应者的技术标准才能准确或者清楚地说明技术标准时，可以引用不少于3个同等档次品牌或者生产供应商供投标人报价时选择，引用品牌或者生产供应商名称前应当加上“参照或相当于”的字样，引用的货物品牌或者生产公供应商在市场上应当具有可选择性。投标人在投标文件中应明确所选用主要材料、设备的品牌、厂家以及质量等级，并且应当符合招标文件的要求。          </w:t>
      </w:r>
    </w:p>
    <w:p>
      <w:pPr>
        <w:pBdr>
          <w:bottom w:val="single" w:color="auto" w:sz="6" w:space="1"/>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13.8</w:t>
      </w:r>
      <w:r>
        <w:rPr>
          <w:rFonts w:hint="eastAsia" w:ascii="宋体" w:hAnsi="宋体" w:eastAsia="宋体" w:cs="宋体"/>
          <w:color w:val="auto"/>
          <w:szCs w:val="21"/>
          <w:highlight w:val="none"/>
          <w:u w:val="single"/>
        </w:rPr>
        <w:t>投标期间，投标人不需在投标文件中明确所选用主要材料、设备的品牌、厂家以及质量等级。实施期间，所有材料品牌选择均须报发包人、监理单位确认，所有材料及成品质量必须满足设计与规范要求，且经检验合格后方可使用。</w:t>
      </w:r>
    </w:p>
    <w:p>
      <w:pPr>
        <w:spacing w:line="360" w:lineRule="auto"/>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条款号：13.</w:t>
      </w:r>
      <w:r>
        <w:rPr>
          <w:rFonts w:hint="eastAsia" w:ascii="宋体" w:hAnsi="宋体" w:eastAsia="宋体" w:cs="宋体"/>
          <w:b/>
          <w:color w:val="auto"/>
          <w:szCs w:val="21"/>
          <w:highlight w:val="none"/>
          <w:lang w:val="en-US" w:eastAsia="zh-CN"/>
        </w:rPr>
        <w:t>9</w:t>
      </w: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修改类型：增加</w:t>
      </w:r>
    </w:p>
    <w:p>
      <w:pPr>
        <w:pBdr>
          <w:bottom w:val="single" w:color="auto" w:sz="6" w:space="1"/>
        </w:pBdr>
        <w:spacing w:line="360" w:lineRule="auto"/>
        <w:ind w:firstLine="422" w:firstLineChars="200"/>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u w:val="single"/>
        </w:rPr>
        <w:t>13.</w:t>
      </w:r>
      <w:r>
        <w:rPr>
          <w:rFonts w:hint="eastAsia" w:ascii="宋体" w:hAnsi="宋体" w:eastAsia="宋体" w:cs="宋体"/>
          <w:color w:val="auto"/>
          <w:szCs w:val="21"/>
          <w:highlight w:val="none"/>
          <w:u w:val="single"/>
          <w:lang w:val="en-US" w:eastAsia="zh-CN"/>
        </w:rPr>
        <w:t>9</w:t>
      </w:r>
      <w:r>
        <w:rPr>
          <w:rFonts w:hint="eastAsia" w:ascii="宋体" w:hAnsi="宋体" w:eastAsia="宋体" w:cs="宋体"/>
          <w:color w:val="auto"/>
          <w:szCs w:val="21"/>
          <w:highlight w:val="none"/>
          <w:u w:val="single"/>
        </w:rPr>
        <w:t>中标人应使用绿色生产达标企业生产的混凝土，若不遵守承诺，自愿按不履行合同约定处理。</w:t>
      </w:r>
    </w:p>
    <w:p>
      <w:pPr>
        <w:pBdr>
          <w:top w:val="single" w:color="auto" w:sz="4" w:space="0"/>
        </w:pBd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条款号：16.                                                       修改类型：修改</w:t>
      </w:r>
    </w:p>
    <w:p>
      <w:pPr>
        <w:spacing w:line="360" w:lineRule="auto"/>
        <w:ind w:firstLine="422" w:firstLineChars="200"/>
        <w:rPr>
          <w:rFonts w:hint="eastAsia" w:ascii="宋体" w:hAnsi="宋体" w:eastAsia="宋体" w:cs="宋体"/>
          <w:color w:val="auto"/>
          <w:szCs w:val="21"/>
          <w:highlight w:val="none"/>
          <w:lang w:eastAsia="zh-CN"/>
        </w:rPr>
      </w:pPr>
      <w:r>
        <w:rPr>
          <w:rFonts w:hint="eastAsia" w:ascii="宋体" w:hAnsi="宋体" w:eastAsia="宋体" w:cs="宋体"/>
          <w:b/>
          <w:color w:val="auto"/>
          <w:szCs w:val="21"/>
          <w:highlight w:val="none"/>
        </w:rPr>
        <w:t>原文：</w:t>
      </w:r>
      <w:r>
        <w:rPr>
          <w:rFonts w:hint="eastAsia" w:ascii="宋体" w:hAnsi="宋体" w:eastAsia="宋体" w:cs="宋体"/>
          <w:b/>
          <w:color w:val="auto"/>
          <w:szCs w:val="21"/>
          <w:highlight w:val="none"/>
          <w:lang w:eastAsia="zh-CN"/>
        </w:rPr>
        <w:t>投标保证金</w:t>
      </w:r>
    </w:p>
    <w:p>
      <w:pPr>
        <w:spacing w:line="360" w:lineRule="auto"/>
        <w:ind w:firstLine="422" w:firstLineChars="200"/>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现文：</w:t>
      </w:r>
      <w:r>
        <w:rPr>
          <w:rFonts w:hint="eastAsia" w:ascii="宋体" w:hAnsi="宋体" w:eastAsia="宋体" w:cs="宋体"/>
          <w:b/>
          <w:color w:val="auto"/>
          <w:szCs w:val="21"/>
          <w:highlight w:val="none"/>
          <w:lang w:eastAsia="zh-CN"/>
        </w:rPr>
        <w:t>投标保证金（本项目不适用）</w:t>
      </w:r>
    </w:p>
    <w:p>
      <w:pPr>
        <w:pBdr>
          <w:top w:val="single" w:color="auto" w:sz="4" w:space="0"/>
        </w:pBdr>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条款号：</w:t>
      </w:r>
      <w:r>
        <w:rPr>
          <w:rFonts w:hint="eastAsia" w:ascii="宋体" w:hAnsi="宋体" w:eastAsia="宋体" w:cs="宋体"/>
          <w:b/>
          <w:color w:val="auto"/>
          <w:szCs w:val="21"/>
          <w:highlight w:val="none"/>
          <w:lang w:val="en-US" w:eastAsia="zh-CN"/>
        </w:rPr>
        <w:t>19.3.5</w:t>
      </w:r>
      <w:r>
        <w:rPr>
          <w:rFonts w:hint="eastAsia" w:ascii="宋体" w:hAnsi="宋体" w:eastAsia="宋体" w:cs="宋体"/>
          <w:b/>
          <w:color w:val="auto"/>
          <w:szCs w:val="21"/>
          <w:highlight w:val="none"/>
        </w:rPr>
        <w:t xml:space="preserve">                                                    修改类型：</w:t>
      </w:r>
      <w:r>
        <w:rPr>
          <w:rFonts w:hint="eastAsia" w:ascii="宋体" w:hAnsi="宋体" w:eastAsia="宋体" w:cs="宋体"/>
          <w:b/>
          <w:color w:val="auto"/>
          <w:szCs w:val="21"/>
          <w:highlight w:val="none"/>
          <w:lang w:eastAsia="zh-CN"/>
        </w:rPr>
        <w:t>删除</w:t>
      </w:r>
    </w:p>
    <w:p>
      <w:pPr>
        <w:pBdr>
          <w:bottom w:val="single" w:color="auto" w:sz="4" w:space="0"/>
        </w:pBd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 w:val="0"/>
          <w:bCs/>
          <w:color w:val="auto"/>
          <w:szCs w:val="21"/>
          <w:highlight w:val="none"/>
        </w:rPr>
        <w:t>投标人未按要求递交投标保证金的（如设置投标保证金的）。</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条款号：31.2                                           </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 xml:space="preserve">   修改类型：修改</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 w:val="0"/>
          <w:bCs/>
          <w:color w:val="auto"/>
          <w:szCs w:val="21"/>
          <w:highlight w:val="none"/>
        </w:rPr>
        <w:t>31.2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4" w:space="0"/>
        </w:pBd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Cs/>
          <w:color w:val="auto"/>
          <w:szCs w:val="21"/>
          <w:highlight w:val="none"/>
        </w:rPr>
        <w:t>31.2中标通知书发出之日起30日后，中标人未按上款的规定与招标人订立合同，招标人将解除中标通知书，且依法承担相应法律责任。原中标人给招标人造成的损失，还应当予以赔偿。原中标人有异议的，可以向招标人所在地人民法院起诉。</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条款号：31.3                                           </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 xml:space="preserve">    修改类型：修改</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31.3未经招标人同意，中标人在投标过程中使用的银行名称及帐号至完成竣工结算不得变更，否则招标人有权停止工程款项的拔付及至解除合同，由此造成的一切责任由中标人承担。</w:t>
      </w:r>
    </w:p>
    <w:p>
      <w:pPr>
        <w:pBdr>
          <w:bottom w:val="single" w:color="auto" w:sz="6" w:space="1"/>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31.3未经招标人同意，中标人在投标过程中使用的银行名称及</w:t>
      </w:r>
      <w:r>
        <w:rPr>
          <w:rFonts w:hint="eastAsia" w:ascii="宋体" w:hAnsi="宋体" w:eastAsia="宋体" w:cs="宋体"/>
          <w:color w:val="auto"/>
          <w:szCs w:val="21"/>
          <w:highlight w:val="none"/>
          <w:u w:val="single"/>
        </w:rPr>
        <w:t>账号</w:t>
      </w:r>
      <w:r>
        <w:rPr>
          <w:rFonts w:hint="eastAsia" w:ascii="宋体" w:hAnsi="宋体" w:eastAsia="宋体" w:cs="宋体"/>
          <w:color w:val="auto"/>
          <w:szCs w:val="21"/>
          <w:highlight w:val="none"/>
        </w:rPr>
        <w:t>至完成竣工结算不得变更，否则招标人有权停止工程款项的</w:t>
      </w:r>
      <w:r>
        <w:rPr>
          <w:rFonts w:hint="eastAsia" w:ascii="宋体" w:hAnsi="宋体" w:eastAsia="宋体" w:cs="宋体"/>
          <w:color w:val="auto"/>
          <w:szCs w:val="21"/>
          <w:highlight w:val="none"/>
          <w:u w:val="single"/>
        </w:rPr>
        <w:t>拨付</w:t>
      </w:r>
      <w:r>
        <w:rPr>
          <w:rFonts w:hint="eastAsia" w:ascii="宋体" w:hAnsi="宋体" w:eastAsia="宋体" w:cs="宋体"/>
          <w:color w:val="auto"/>
          <w:szCs w:val="21"/>
          <w:highlight w:val="none"/>
        </w:rPr>
        <w:t>及至解除合同，由此造成的一切责任由中标人承担。</w:t>
      </w:r>
    </w:p>
    <w:p>
      <w:pPr>
        <w:spacing w:line="360" w:lineRule="auto"/>
        <w:ind w:firstLine="422" w:firstLineChars="200"/>
        <w:rPr>
          <w:rFonts w:hint="eastAsia"/>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color w:val="auto"/>
          <w:sz w:val="21"/>
          <w:szCs w:val="21"/>
          <w:highlight w:val="none"/>
          <w:lang w:val="en-US" w:eastAsia="zh-CN"/>
        </w:rPr>
        <w:t>32.</w:t>
      </w:r>
      <w:r>
        <w:rPr>
          <w:rFonts w:hint="eastAsia" w:ascii="宋体" w:hAnsi="宋体" w:eastAsia="宋体" w:cs="宋体"/>
          <w:b/>
          <w:bCs w:val="0"/>
          <w:color w:val="auto"/>
          <w:sz w:val="21"/>
          <w:szCs w:val="21"/>
          <w:highlight w:val="none"/>
        </w:rPr>
        <w:t xml:space="preserve">2 </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 xml:space="preserve">    修改类型：修改</w:t>
      </w:r>
    </w:p>
    <w:p>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32.2中标通知书发出之日起15日后，中标人未按上款的规定递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32.2中标通知书发出之日起15日后，中标人未按上款的规定递交履约担保，招标人将解除中标通知书，且依法承担相应法律责任。</w:t>
      </w:r>
      <w:r>
        <w:rPr>
          <w:rFonts w:hint="eastAsia" w:ascii="宋体" w:hAnsi="宋体" w:eastAsia="宋体" w:cs="宋体"/>
          <w:bCs/>
          <w:color w:val="auto"/>
          <w:sz w:val="21"/>
          <w:szCs w:val="21"/>
          <w:highlight w:val="none"/>
        </w:rPr>
        <w:t>原中标人给招标人造成的损失，还应当予以赔偿</w:t>
      </w:r>
      <w:r>
        <w:rPr>
          <w:rFonts w:hint="eastAsia" w:ascii="宋体" w:hAnsi="宋体" w:eastAsia="宋体" w:cs="宋体"/>
          <w:color w:val="auto"/>
          <w:sz w:val="21"/>
          <w:szCs w:val="21"/>
          <w:highlight w:val="none"/>
        </w:rPr>
        <w:t>。原中标人有异议的，可以向</w:t>
      </w:r>
      <w:r>
        <w:rPr>
          <w:rFonts w:hint="eastAsia" w:ascii="宋体" w:hAnsi="宋体" w:eastAsia="宋体" w:cs="宋体"/>
          <w:bCs/>
          <w:color w:val="auto"/>
          <w:szCs w:val="21"/>
          <w:highlight w:val="none"/>
        </w:rPr>
        <w:t>招标人所在地</w:t>
      </w:r>
      <w:r>
        <w:rPr>
          <w:rFonts w:hint="eastAsia" w:ascii="宋体" w:hAnsi="宋体" w:eastAsia="宋体" w:cs="宋体"/>
          <w:color w:val="auto"/>
          <w:sz w:val="21"/>
          <w:szCs w:val="21"/>
          <w:highlight w:val="none"/>
        </w:rPr>
        <w:t>人民法院起诉。</w:t>
      </w:r>
    </w:p>
    <w:p>
      <w:pPr>
        <w:spacing w:line="360" w:lineRule="auto"/>
        <w:ind w:firstLine="472"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bCs/>
          <w:color w:val="auto"/>
          <w:sz w:val="21"/>
          <w:szCs w:val="21"/>
          <w:highlight w:val="none"/>
        </w:rPr>
        <w:t>34</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 xml:space="preserve">  修改类型：修改</w:t>
      </w:r>
    </w:p>
    <w:p>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bCs/>
          <w:color w:val="auto"/>
          <w:sz w:val="21"/>
          <w:szCs w:val="21"/>
          <w:highlight w:val="none"/>
        </w:rPr>
        <w:t>34．其它费用</w:t>
      </w:r>
    </w:p>
    <w:p>
      <w:pPr>
        <w:spacing w:line="360" w:lineRule="auto"/>
        <w:ind w:firstLine="470" w:firstLineChars="224"/>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公共资源交易服务费应根据政府有关规定支付。</w:t>
      </w:r>
    </w:p>
    <w:p>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
          <w:bCs/>
          <w:color w:val="auto"/>
          <w:sz w:val="21"/>
          <w:szCs w:val="21"/>
          <w:highlight w:val="none"/>
        </w:rPr>
        <w:t>34．其它费用</w:t>
      </w:r>
    </w:p>
    <w:p>
      <w:pPr>
        <w:pBdr>
          <w:bottom w:val="single" w:color="auto" w:sz="6" w:space="1"/>
        </w:pBd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34.1中标人应</w:t>
      </w:r>
      <w:r>
        <w:rPr>
          <w:rFonts w:hint="eastAsia" w:ascii="宋体" w:hAnsi="宋体" w:eastAsia="宋体" w:cs="宋体"/>
          <w:color w:val="auto"/>
          <w:sz w:val="21"/>
          <w:szCs w:val="21"/>
          <w:highlight w:val="none"/>
          <w:u w:val="single"/>
          <w:lang w:eastAsia="zh-CN"/>
        </w:rPr>
        <w:t>向广州交易集团有限公司（广州公共资源交易中心）</w:t>
      </w:r>
      <w:r>
        <w:rPr>
          <w:rFonts w:hint="eastAsia" w:ascii="宋体" w:hAnsi="宋体" w:eastAsia="宋体" w:cs="宋体"/>
          <w:color w:val="auto"/>
          <w:sz w:val="21"/>
          <w:szCs w:val="21"/>
          <w:highlight w:val="none"/>
          <w:u w:val="single"/>
        </w:rPr>
        <w:t>交纳公共资源交易服务费，该费用包含在投标价中。</w:t>
      </w:r>
    </w:p>
    <w:p>
      <w:pPr>
        <w:pBdr>
          <w:top w:val="single" w:color="auto" w:sz="4" w:space="0"/>
        </w:pBd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w:t>
      </w:r>
    </w:p>
    <w:p>
      <w:pPr>
        <w:spacing w:line="360" w:lineRule="auto"/>
        <w:rPr>
          <w:rFonts w:ascii="宋体" w:hAnsi="宋体" w:eastAsia="宋体"/>
          <w:b/>
          <w:color w:val="auto"/>
          <w:szCs w:val="21"/>
          <w:highlight w:val="none"/>
        </w:rPr>
      </w:pPr>
      <w:r>
        <w:rPr>
          <w:rFonts w:hint="eastAsia" w:ascii="宋体" w:hAnsi="宋体" w:eastAsia="宋体"/>
          <w:b/>
          <w:color w:val="auto"/>
          <w:szCs w:val="21"/>
          <w:highlight w:val="none"/>
        </w:rPr>
        <w:t>注：以上修改，仅限于本范本中有可供选择条款的情形。</w:t>
      </w:r>
    </w:p>
    <w:p>
      <w:pPr>
        <w:spacing w:line="360" w:lineRule="auto"/>
        <w:rPr>
          <w:rFonts w:ascii="宋体" w:hAnsi="宋体" w:eastAsia="宋体"/>
          <w:color w:val="auto"/>
          <w:highlight w:val="none"/>
        </w:rPr>
      </w:pPr>
      <w:r>
        <w:rPr>
          <w:rFonts w:hint="eastAsia" w:ascii="宋体" w:hAnsi="宋体" w:eastAsia="宋体"/>
          <w:b/>
          <w:color w:val="auto"/>
          <w:szCs w:val="21"/>
          <w:highlight w:val="none"/>
        </w:rPr>
        <w:t>（以下无正文）</w:t>
      </w:r>
    </w:p>
    <w:p>
      <w:pPr>
        <w:spacing w:line="360" w:lineRule="auto"/>
        <w:rPr>
          <w:rFonts w:ascii="宋体" w:hAnsi="宋体" w:eastAsia="宋体"/>
          <w:color w:val="auto"/>
          <w:highlight w:val="none"/>
        </w:rPr>
      </w:pPr>
    </w:p>
    <w:p>
      <w:pPr>
        <w:pStyle w:val="6"/>
        <w:spacing w:before="120"/>
        <w:rPr>
          <w:rFonts w:ascii="宋体" w:eastAsia="宋体"/>
          <w:color w:val="auto"/>
          <w:highlight w:val="none"/>
        </w:rPr>
      </w:pPr>
      <w:bookmarkStart w:id="40" w:name="_三、投标须知通用条款"/>
      <w:bookmarkEnd w:id="40"/>
      <w:r>
        <w:rPr>
          <w:rFonts w:hint="eastAsia" w:ascii="宋体" w:eastAsia="宋体"/>
          <w:color w:val="auto"/>
          <w:highlight w:val="none"/>
        </w:rPr>
        <w:br w:type="page"/>
      </w:r>
      <w:bookmarkStart w:id="41" w:name="_Toc85505511"/>
      <w:bookmarkStart w:id="42" w:name="_Toc101777611"/>
      <w:bookmarkStart w:id="43" w:name="_Toc262229162"/>
      <w:bookmarkStart w:id="44" w:name="_Toc10964"/>
      <w:bookmarkStart w:id="45" w:name="_Toc6168"/>
      <w:bookmarkStart w:id="46" w:name="_Toc19456"/>
      <w:bookmarkStart w:id="47" w:name="_Toc13975"/>
      <w:bookmarkStart w:id="48" w:name="_Toc822"/>
      <w:bookmarkStart w:id="49" w:name="_Toc28733"/>
      <w:bookmarkStart w:id="50" w:name="_Toc17692"/>
      <w:bookmarkStart w:id="51" w:name="_Toc7099"/>
      <w:bookmarkStart w:id="52" w:name="_Toc20836"/>
      <w:r>
        <w:rPr>
          <w:rFonts w:hint="eastAsia" w:ascii="宋体" w:eastAsia="宋体"/>
          <w:color w:val="auto"/>
          <w:highlight w:val="none"/>
        </w:rPr>
        <w:t>三、投标须知</w:t>
      </w:r>
      <w:bookmarkEnd w:id="41"/>
      <w:bookmarkEnd w:id="42"/>
      <w:r>
        <w:rPr>
          <w:rFonts w:hint="eastAsia" w:ascii="宋体" w:eastAsia="宋体"/>
          <w:color w:val="auto"/>
          <w:highlight w:val="none"/>
        </w:rPr>
        <w:t>通用条款</w:t>
      </w:r>
      <w:bookmarkEnd w:id="43"/>
      <w:bookmarkEnd w:id="44"/>
      <w:bookmarkEnd w:id="45"/>
      <w:bookmarkEnd w:id="46"/>
      <w:bookmarkEnd w:id="47"/>
      <w:bookmarkEnd w:id="48"/>
      <w:bookmarkEnd w:id="49"/>
      <w:bookmarkEnd w:id="50"/>
      <w:bookmarkEnd w:id="51"/>
      <w:bookmarkEnd w:id="52"/>
    </w:p>
    <w:p>
      <w:pPr>
        <w:pStyle w:val="6"/>
        <w:spacing w:before="120"/>
        <w:rPr>
          <w:rFonts w:ascii="宋体" w:eastAsia="宋体"/>
          <w:color w:val="auto"/>
          <w:highlight w:val="none"/>
        </w:rPr>
      </w:pPr>
      <w:bookmarkStart w:id="53" w:name="_（一）总则_1"/>
      <w:bookmarkEnd w:id="53"/>
      <w:bookmarkStart w:id="54" w:name="_Toc85505512"/>
      <w:bookmarkStart w:id="55" w:name="_Toc375"/>
      <w:bookmarkStart w:id="56" w:name="_Toc24274"/>
      <w:bookmarkStart w:id="57" w:name="_Toc101777612"/>
      <w:bookmarkStart w:id="58" w:name="_Toc30129"/>
      <w:bookmarkStart w:id="59" w:name="_Toc4636"/>
      <w:bookmarkStart w:id="60" w:name="_Toc3129"/>
      <w:bookmarkStart w:id="61" w:name="_Toc262229163"/>
      <w:bookmarkStart w:id="62" w:name="_Toc28561"/>
      <w:bookmarkStart w:id="63" w:name="_Toc8857"/>
      <w:bookmarkStart w:id="64" w:name="_Toc7137"/>
      <w:bookmarkStart w:id="65" w:name="_Toc32388"/>
      <w:r>
        <w:rPr>
          <w:rFonts w:hint="eastAsia" w:ascii="宋体" w:eastAsia="宋体"/>
          <w:color w:val="auto"/>
          <w:highlight w:val="none"/>
        </w:rPr>
        <w:t>（一）总则</w:t>
      </w:r>
      <w:bookmarkEnd w:id="54"/>
      <w:bookmarkEnd w:id="55"/>
      <w:bookmarkEnd w:id="56"/>
      <w:bookmarkEnd w:id="57"/>
      <w:bookmarkEnd w:id="58"/>
      <w:bookmarkEnd w:id="59"/>
      <w:bookmarkEnd w:id="60"/>
      <w:bookmarkEnd w:id="61"/>
      <w:bookmarkEnd w:id="62"/>
      <w:bookmarkEnd w:id="63"/>
      <w:bookmarkEnd w:id="64"/>
      <w:bookmarkEnd w:id="65"/>
    </w:p>
    <w:p>
      <w:pPr>
        <w:pStyle w:val="17"/>
        <w:spacing w:after="0"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1.定义</w:t>
      </w:r>
    </w:p>
    <w:p>
      <w:pPr>
        <w:pStyle w:val="17"/>
        <w:spacing w:after="0" w:line="360" w:lineRule="auto"/>
        <w:ind w:firstLine="480" w:firstLineChars="200"/>
        <w:rPr>
          <w:rFonts w:ascii="宋体" w:hAnsi="宋体"/>
          <w:b/>
          <w:bCs/>
          <w:color w:val="auto"/>
          <w:sz w:val="24"/>
          <w:highlight w:val="none"/>
        </w:rPr>
      </w:pPr>
      <w:r>
        <w:rPr>
          <w:rFonts w:hint="eastAsia" w:ascii="宋体" w:hAnsi="宋体"/>
          <w:color w:val="auto"/>
          <w:sz w:val="24"/>
          <w:highlight w:val="none"/>
        </w:rPr>
        <w:t>本招标文件使用的下列词语具有如下规定的意义：</w:t>
      </w:r>
    </w:p>
    <w:p>
      <w:pPr>
        <w:pStyle w:val="17"/>
        <w:spacing w:after="0" w:line="360" w:lineRule="auto"/>
        <w:ind w:firstLine="480" w:firstLineChars="200"/>
        <w:rPr>
          <w:rFonts w:ascii="宋体" w:hAnsi="宋体"/>
          <w:b/>
          <w:bCs/>
          <w:color w:val="auto"/>
          <w:sz w:val="24"/>
          <w:highlight w:val="none"/>
          <w:u w:val="single"/>
        </w:rPr>
      </w:pPr>
      <w:r>
        <w:rPr>
          <w:rFonts w:hint="eastAsia" w:ascii="宋体" w:hAnsi="宋体"/>
          <w:color w:val="auto"/>
          <w:sz w:val="24"/>
          <w:highlight w:val="none"/>
        </w:rPr>
        <w:t>（1）“招标人”（即发包人）、“项目建设管理单位”（或称“项目代建单位”）、“招标代理机构”、“设计单位”、“监理单位”均已在投标须知前附表中列明。</w:t>
      </w:r>
    </w:p>
    <w:p>
      <w:pPr>
        <w:pStyle w:val="17"/>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 xml:space="preserve">（2）“投标人”指向招标人递交投标文件的当事人。   </w:t>
      </w:r>
    </w:p>
    <w:p>
      <w:pPr>
        <w:pStyle w:val="17"/>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（3）“承包人”指其投标被招标人接受并与其签订承包合同的当事人。</w:t>
      </w:r>
    </w:p>
    <w:p>
      <w:pPr>
        <w:pStyle w:val="17"/>
        <w:spacing w:after="0"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（4）“招标文件”指由招标代理机构发出的本文件（包括全部章节、附件）及招标答疑会会议纪要和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pPr>
        <w:pStyle w:val="17"/>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（5）“投标文件”指投标人根据本项目招标文件向招标人递交的全部文件。</w:t>
      </w:r>
    </w:p>
    <w:p>
      <w:pPr>
        <w:pStyle w:val="17"/>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（6）“书面文件”指打字或印刷的文件，包括电传、电报和传真。</w:t>
      </w:r>
    </w:p>
    <w:p>
      <w:pPr>
        <w:pStyle w:val="17"/>
        <w:spacing w:after="0" w:line="360" w:lineRule="auto"/>
        <w:ind w:firstLine="480" w:firstLineChars="200"/>
        <w:rPr>
          <w:rFonts w:ascii="宋体" w:hAnsi="宋体"/>
          <w:b/>
          <w:color w:val="auto"/>
          <w:sz w:val="24"/>
          <w:szCs w:val="24"/>
          <w:highlight w:val="none"/>
        </w:rPr>
      </w:pPr>
      <w:r>
        <w:rPr>
          <w:rFonts w:hint="eastAsia" w:ascii="宋体" w:hAnsi="宋体"/>
          <w:color w:val="auto"/>
          <w:sz w:val="24"/>
          <w:highlight w:val="none"/>
        </w:rPr>
        <w:t>（7）“电子文件</w:t>
      </w:r>
      <w:r>
        <w:rPr>
          <w:rFonts w:hint="eastAsia" w:ascii="宋体" w:hAnsi="宋体"/>
          <w:color w:val="auto"/>
          <w:sz w:val="24"/>
          <w:szCs w:val="24"/>
          <w:highlight w:val="none"/>
        </w:rPr>
        <w:t>”</w:t>
      </w:r>
      <w:r>
        <w:rPr>
          <w:rFonts w:hint="eastAsia" w:ascii="宋体" w:hAnsi="宋体"/>
          <w:b/>
          <w:color w:val="auto"/>
          <w:sz w:val="24"/>
          <w:szCs w:val="24"/>
          <w:highlight w:val="none"/>
        </w:rPr>
        <w:t xml:space="preserve"> </w:t>
      </w:r>
      <w:r>
        <w:rPr>
          <w:rFonts w:hint="eastAsia" w:ascii="宋体" w:hAnsi="宋体"/>
          <w:color w:val="auto"/>
          <w:sz w:val="24"/>
          <w:szCs w:val="24"/>
          <w:highlight w:val="none"/>
        </w:rPr>
        <w:t>指数字、文字、图形等以数码形式存储于磁带、磁盘、光盘等载体，依赖计算机等数字设备阅读、处理，并可在通信网络上传送的文件。</w:t>
      </w:r>
    </w:p>
    <w:p>
      <w:pPr>
        <w:spacing w:line="360" w:lineRule="auto"/>
        <w:ind w:firstLine="482" w:firstLineChars="200"/>
        <w:rPr>
          <w:rFonts w:ascii="宋体" w:hAnsi="宋体" w:eastAsia="宋体"/>
          <w:b/>
          <w:color w:val="auto"/>
          <w:sz w:val="24"/>
          <w:highlight w:val="none"/>
        </w:rPr>
      </w:pPr>
      <w:r>
        <w:rPr>
          <w:rFonts w:hint="eastAsia" w:ascii="宋体" w:hAnsi="宋体" w:eastAsia="宋体"/>
          <w:b/>
          <w:color w:val="auto"/>
          <w:sz w:val="24"/>
          <w:highlight w:val="none"/>
        </w:rPr>
        <w:t>2.招标说明</w:t>
      </w:r>
    </w:p>
    <w:p>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2.1本招标工程项目按照《中华人民共和国招标投标法》等有关法律、行政法规、规章和规范性文件，通过招标方式选定承包人。</w:t>
      </w:r>
    </w:p>
    <w:p>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2.2工程名称、建设地点、建设规模、承包方式、质量标准、招标范围、工期要求等均在投标须知前附表中列明。</w:t>
      </w:r>
    </w:p>
    <w:p>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2.3设计说明：详见招标图纸。</w:t>
      </w:r>
    </w:p>
    <w:p>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2.4工程施工特点：详见招标图纸。</w:t>
      </w:r>
    </w:p>
    <w:p>
      <w:pPr>
        <w:tabs>
          <w:tab w:val="left" w:pos="105"/>
        </w:tabs>
        <w:spacing w:line="360" w:lineRule="auto"/>
        <w:ind w:firstLine="482" w:firstLineChars="200"/>
        <w:rPr>
          <w:rFonts w:ascii="宋体" w:hAnsi="宋体" w:eastAsia="宋体"/>
          <w:b/>
          <w:color w:val="auto"/>
          <w:sz w:val="24"/>
          <w:highlight w:val="none"/>
        </w:rPr>
      </w:pPr>
      <w:r>
        <w:rPr>
          <w:rFonts w:hint="eastAsia" w:ascii="宋体" w:hAnsi="宋体" w:eastAsia="宋体"/>
          <w:b/>
          <w:color w:val="auto"/>
          <w:sz w:val="24"/>
          <w:highlight w:val="none"/>
        </w:rPr>
        <w:t>3．资金来源</w:t>
      </w:r>
    </w:p>
    <w:p>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本招标工程项目资金来源见投标须知前附表第9项。</w:t>
      </w:r>
    </w:p>
    <w:p>
      <w:pPr>
        <w:tabs>
          <w:tab w:val="left" w:pos="105"/>
        </w:tabs>
        <w:spacing w:line="360" w:lineRule="auto"/>
        <w:ind w:firstLine="482" w:firstLineChars="200"/>
        <w:rPr>
          <w:rFonts w:ascii="宋体" w:hAnsi="宋体" w:eastAsia="宋体"/>
          <w:b/>
          <w:color w:val="auto"/>
          <w:sz w:val="24"/>
          <w:highlight w:val="none"/>
        </w:rPr>
      </w:pPr>
      <w:r>
        <w:rPr>
          <w:rFonts w:hint="eastAsia" w:ascii="宋体" w:hAnsi="宋体" w:eastAsia="宋体"/>
          <w:b/>
          <w:color w:val="auto"/>
          <w:sz w:val="24"/>
          <w:highlight w:val="none"/>
        </w:rPr>
        <w:t>4．投标人资格条件</w:t>
      </w:r>
    </w:p>
    <w:p>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详见本项目招标公告。</w:t>
      </w:r>
    </w:p>
    <w:p>
      <w:pPr>
        <w:tabs>
          <w:tab w:val="left" w:pos="105"/>
        </w:tabs>
        <w:spacing w:line="360" w:lineRule="auto"/>
        <w:ind w:firstLine="482" w:firstLineChars="200"/>
        <w:rPr>
          <w:rFonts w:ascii="宋体" w:hAnsi="宋体" w:eastAsia="宋体"/>
          <w:b/>
          <w:color w:val="auto"/>
          <w:sz w:val="24"/>
          <w:highlight w:val="none"/>
        </w:rPr>
      </w:pPr>
      <w:r>
        <w:rPr>
          <w:rFonts w:hint="eastAsia" w:ascii="宋体" w:hAnsi="宋体" w:eastAsia="宋体"/>
          <w:b/>
          <w:color w:val="auto"/>
          <w:sz w:val="24"/>
          <w:highlight w:val="none"/>
        </w:rPr>
        <w:t>5．踏勘现场</w:t>
      </w:r>
    </w:p>
    <w:p>
      <w:pPr>
        <w:spacing w:line="360" w:lineRule="auto"/>
        <w:ind w:firstLine="480" w:firstLineChars="200"/>
        <w:rPr>
          <w:rFonts w:ascii="宋体" w:hAnsi="宋体" w:eastAsia="宋体"/>
          <w:bCs/>
          <w:color w:val="auto"/>
          <w:sz w:val="24"/>
          <w:highlight w:val="none"/>
          <w:u w:val="single"/>
        </w:rPr>
      </w:pPr>
      <w:r>
        <w:rPr>
          <w:rFonts w:hint="eastAsia" w:ascii="宋体" w:hAnsi="宋体" w:eastAsia="宋体"/>
          <w:bCs/>
          <w:color w:val="auto"/>
          <w:sz w:val="24"/>
          <w:highlight w:val="none"/>
        </w:rPr>
        <w:t xml:space="preserve">5.1 </w:t>
      </w:r>
      <w:r>
        <w:rPr>
          <w:rFonts w:hint="eastAsia" w:ascii="宋体" w:hAnsi="宋体" w:eastAsia="宋体" w:cs="宋体"/>
          <w:bCs/>
          <w:color w:val="auto"/>
          <w:sz w:val="24"/>
          <w:szCs w:val="24"/>
          <w:highlight w:val="none"/>
        </w:rPr>
        <w:t>投标人应按本投标须知前附表第16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eastAsia="宋体" w:cs="宋体"/>
          <w:bCs/>
          <w:color w:val="auto"/>
          <w:sz w:val="24"/>
          <w:szCs w:val="24"/>
          <w:highlight w:val="none"/>
          <w:u w:val="single"/>
        </w:rPr>
        <w:t>投标人不进行踏勘的，视为已熟知现场条件，自行承担相关风险</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5.2 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5.3 经招标人允许，投标人可为踏勘目的进入招标人的项目现场。</w:t>
      </w:r>
      <w:r>
        <w:rPr>
          <w:rFonts w:hint="eastAsia" w:ascii="宋体" w:hAnsi="宋体" w:eastAsia="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eastAsia="宋体"/>
          <w:bCs/>
          <w:color w:val="auto"/>
          <w:sz w:val="24"/>
          <w:highlight w:val="none"/>
        </w:rPr>
        <w:t>投标人不得因此使招标人承担有关的责任和蒙受损失。</w:t>
      </w:r>
    </w:p>
    <w:p>
      <w:pPr>
        <w:tabs>
          <w:tab w:val="left" w:pos="105"/>
        </w:tabs>
        <w:spacing w:line="360" w:lineRule="auto"/>
        <w:ind w:firstLine="482" w:firstLineChars="200"/>
        <w:rPr>
          <w:rFonts w:ascii="宋体" w:hAnsi="宋体" w:eastAsia="宋体"/>
          <w:b/>
          <w:color w:val="auto"/>
          <w:sz w:val="24"/>
          <w:highlight w:val="none"/>
        </w:rPr>
      </w:pPr>
      <w:r>
        <w:rPr>
          <w:rFonts w:hint="eastAsia" w:ascii="宋体" w:hAnsi="宋体" w:eastAsia="宋体"/>
          <w:b/>
          <w:color w:val="auto"/>
          <w:sz w:val="24"/>
          <w:highlight w:val="none"/>
        </w:rPr>
        <w:t>6．投标费用</w:t>
      </w:r>
    </w:p>
    <w:p>
      <w:pPr>
        <w:tabs>
          <w:tab w:val="left" w:pos="105"/>
        </w:tabs>
        <w:spacing w:line="360" w:lineRule="auto"/>
        <w:ind w:firstLine="480" w:firstLineChars="200"/>
        <w:rPr>
          <w:rFonts w:ascii="宋体" w:hAnsi="宋体" w:eastAsia="宋体"/>
          <w:bCs/>
          <w:color w:val="auto"/>
          <w:sz w:val="24"/>
          <w:highlight w:val="none"/>
        </w:rPr>
      </w:pPr>
      <w:r>
        <w:rPr>
          <w:rFonts w:hint="eastAsia" w:ascii="宋体" w:hAnsi="宋体" w:eastAsia="宋体"/>
          <w:color w:val="auto"/>
          <w:sz w:val="24"/>
          <w:highlight w:val="none"/>
        </w:rPr>
        <w:t>不论投标结果如何，投标人应承担</w:t>
      </w:r>
      <w:r>
        <w:rPr>
          <w:rFonts w:hint="eastAsia" w:ascii="宋体" w:hAnsi="宋体" w:eastAsia="宋体"/>
          <w:bCs/>
          <w:color w:val="auto"/>
          <w:sz w:val="24"/>
          <w:highlight w:val="none"/>
        </w:rPr>
        <w:t>自身</w:t>
      </w:r>
      <w:r>
        <w:rPr>
          <w:rFonts w:hint="eastAsia" w:ascii="宋体" w:hAnsi="宋体" w:eastAsia="宋体"/>
          <w:color w:val="auto"/>
          <w:sz w:val="24"/>
          <w:highlight w:val="none"/>
        </w:rPr>
        <w:t>因投标文件编制、递交及其他</w:t>
      </w:r>
      <w:r>
        <w:rPr>
          <w:rFonts w:hint="eastAsia" w:ascii="宋体" w:hAnsi="宋体" w:eastAsia="宋体"/>
          <w:bCs/>
          <w:color w:val="auto"/>
          <w:sz w:val="24"/>
          <w:highlight w:val="none"/>
        </w:rPr>
        <w:t>参加本招标活动</w:t>
      </w:r>
      <w:r>
        <w:rPr>
          <w:rFonts w:hint="eastAsia" w:ascii="宋体" w:hAnsi="宋体" w:eastAsia="宋体"/>
          <w:color w:val="auto"/>
          <w:sz w:val="24"/>
          <w:highlight w:val="none"/>
        </w:rPr>
        <w:t>所涉及的一切费用，招标人对上述费用不负任何责任。</w:t>
      </w:r>
    </w:p>
    <w:p>
      <w:pPr>
        <w:pStyle w:val="6"/>
        <w:spacing w:before="120"/>
        <w:rPr>
          <w:rFonts w:ascii="宋体" w:eastAsia="宋体"/>
          <w:color w:val="auto"/>
          <w:highlight w:val="none"/>
        </w:rPr>
      </w:pPr>
      <w:bookmarkStart w:id="66" w:name="_（二）招标文件"/>
      <w:bookmarkEnd w:id="66"/>
      <w:bookmarkStart w:id="67" w:name="_Toc12639"/>
      <w:bookmarkStart w:id="68" w:name="_Toc18139"/>
      <w:bookmarkStart w:id="69" w:name="_Toc18392"/>
      <w:bookmarkStart w:id="70" w:name="_Toc262229164"/>
      <w:bookmarkStart w:id="71" w:name="_Toc30798"/>
      <w:bookmarkStart w:id="72" w:name="_Toc2431"/>
      <w:bookmarkStart w:id="73" w:name="_Toc15387"/>
      <w:bookmarkStart w:id="74" w:name="_Toc101777613"/>
      <w:bookmarkStart w:id="75" w:name="_Toc7675"/>
      <w:bookmarkStart w:id="76" w:name="_Toc3488"/>
      <w:bookmarkStart w:id="77" w:name="_Toc31753"/>
      <w:r>
        <w:rPr>
          <w:rFonts w:hint="eastAsia" w:ascii="宋体" w:eastAsia="宋体"/>
          <w:color w:val="auto"/>
          <w:highlight w:val="none"/>
        </w:rPr>
        <w:t>（二）招标文件</w:t>
      </w:r>
      <w:bookmarkEnd w:id="67"/>
      <w:bookmarkEnd w:id="68"/>
      <w:bookmarkEnd w:id="69"/>
      <w:bookmarkEnd w:id="70"/>
      <w:bookmarkEnd w:id="71"/>
      <w:bookmarkEnd w:id="72"/>
      <w:bookmarkEnd w:id="73"/>
      <w:bookmarkEnd w:id="74"/>
      <w:bookmarkEnd w:id="75"/>
      <w:bookmarkEnd w:id="76"/>
      <w:bookmarkEnd w:id="77"/>
    </w:p>
    <w:p>
      <w:pPr>
        <w:tabs>
          <w:tab w:val="left" w:pos="105"/>
        </w:tabs>
        <w:spacing w:line="360" w:lineRule="auto"/>
        <w:ind w:firstLine="482" w:firstLineChars="200"/>
        <w:rPr>
          <w:rFonts w:ascii="宋体" w:hAnsi="宋体" w:eastAsia="宋体"/>
          <w:b/>
          <w:color w:val="auto"/>
          <w:sz w:val="24"/>
          <w:highlight w:val="none"/>
        </w:rPr>
      </w:pPr>
      <w:r>
        <w:rPr>
          <w:rFonts w:hint="eastAsia" w:ascii="宋体" w:hAnsi="宋体" w:eastAsia="宋体"/>
          <w:b/>
          <w:color w:val="auto"/>
          <w:sz w:val="24"/>
          <w:highlight w:val="none"/>
        </w:rPr>
        <w:t>7.招标文件的组成</w:t>
      </w:r>
    </w:p>
    <w:p>
      <w:pPr>
        <w:spacing w:line="360" w:lineRule="auto"/>
        <w:ind w:firstLine="480" w:firstLineChars="200"/>
        <w:rPr>
          <w:rFonts w:ascii="宋体" w:hAnsi="宋体" w:eastAsia="宋体"/>
          <w:color w:val="auto"/>
          <w:sz w:val="24"/>
          <w:highlight w:val="none"/>
        </w:rPr>
      </w:pPr>
      <w:r>
        <w:rPr>
          <w:rFonts w:hint="eastAsia" w:ascii="宋体" w:hAnsi="宋体" w:eastAsia="宋体"/>
          <w:bCs/>
          <w:color w:val="auto"/>
          <w:sz w:val="24"/>
          <w:highlight w:val="none"/>
        </w:rPr>
        <w:t>7.1</w:t>
      </w:r>
      <w:r>
        <w:rPr>
          <w:rFonts w:hint="eastAsia" w:ascii="宋体" w:hAnsi="宋体" w:eastAsia="宋体"/>
          <w:color w:val="auto"/>
          <w:sz w:val="24"/>
          <w:highlight w:val="none"/>
        </w:rPr>
        <w:t>本招标文件包括下列文件，以及所有按本须知第8条发出的招标答疑会会议纪要和按本须知第9条发出的澄清或修改：</w:t>
      </w:r>
    </w:p>
    <w:p>
      <w:pPr>
        <w:pStyle w:val="17"/>
        <w:spacing w:after="0" w:line="360" w:lineRule="auto"/>
        <w:ind w:firstLine="480" w:firstLineChars="200"/>
        <w:rPr>
          <w:rFonts w:ascii="宋体" w:hAnsi="宋体"/>
          <w:color w:val="auto"/>
          <w:sz w:val="24"/>
          <w:highlight w:val="none"/>
        </w:rPr>
      </w:pPr>
      <w:r>
        <w:rPr>
          <w:rFonts w:hint="eastAsia" w:ascii="宋体" w:hAnsi="宋体"/>
          <w:bCs/>
          <w:color w:val="auto"/>
          <w:sz w:val="24"/>
          <w:highlight w:val="none"/>
        </w:rPr>
        <w:t xml:space="preserve">第一章  </w:t>
      </w:r>
      <w:r>
        <w:rPr>
          <w:rFonts w:hint="eastAsia" w:ascii="宋体" w:hAnsi="宋体"/>
          <w:color w:val="auto"/>
          <w:sz w:val="24"/>
          <w:highlight w:val="none"/>
        </w:rPr>
        <w:t>投标须知</w:t>
      </w:r>
    </w:p>
    <w:p>
      <w:pPr>
        <w:pStyle w:val="17"/>
        <w:spacing w:after="0" w:line="360" w:lineRule="auto"/>
        <w:ind w:firstLine="480" w:firstLineChars="200"/>
        <w:rPr>
          <w:rFonts w:ascii="宋体" w:hAnsi="宋体"/>
          <w:color w:val="auto"/>
          <w:sz w:val="24"/>
          <w:highlight w:val="none"/>
        </w:rPr>
      </w:pPr>
      <w:r>
        <w:rPr>
          <w:rFonts w:hint="eastAsia" w:ascii="宋体" w:hAnsi="宋体"/>
          <w:bCs/>
          <w:color w:val="auto"/>
          <w:sz w:val="24"/>
          <w:highlight w:val="none"/>
        </w:rPr>
        <w:t xml:space="preserve">第二章  </w:t>
      </w:r>
      <w:r>
        <w:rPr>
          <w:rFonts w:hint="eastAsia" w:ascii="宋体" w:hAnsi="宋体"/>
          <w:color w:val="auto"/>
          <w:sz w:val="24"/>
          <w:highlight w:val="none"/>
        </w:rPr>
        <w:t>开标、评标及定标办法</w:t>
      </w:r>
    </w:p>
    <w:p>
      <w:pPr>
        <w:pStyle w:val="17"/>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第三章  合同条款（另册）</w:t>
      </w:r>
    </w:p>
    <w:p>
      <w:pPr>
        <w:pStyle w:val="17"/>
        <w:spacing w:after="0" w:line="360" w:lineRule="auto"/>
        <w:ind w:firstLine="480" w:firstLineChars="200"/>
        <w:rPr>
          <w:rFonts w:ascii="宋体" w:hAnsi="宋体"/>
          <w:b/>
          <w:color w:val="auto"/>
          <w:sz w:val="24"/>
          <w:highlight w:val="none"/>
        </w:rPr>
      </w:pPr>
      <w:r>
        <w:rPr>
          <w:rFonts w:hint="eastAsia" w:ascii="宋体" w:hAnsi="宋体"/>
          <w:bCs/>
          <w:color w:val="auto"/>
          <w:sz w:val="24"/>
          <w:highlight w:val="none"/>
        </w:rPr>
        <w:t xml:space="preserve">第四章  </w:t>
      </w:r>
      <w:r>
        <w:rPr>
          <w:rFonts w:hint="eastAsia" w:ascii="宋体" w:hAnsi="宋体"/>
          <w:color w:val="auto"/>
          <w:sz w:val="24"/>
          <w:highlight w:val="none"/>
        </w:rPr>
        <w:t>投标文件格式</w:t>
      </w:r>
    </w:p>
    <w:p>
      <w:pPr>
        <w:pStyle w:val="17"/>
        <w:spacing w:after="0" w:line="360" w:lineRule="auto"/>
        <w:ind w:firstLine="480" w:firstLineChars="200"/>
        <w:rPr>
          <w:rFonts w:ascii="宋体" w:hAnsi="宋体"/>
          <w:color w:val="auto"/>
          <w:sz w:val="24"/>
          <w:highlight w:val="none"/>
        </w:rPr>
      </w:pPr>
      <w:r>
        <w:rPr>
          <w:rFonts w:hint="eastAsia" w:ascii="宋体" w:hAnsi="宋体"/>
          <w:bCs/>
          <w:color w:val="auto"/>
          <w:sz w:val="24"/>
          <w:highlight w:val="none"/>
        </w:rPr>
        <w:t xml:space="preserve">第五章  </w:t>
      </w:r>
      <w:r>
        <w:rPr>
          <w:rFonts w:hint="eastAsia" w:ascii="宋体" w:hAnsi="宋体"/>
          <w:color w:val="auto"/>
          <w:sz w:val="24"/>
          <w:highlight w:val="none"/>
        </w:rPr>
        <w:t>技术条件（工程建设标准）</w:t>
      </w:r>
    </w:p>
    <w:p>
      <w:pPr>
        <w:pStyle w:val="17"/>
        <w:spacing w:after="0" w:line="360" w:lineRule="auto"/>
        <w:ind w:firstLine="480" w:firstLineChars="200"/>
        <w:rPr>
          <w:rFonts w:ascii="宋体" w:hAnsi="宋体"/>
          <w:color w:val="auto"/>
          <w:sz w:val="24"/>
          <w:highlight w:val="none"/>
        </w:rPr>
      </w:pPr>
      <w:r>
        <w:rPr>
          <w:rFonts w:hint="eastAsia" w:ascii="宋体" w:hAnsi="宋体"/>
          <w:bCs/>
          <w:color w:val="auto"/>
          <w:sz w:val="24"/>
          <w:highlight w:val="none"/>
        </w:rPr>
        <w:t xml:space="preserve">第六章  </w:t>
      </w:r>
      <w:r>
        <w:rPr>
          <w:rFonts w:hint="eastAsia" w:ascii="宋体" w:hAnsi="宋体"/>
          <w:color w:val="auto"/>
          <w:sz w:val="24"/>
          <w:highlight w:val="none"/>
        </w:rPr>
        <w:t>图纸及勘察资料（另册）</w:t>
      </w:r>
    </w:p>
    <w:p>
      <w:pPr>
        <w:pStyle w:val="17"/>
        <w:spacing w:after="0" w:line="360" w:lineRule="auto"/>
        <w:ind w:firstLine="480" w:firstLineChars="200"/>
        <w:rPr>
          <w:rFonts w:hint="eastAsia" w:ascii="宋体" w:hAnsi="宋体"/>
          <w:color w:val="auto"/>
          <w:sz w:val="24"/>
          <w:highlight w:val="none"/>
        </w:rPr>
      </w:pPr>
      <w:r>
        <w:rPr>
          <w:rFonts w:hint="eastAsia" w:ascii="宋体" w:hAnsi="宋体"/>
          <w:bCs/>
          <w:color w:val="auto"/>
          <w:sz w:val="24"/>
          <w:highlight w:val="none"/>
        </w:rPr>
        <w:t xml:space="preserve">第七章  </w:t>
      </w:r>
      <w:r>
        <w:rPr>
          <w:rFonts w:hint="eastAsia" w:ascii="宋体" w:hAnsi="宋体"/>
          <w:color w:val="auto"/>
          <w:sz w:val="24"/>
          <w:highlight w:val="none"/>
        </w:rPr>
        <w:t>工程量清单（另册）</w:t>
      </w:r>
    </w:p>
    <w:p>
      <w:pPr>
        <w:pStyle w:val="17"/>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第八章  最高投标限价（另册）</w:t>
      </w:r>
    </w:p>
    <w:p>
      <w:pPr>
        <w:pStyle w:val="17"/>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7.2 投标人获取招标文件后，应仔细检查招标文件的所有内容，认真审阅招标文件中所有的事项、格式、条款和规范要求等，若投标人的投标文件没有按招标文件要求递交全部资料，或投标文件实质上没有响应招标文件的要求，招标人将按评标办法的规定予以拒绝，并且不允许投标人通过修改或撤消其不符合要求的差异或保留使之成为具有响应性的投标文件。</w:t>
      </w:r>
    </w:p>
    <w:p>
      <w:pPr>
        <w:pStyle w:val="17"/>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7.3 投标人一旦中标，招标文件的内容对招标人和中标人双方均有约束力。</w:t>
      </w:r>
    </w:p>
    <w:p>
      <w:pPr>
        <w:pStyle w:val="17"/>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7.4</w:t>
      </w:r>
      <w:r>
        <w:rPr>
          <w:rFonts w:hint="eastAsia" w:ascii="宋体" w:hAnsi="宋体" w:cs="仿宋_GB2312"/>
          <w:color w:val="auto"/>
          <w:sz w:val="24"/>
          <w:szCs w:val="24"/>
          <w:highlight w:val="none"/>
        </w:rPr>
        <w:t>招标人（或委托招标代理机构）使用广东省内依法设立的电子认证服务机构签发的电子签名认证证书对电子招标文件进行电子签名及电子签章。该电子签名及电子签章对招标人手写签名或者盖章同等的法律效力。</w:t>
      </w:r>
    </w:p>
    <w:p>
      <w:pPr>
        <w:pStyle w:val="17"/>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7.5发布招标公告的同时，通过广州</w:t>
      </w:r>
      <w:r>
        <w:rPr>
          <w:rFonts w:hint="eastAsia" w:ascii="宋体" w:hAnsi="宋体" w:cs="仿宋_GB2312"/>
          <w:color w:val="auto"/>
          <w:sz w:val="24"/>
          <w:szCs w:val="24"/>
          <w:highlight w:val="none"/>
        </w:rPr>
        <w:t>公共资源交易中心网站发布电子招标文件、施工图纸、最高投标限价、成本警示价（如有）。</w:t>
      </w:r>
    </w:p>
    <w:p>
      <w:pPr>
        <w:pStyle w:val="17"/>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7.6招标文件一经在广州公共资源交易中心网站发布，视作已</w:t>
      </w:r>
      <w:r>
        <w:rPr>
          <w:rFonts w:hint="eastAsia" w:ascii="宋体" w:hAnsi="宋体"/>
          <w:color w:val="auto"/>
          <w:sz w:val="24"/>
          <w:highlight w:val="none"/>
        </w:rPr>
        <w:t>发放给所有投标人。</w:t>
      </w:r>
    </w:p>
    <w:p>
      <w:pPr>
        <w:pStyle w:val="17"/>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7.7投标人获取电子招标文件后，应仔细检查电子招标文件的合法有效性。合法有效的电子招标文件应具有招标人（或招标代理机构）的电子签名</w:t>
      </w:r>
      <w:r>
        <w:rPr>
          <w:rFonts w:hint="eastAsia" w:ascii="宋体" w:hAnsi="宋体" w:cs="仿宋_GB2312"/>
          <w:color w:val="auto"/>
          <w:sz w:val="24"/>
          <w:szCs w:val="24"/>
          <w:highlight w:val="none"/>
        </w:rPr>
        <w:t>及电子签章</w:t>
      </w:r>
      <w:r>
        <w:rPr>
          <w:rFonts w:hint="eastAsia" w:ascii="宋体" w:hAnsi="宋体"/>
          <w:color w:val="auto"/>
          <w:sz w:val="24"/>
          <w:szCs w:val="24"/>
          <w:highlight w:val="none"/>
        </w:rPr>
        <w:t>。</w:t>
      </w:r>
    </w:p>
    <w:p>
      <w:pPr>
        <w:pStyle w:val="17"/>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7.8招标人应在招标文件第四章中明确编制投标文件主要内容的格式要求。</w:t>
      </w:r>
    </w:p>
    <w:p>
      <w:pPr>
        <w:widowControl/>
        <w:snapToGrid w:val="0"/>
        <w:spacing w:line="360" w:lineRule="auto"/>
        <w:ind w:firstLine="482" w:firstLineChars="200"/>
        <w:jc w:val="left"/>
        <w:rPr>
          <w:rFonts w:ascii="宋体" w:hAnsi="宋体" w:eastAsia="宋体"/>
          <w:color w:val="auto"/>
          <w:sz w:val="24"/>
          <w:highlight w:val="none"/>
        </w:rPr>
      </w:pPr>
      <w:r>
        <w:rPr>
          <w:rFonts w:hint="eastAsia" w:ascii="宋体" w:hAnsi="宋体" w:eastAsia="宋体"/>
          <w:b/>
          <w:bCs/>
          <w:color w:val="auto"/>
          <w:sz w:val="24"/>
          <w:highlight w:val="none"/>
        </w:rPr>
        <w:t>8．招标答疑</w:t>
      </w:r>
    </w:p>
    <w:p>
      <w:pPr>
        <w:pStyle w:val="17"/>
        <w:spacing w:after="0" w:line="360" w:lineRule="auto"/>
        <w:ind w:firstLine="480" w:firstLineChars="200"/>
        <w:rPr>
          <w:rFonts w:ascii="宋体" w:hAnsi="宋体"/>
          <w:color w:val="auto"/>
          <w:sz w:val="24"/>
          <w:highlight w:val="none"/>
        </w:rPr>
      </w:pPr>
      <w:r>
        <w:rPr>
          <w:rFonts w:hint="eastAsia" w:ascii="宋体" w:hAnsi="宋体"/>
          <w:color w:val="auto"/>
          <w:sz w:val="24"/>
          <w:szCs w:val="21"/>
          <w:highlight w:val="none"/>
        </w:rPr>
        <w:t>8.1</w:t>
      </w:r>
      <w:r>
        <w:rPr>
          <w:rFonts w:hint="eastAsia" w:ascii="宋体" w:hAnsi="宋体"/>
          <w:color w:val="auto"/>
          <w:sz w:val="24"/>
          <w:highlight w:val="none"/>
        </w:rPr>
        <w:t xml:space="preserve"> 招标答疑采用网上答疑方式。投标人若对招标文件（包括招标图纸、清单、最高投标限价）有疑问的，可在规定的时间内通过</w:t>
      </w:r>
      <w:r>
        <w:rPr>
          <w:rFonts w:hint="eastAsia" w:ascii="宋体" w:hAnsi="宋体"/>
          <w:color w:val="auto"/>
          <w:sz w:val="24"/>
          <w:szCs w:val="24"/>
          <w:highlight w:val="none"/>
        </w:rPr>
        <w:t>广州公共资源交易中心网站</w:t>
      </w:r>
      <w:r>
        <w:rPr>
          <w:rFonts w:hint="eastAsia" w:ascii="宋体" w:hAnsi="宋体"/>
          <w:color w:val="auto"/>
          <w:sz w:val="24"/>
          <w:highlight w:val="none"/>
        </w:rPr>
        <w:t>凭密码进入提问区域将问题提交给招标人或招标代理机构，提交问题时一律不得署名。</w:t>
      </w:r>
    </w:p>
    <w:p>
      <w:pPr>
        <w:spacing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u w:val="single"/>
        </w:rPr>
        <w:t>网上答疑的操作指南为：登陆广州公共资源交易中心网站→进入“建设工程”交易业务→进入“网上答疑”专区→通过项目编号或名称找到所需的项目→在上述的答疑时间内点击“提问” →进入到提问区域→无记名或匿名提出问题以及查看所有的问题。</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8.2投标人应在招标公告发布之日起3天内对招标文件提出疑问。招标人应在递交投标文件截止时间15 日前解答投标人对招标文件提出的疑问，形成答疑纪要，并可在广州公共资源交易中心网站“招标答疑”专区发布。</w:t>
      </w:r>
    </w:p>
    <w:p>
      <w:pPr>
        <w:pStyle w:val="17"/>
        <w:spacing w:after="0"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8.3</w:t>
      </w:r>
      <w:r>
        <w:rPr>
          <w:rFonts w:hint="eastAsia" w:ascii="宋体" w:hAnsi="宋体"/>
          <w:color w:val="auto"/>
          <w:sz w:val="24"/>
          <w:highlight w:val="none"/>
        </w:rPr>
        <w:t>招标答疑纪要一经在广州公共资源交易中心网站发布，视作已发放给所有投标人。</w:t>
      </w:r>
    </w:p>
    <w:p>
      <w:pPr>
        <w:pStyle w:val="17"/>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8.4招标答疑纪要为招标文件的一部分。</w:t>
      </w:r>
      <w:r>
        <w:rPr>
          <w:rFonts w:hint="eastAsia" w:ascii="宋体" w:hAnsi="宋体"/>
          <w:color w:val="auto"/>
          <w:sz w:val="24"/>
          <w:szCs w:val="24"/>
          <w:highlight w:val="none"/>
        </w:rPr>
        <w:t>投标人可在广州公共资源交易中心网站浏览、下载招标答疑纪要。</w:t>
      </w:r>
    </w:p>
    <w:p>
      <w:pPr>
        <w:pStyle w:val="17"/>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8.5若招标答疑纪要与招标文件有矛盾时，以</w:t>
      </w:r>
      <w:r>
        <w:rPr>
          <w:rFonts w:hint="eastAsia" w:ascii="宋体" w:hAnsi="宋体"/>
          <w:color w:val="auto"/>
          <w:sz w:val="24"/>
          <w:szCs w:val="24"/>
          <w:highlight w:val="none"/>
        </w:rPr>
        <w:t>广州公共资源交易中心网站</w:t>
      </w:r>
      <w:r>
        <w:rPr>
          <w:rFonts w:hint="eastAsia" w:ascii="宋体" w:hAnsi="宋体"/>
          <w:color w:val="auto"/>
          <w:sz w:val="24"/>
          <w:highlight w:val="none"/>
        </w:rPr>
        <w:t>最后发布的答疑纪要为准。</w:t>
      </w:r>
    </w:p>
    <w:p>
      <w:pPr>
        <w:pStyle w:val="17"/>
        <w:spacing w:after="0"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9.招标文件的澄清与修改</w:t>
      </w:r>
    </w:p>
    <w:p>
      <w:pPr>
        <w:pStyle w:val="17"/>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9.1招标文件发出后，在递交投标文件截止时间15日前，招标人可对招标文件进行必要的澄清或修改。</w:t>
      </w:r>
    </w:p>
    <w:p>
      <w:pPr>
        <w:pStyle w:val="17"/>
        <w:spacing w:before="50" w:after="50" w:line="360" w:lineRule="auto"/>
        <w:ind w:firstLine="480" w:firstLineChars="200"/>
        <w:rPr>
          <w:rFonts w:ascii="宋体" w:hAnsi="宋体"/>
          <w:color w:val="auto"/>
          <w:sz w:val="24"/>
          <w:highlight w:val="none"/>
        </w:rPr>
      </w:pPr>
      <w:r>
        <w:rPr>
          <w:rFonts w:hint="eastAsia" w:ascii="宋体" w:hAnsi="宋体"/>
          <w:color w:val="auto"/>
          <w:sz w:val="24"/>
          <w:highlight w:val="none"/>
        </w:rPr>
        <w:t>9.2招标文件的澄清或修改在广州公共资源交易中心网站发布。招标文件的澄清或修改一经在广州公共资源交易中心网站发布，视作已发放给所有投标人。</w:t>
      </w:r>
    </w:p>
    <w:p>
      <w:pPr>
        <w:pStyle w:val="17"/>
        <w:spacing w:before="50" w:after="50" w:line="360" w:lineRule="auto"/>
        <w:ind w:firstLine="480" w:firstLineChars="200"/>
        <w:rPr>
          <w:rFonts w:ascii="宋体" w:hAnsi="宋体"/>
          <w:color w:val="auto"/>
          <w:sz w:val="24"/>
          <w:highlight w:val="none"/>
        </w:rPr>
      </w:pPr>
      <w:r>
        <w:rPr>
          <w:rFonts w:hint="eastAsia" w:ascii="宋体" w:hAnsi="宋体"/>
          <w:color w:val="auto"/>
          <w:sz w:val="24"/>
          <w:highlight w:val="none"/>
        </w:rPr>
        <w:t>9.3招标文件的澄清、修改作为招标文件的组成部分，具有约束作用。</w:t>
      </w:r>
    </w:p>
    <w:p>
      <w:pPr>
        <w:pStyle w:val="17"/>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9.4招标文件的澄清、修改均以</w:t>
      </w:r>
      <w:r>
        <w:rPr>
          <w:rFonts w:hint="eastAsia" w:ascii="宋体" w:hAnsi="宋体"/>
          <w:color w:val="auto"/>
          <w:sz w:val="24"/>
          <w:szCs w:val="24"/>
          <w:highlight w:val="none"/>
        </w:rPr>
        <w:t>广州公共资源交易中心网站发布</w:t>
      </w:r>
      <w:r>
        <w:rPr>
          <w:rFonts w:hint="eastAsia" w:ascii="宋体" w:hAnsi="宋体"/>
          <w:color w:val="auto"/>
          <w:sz w:val="24"/>
          <w:highlight w:val="none"/>
        </w:rPr>
        <w:t>的内容为准。当招标文件的澄清、修改在同一内容的表述不一致时，以</w:t>
      </w:r>
      <w:r>
        <w:rPr>
          <w:rFonts w:hint="eastAsia" w:ascii="宋体" w:hAnsi="宋体"/>
          <w:color w:val="auto"/>
          <w:sz w:val="24"/>
          <w:szCs w:val="24"/>
          <w:highlight w:val="none"/>
        </w:rPr>
        <w:t>广州公共资源交易中心网站</w:t>
      </w:r>
      <w:r>
        <w:rPr>
          <w:rFonts w:hint="eastAsia" w:ascii="宋体" w:hAnsi="宋体"/>
          <w:color w:val="auto"/>
          <w:sz w:val="24"/>
          <w:highlight w:val="none"/>
        </w:rPr>
        <w:t>最后发布的内容为准。</w:t>
      </w:r>
    </w:p>
    <w:p>
      <w:pPr>
        <w:pStyle w:val="17"/>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9.5为使投标人在编制投标文件时有充分的时间对招标文件的澄清或修改等内容考虑进去，招标人将酌情延长递交投标文件的截止时间，具体时间将在招标文件的澄清或修改中予以明确。若澄清或修改中没有明确延长时间，即表示投标时间不延长。</w:t>
      </w:r>
    </w:p>
    <w:p>
      <w:pPr>
        <w:pStyle w:val="6"/>
        <w:spacing w:before="120"/>
        <w:rPr>
          <w:rFonts w:ascii="宋体" w:eastAsia="宋体"/>
          <w:color w:val="auto"/>
          <w:highlight w:val="none"/>
        </w:rPr>
      </w:pPr>
      <w:bookmarkStart w:id="78" w:name="_（三）投标文件的编制"/>
      <w:bookmarkEnd w:id="78"/>
      <w:bookmarkStart w:id="79" w:name="_Toc13948"/>
      <w:bookmarkStart w:id="80" w:name="_Toc26506"/>
      <w:bookmarkStart w:id="81" w:name="_Toc8016"/>
      <w:bookmarkStart w:id="82" w:name="_Toc11866"/>
      <w:bookmarkStart w:id="83" w:name="_Toc13014"/>
      <w:bookmarkStart w:id="84" w:name="_Toc30725"/>
      <w:bookmarkStart w:id="85" w:name="_Toc32165"/>
      <w:bookmarkStart w:id="86" w:name="_Toc10953"/>
      <w:bookmarkStart w:id="87" w:name="_Toc262229165"/>
      <w:bookmarkStart w:id="88" w:name="_Toc391"/>
      <w:bookmarkStart w:id="89" w:name="_Toc101777614"/>
      <w:r>
        <w:rPr>
          <w:rFonts w:hint="eastAsia" w:ascii="宋体" w:eastAsia="宋体"/>
          <w:color w:val="auto"/>
          <w:highlight w:val="none"/>
        </w:rPr>
        <w:t>（三）投标文件的编制</w:t>
      </w:r>
      <w:bookmarkEnd w:id="79"/>
      <w:bookmarkEnd w:id="80"/>
      <w:bookmarkEnd w:id="81"/>
      <w:bookmarkEnd w:id="82"/>
      <w:bookmarkEnd w:id="83"/>
      <w:bookmarkEnd w:id="84"/>
      <w:bookmarkEnd w:id="85"/>
      <w:bookmarkEnd w:id="86"/>
      <w:bookmarkEnd w:id="87"/>
      <w:bookmarkEnd w:id="88"/>
      <w:bookmarkEnd w:id="89"/>
    </w:p>
    <w:p>
      <w:pPr>
        <w:pStyle w:val="17"/>
        <w:spacing w:after="0"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10．投标文件的语言及度量衡单位</w:t>
      </w:r>
    </w:p>
    <w:p>
      <w:pPr>
        <w:pStyle w:val="17"/>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10.1 投标文件和与投标有关的所有文件均应使用中文。</w:t>
      </w:r>
    </w:p>
    <w:p>
      <w:pPr>
        <w:pStyle w:val="17"/>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10.2 除工程规范另有规定外，投标文件使用的度量衡单位，均采用中华人民共和国法定计量单位。</w:t>
      </w:r>
    </w:p>
    <w:p>
      <w:pPr>
        <w:pStyle w:val="17"/>
        <w:spacing w:after="0"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11．投标文件的组成</w:t>
      </w:r>
    </w:p>
    <w:p>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11.1投标文件由资格审查部分和技术经济部分两部分组成。</w:t>
      </w:r>
    </w:p>
    <w:p>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11.2资格审查文件主要包括的内容：</w:t>
      </w:r>
    </w:p>
    <w:p>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11.2.1法定代表人证明书，如投标文件为委托代理人签署应同时附上法定代表人证明书和法定代表人授权书；</w:t>
      </w:r>
    </w:p>
    <w:p>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11.2.2</w:t>
      </w:r>
      <w:r>
        <w:rPr>
          <w:rFonts w:hint="eastAsia" w:ascii="宋体" w:hAnsi="宋体" w:eastAsia="宋体"/>
          <w:color w:val="auto"/>
          <w:sz w:val="24"/>
          <w:szCs w:val="24"/>
          <w:highlight w:val="none"/>
        </w:rPr>
        <w:t>工商行政管理部门核发的</w:t>
      </w:r>
      <w:r>
        <w:rPr>
          <w:rFonts w:hint="eastAsia" w:ascii="宋体" w:hAnsi="宋体" w:eastAsia="宋体"/>
          <w:bCs/>
          <w:color w:val="auto"/>
          <w:sz w:val="24"/>
          <w:szCs w:val="24"/>
          <w:highlight w:val="none"/>
        </w:rPr>
        <w:t>营业执照；</w:t>
      </w:r>
    </w:p>
    <w:p>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11.2.3项目负责人（按招标公告要求和网上投标登记时选择拟投标的项目负责人）</w:t>
      </w:r>
      <w:r>
        <w:rPr>
          <w:rFonts w:hint="eastAsia" w:ascii="宋体" w:hAnsi="宋体" w:eastAsia="宋体"/>
          <w:color w:val="auto"/>
          <w:kern w:val="0"/>
          <w:sz w:val="24"/>
          <w:szCs w:val="24"/>
          <w:highlight w:val="none"/>
        </w:rPr>
        <w:t>；</w:t>
      </w:r>
    </w:p>
    <w:p>
      <w:pPr>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11.2.4用于资格审查的业绩（设置业绩要求时选择此项，投标人选择用于资格审查的业绩须用本企业的CA数字证书对生成的内容进行签章）；</w:t>
      </w:r>
    </w:p>
    <w:p>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11.2.5</w:t>
      </w:r>
      <w:r>
        <w:rPr>
          <w:rFonts w:ascii="微软雅黑" w:hAnsi="微软雅黑" w:eastAsia="微软雅黑" w:cs="微软雅黑"/>
          <w:i w:val="0"/>
          <w:iCs w:val="0"/>
          <w:caps w:val="0"/>
          <w:color w:val="333333"/>
          <w:spacing w:val="0"/>
          <w:sz w:val="21"/>
          <w:szCs w:val="21"/>
          <w:shd w:val="clear" w:fill="FFFFFF"/>
        </w:rPr>
        <w:t>专职安全员须具有在有效期内的安全生产考核合格证书（C类）或建筑施工企业专职安全生产管理人员安全生产考核合格证书（C3）</w:t>
      </w:r>
      <w:r>
        <w:rPr>
          <w:rFonts w:hint="eastAsia" w:ascii="宋体" w:hAnsi="宋体" w:eastAsia="宋体"/>
          <w:bCs/>
          <w:color w:val="auto"/>
          <w:sz w:val="24"/>
          <w:szCs w:val="24"/>
          <w:highlight w:val="none"/>
        </w:rPr>
        <w:t>（按网上投标登记时选择拟派专职安全员）；</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bCs/>
          <w:color w:val="auto"/>
          <w:sz w:val="24"/>
          <w:szCs w:val="24"/>
          <w:highlight w:val="none"/>
        </w:rPr>
        <w:t>11.2.6</w:t>
      </w:r>
      <w:r>
        <w:rPr>
          <w:rFonts w:hint="eastAsia" w:ascii="宋体" w:hAnsi="宋体" w:eastAsia="宋体"/>
          <w:color w:val="auto"/>
          <w:sz w:val="24"/>
          <w:szCs w:val="24"/>
          <w:highlight w:val="none"/>
        </w:rPr>
        <w:t>投标人按照规定的格式及内容要求签署的《投标人声明》（格式见第四章）；</w:t>
      </w:r>
    </w:p>
    <w:p>
      <w:pPr>
        <w:spacing w:line="360" w:lineRule="auto"/>
        <w:ind w:firstLine="480" w:firstLineChars="20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11.2.7</w:t>
      </w:r>
      <w:r>
        <w:rPr>
          <w:rFonts w:hint="eastAsia" w:ascii="宋体" w:hAnsi="宋体" w:eastAsia="宋体" w:cs="Times New Roman"/>
          <w:bCs w:val="0"/>
          <w:color w:val="auto"/>
          <w:sz w:val="24"/>
          <w:szCs w:val="24"/>
          <w:highlight w:val="none"/>
        </w:rPr>
        <w:t>关于联合体投标：</w:t>
      </w:r>
      <w:r>
        <w:rPr>
          <w:rFonts w:hint="eastAsia" w:ascii="宋体" w:hAnsi="宋体" w:eastAsia="宋体" w:cs="Times New Roman"/>
          <w:bCs w:val="0"/>
          <w:color w:val="auto"/>
          <w:sz w:val="24"/>
          <w:szCs w:val="24"/>
          <w:highlight w:val="none"/>
          <w:u w:val="single"/>
        </w:rPr>
        <w:t>本项目</w:t>
      </w:r>
      <w:r>
        <w:rPr>
          <w:rFonts w:hint="eastAsia" w:ascii="宋体" w:hAnsi="宋体" w:eastAsia="宋体" w:cs="Times New Roman"/>
          <w:bCs w:val="0"/>
          <w:color w:val="auto"/>
          <w:sz w:val="24"/>
          <w:szCs w:val="24"/>
          <w:highlight w:val="none"/>
          <w:u w:val="single"/>
          <w:lang w:val="en-US" w:eastAsia="zh-CN"/>
        </w:rPr>
        <w:t>不</w:t>
      </w:r>
      <w:r>
        <w:rPr>
          <w:rFonts w:hint="eastAsia" w:ascii="宋体" w:hAnsi="宋体" w:eastAsia="宋体" w:cs="Times New Roman"/>
          <w:bCs w:val="0"/>
          <w:color w:val="auto"/>
          <w:sz w:val="24"/>
          <w:szCs w:val="24"/>
          <w:highlight w:val="none"/>
          <w:u w:val="single"/>
        </w:rPr>
        <w:t>接受联合体投标。</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11.2.8未被列入国家、省、市失信联合惩戒名单，或未因失信行为被本项目所在地行政主管部门作出限制参与工程建设项目投标的决定。</w:t>
      </w:r>
    </w:p>
    <w:p>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注：资格审查内容的11.2.2至11.2.5项</w:t>
      </w:r>
      <w:r>
        <w:rPr>
          <w:rFonts w:hint="eastAsia" w:ascii="宋体" w:hAnsi="宋体" w:eastAsia="宋体"/>
          <w:color w:val="auto"/>
          <w:sz w:val="24"/>
          <w:szCs w:val="24"/>
          <w:highlight w:val="none"/>
        </w:rPr>
        <w:t>（除广东省建筑施工企业管理人员安全生产考核信息系统安全生产管理人员证书信息的打印页、《信息公开证明》打印页外）的资料取自投标申请人在</w:t>
      </w:r>
      <w:r>
        <w:rPr>
          <w:rFonts w:hint="eastAsia" w:ascii="宋体" w:hAnsi="宋体" w:eastAsia="宋体"/>
          <w:color w:val="auto"/>
          <w:sz w:val="24"/>
          <w:szCs w:val="24"/>
          <w:highlight w:val="none"/>
          <w:lang w:eastAsia="zh-CN"/>
        </w:rPr>
        <w:t>广州公共资源交易平台</w:t>
      </w:r>
      <w:r>
        <w:rPr>
          <w:rFonts w:hint="eastAsia" w:ascii="宋体" w:hAnsi="宋体" w:eastAsia="宋体"/>
          <w:color w:val="auto"/>
          <w:sz w:val="24"/>
          <w:szCs w:val="24"/>
          <w:highlight w:val="none"/>
        </w:rPr>
        <w:t>企业库、城市园林绿化企业工程业绩库中的资料，</w:t>
      </w:r>
      <w:r>
        <w:rPr>
          <w:rFonts w:hint="eastAsia" w:ascii="宋体" w:hAnsi="宋体" w:eastAsia="宋体"/>
          <w:color w:val="auto"/>
          <w:sz w:val="24"/>
          <w:szCs w:val="24"/>
          <w:highlight w:val="none"/>
          <w:lang w:eastAsia="zh-CN"/>
        </w:rPr>
        <w:t>广州公共资源交易平台</w:t>
      </w:r>
      <w:r>
        <w:rPr>
          <w:rFonts w:hint="eastAsia" w:ascii="宋体" w:hAnsi="宋体" w:eastAsia="宋体"/>
          <w:color w:val="auto"/>
          <w:sz w:val="24"/>
          <w:szCs w:val="24"/>
          <w:highlight w:val="none"/>
        </w:rPr>
        <w:t>企业库、城市园林绿化企业工程业绩库中该部分信息将被视为投标申请人递交的资格审查资料的一部分，</w:t>
      </w:r>
      <w:r>
        <w:rPr>
          <w:rFonts w:hint="eastAsia" w:ascii="宋体" w:hAnsi="宋体" w:eastAsia="宋体"/>
          <w:bCs/>
          <w:color w:val="auto"/>
          <w:sz w:val="24"/>
          <w:szCs w:val="24"/>
          <w:highlight w:val="none"/>
        </w:rPr>
        <w:t>资格审查文件不需另行提交。</w:t>
      </w:r>
    </w:p>
    <w:p>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11.3技术部分（施工组织方案）文件（办法二可选）：</w:t>
      </w:r>
    </w:p>
    <w:p>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技术部分（施工组织方案）文件评审采用“暗标形式”，文件中不得出现名称、印章、商标、投标金额等记认符号（或使人辨认出投标人或其专业技术人员的身份）或出现涉及人员姓名、简历等暴露投标人身份的内容。技术部分（施工组织方案）文件投标文件应包含但不限于一下内容：</w:t>
      </w:r>
    </w:p>
    <w:p>
      <w:pPr>
        <w:numPr>
          <w:ilvl w:val="0"/>
          <w:numId w:val="3"/>
        </w:num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技术部分（施工组织方案）文件以A4（210mm*297mm）规格编排；</w:t>
      </w:r>
    </w:p>
    <w:p>
      <w:pPr>
        <w:numPr>
          <w:ilvl w:val="0"/>
          <w:numId w:val="3"/>
        </w:numPr>
        <w:spacing w:line="360" w:lineRule="auto"/>
        <w:ind w:firstLine="480" w:firstLineChars="200"/>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u w:val="single"/>
        </w:rPr>
        <w:t xml:space="preserve">技术部分（施工组织方案）文件页数最多不超过 </w:t>
      </w:r>
      <w:r>
        <w:rPr>
          <w:rFonts w:hint="eastAsia" w:ascii="宋体" w:hAnsi="宋体" w:eastAsia="宋体"/>
          <w:bCs/>
          <w:color w:val="auto"/>
          <w:sz w:val="24"/>
          <w:szCs w:val="24"/>
          <w:highlight w:val="none"/>
          <w:u w:val="single"/>
          <w:lang w:val="en-US" w:eastAsia="zh-CN"/>
        </w:rPr>
        <w:t>50</w:t>
      </w:r>
      <w:r>
        <w:rPr>
          <w:rFonts w:hint="eastAsia" w:ascii="宋体" w:hAnsi="宋体" w:eastAsia="宋体"/>
          <w:bCs/>
          <w:color w:val="auto"/>
          <w:sz w:val="24"/>
          <w:szCs w:val="24"/>
          <w:highlight w:val="none"/>
          <w:u w:val="single"/>
        </w:rPr>
        <w:t xml:space="preserve"> 页（50页，不包括封面及目录页）；</w:t>
      </w:r>
    </w:p>
    <w:p>
      <w:pPr>
        <w:numPr>
          <w:ilvl w:val="0"/>
          <w:numId w:val="3"/>
        </w:numPr>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技术部分（施工组织方案）文件正文内容：</w:t>
      </w:r>
    </w:p>
    <w:p>
      <w:pPr>
        <w:spacing w:line="360" w:lineRule="auto"/>
        <w:ind w:left="420" w:left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 xml:space="preserve">  ①封面：写明项目名称、编制年月；</w:t>
      </w:r>
    </w:p>
    <w:p>
      <w:pPr>
        <w:spacing w:line="360" w:lineRule="auto"/>
        <w:ind w:left="420" w:left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 xml:space="preserve">  ②目录；</w:t>
      </w:r>
    </w:p>
    <w:p>
      <w:pPr>
        <w:spacing w:line="360" w:lineRule="auto"/>
        <w:ind w:left="420" w:left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 xml:space="preserve">  ③概况；</w:t>
      </w:r>
    </w:p>
    <w:p>
      <w:pPr>
        <w:spacing w:line="360" w:lineRule="auto"/>
        <w:ind w:left="420" w:left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 xml:space="preserve">  ④工作目标与组织架构；</w:t>
      </w:r>
    </w:p>
    <w:p>
      <w:pPr>
        <w:spacing w:line="360" w:lineRule="auto"/>
        <w:ind w:left="420" w:left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 xml:space="preserve">  ⑤现状调研与分析；</w:t>
      </w:r>
    </w:p>
    <w:p>
      <w:pPr>
        <w:spacing w:line="360" w:lineRule="auto"/>
        <w:ind w:left="420" w:left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 xml:space="preserve">  ⑥实施方案；</w:t>
      </w:r>
    </w:p>
    <w:p>
      <w:pPr>
        <w:spacing w:line="360" w:lineRule="auto"/>
        <w:ind w:left="420" w:left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 xml:space="preserve">  ⑦投资及风险控制；</w:t>
      </w:r>
    </w:p>
    <w:p>
      <w:pPr>
        <w:spacing w:line="360" w:lineRule="auto"/>
        <w:ind w:left="420" w:left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 xml:space="preserve">  ⑧投标人认为有必要提供的其他资料</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11.4技术部分（项目实施能力）主要包括的内容：</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11.4.1《投标函》</w:t>
      </w:r>
      <w:r>
        <w:rPr>
          <w:rFonts w:hint="eastAsia" w:ascii="宋体" w:hAnsi="宋体" w:eastAsia="宋体"/>
          <w:color w:val="auto"/>
          <w:sz w:val="24"/>
          <w:szCs w:val="24"/>
          <w:highlight w:val="none"/>
          <w:lang w:eastAsia="zh-CN"/>
        </w:rPr>
        <w:t>、</w:t>
      </w:r>
      <w:r>
        <w:rPr>
          <w:rFonts w:hint="eastAsia" w:ascii="宋体" w:hAnsi="宋体" w:eastAsia="宋体" w:cs="Times New Roman"/>
          <w:bCs/>
          <w:color w:val="auto"/>
          <w:sz w:val="24"/>
          <w:szCs w:val="24"/>
          <w:highlight w:val="none"/>
          <w:u w:val="single"/>
        </w:rPr>
        <w:t>《项目负责人驻场承诺书》</w:t>
      </w:r>
      <w:r>
        <w:rPr>
          <w:rFonts w:hint="eastAsia" w:ascii="宋体" w:hAnsi="宋体" w:eastAsia="宋体"/>
          <w:color w:val="auto"/>
          <w:sz w:val="24"/>
          <w:szCs w:val="24"/>
          <w:highlight w:val="none"/>
        </w:rPr>
        <w:t>（格式见第四章）；</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11.4.2《广州园林绿化工程施工招标投标书》（格式见第四章）；</w:t>
      </w:r>
    </w:p>
    <w:p>
      <w:pPr>
        <w:spacing w:line="360" w:lineRule="auto"/>
        <w:ind w:right="-290" w:rightChars="-138"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11.4.3《响应招标文件所附施工组织设计要点的承诺书》（格式见第四章）；</w:t>
      </w:r>
    </w:p>
    <w:p>
      <w:pPr>
        <w:spacing w:line="360" w:lineRule="auto"/>
        <w:ind w:right="-290" w:rightChars="-138"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11.4.4《对投标文件编制的承诺》（格式见第四章）；</w:t>
      </w:r>
    </w:p>
    <w:p>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11.4.5项目管理机构能力（办法二可选）；</w:t>
      </w:r>
    </w:p>
    <w:p>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（1）投标人应列出本工程的施工组织机构构成和画出机构框架图及其负责人；</w:t>
      </w:r>
    </w:p>
    <w:p>
      <w:pPr>
        <w:spacing w:line="360" w:lineRule="auto"/>
        <w:ind w:firstLine="480" w:firstLineChars="200"/>
        <w:rPr>
          <w:rFonts w:hint="eastAsia" w:ascii="宋体" w:hAnsi="宋体" w:eastAsia="宋体" w:cs="Times New Roman"/>
          <w:bCs/>
          <w:color w:val="auto"/>
          <w:sz w:val="24"/>
          <w:szCs w:val="24"/>
          <w:highlight w:val="none"/>
          <w:u w:val="single"/>
        </w:rPr>
      </w:pPr>
      <w:r>
        <w:rPr>
          <w:rFonts w:hint="eastAsia" w:ascii="宋体" w:hAnsi="宋体" w:eastAsia="宋体"/>
          <w:bCs/>
          <w:color w:val="auto"/>
          <w:sz w:val="24"/>
          <w:szCs w:val="24"/>
          <w:highlight w:val="none"/>
        </w:rPr>
        <w:t>（2）投标人应详细列出本工程组织机构中主要成员的名单、简历资料、职务职称和在本项目中拟担任的职务等资料，并附上有关证明材料</w:t>
      </w:r>
      <w:r>
        <w:rPr>
          <w:rFonts w:hint="eastAsia" w:ascii="宋体" w:hAnsi="宋体" w:eastAsia="宋体"/>
          <w:bCs/>
          <w:color w:val="auto"/>
          <w:sz w:val="24"/>
          <w:szCs w:val="24"/>
          <w:highlight w:val="none"/>
          <w:lang w:val="en-US" w:eastAsia="zh-CN"/>
        </w:rPr>
        <w:t>扫描件</w:t>
      </w:r>
      <w:r>
        <w:rPr>
          <w:rFonts w:hint="eastAsia" w:ascii="宋体" w:hAnsi="宋体" w:eastAsia="宋体" w:cs="Times New Roman"/>
          <w:bCs/>
          <w:color w:val="auto"/>
          <w:sz w:val="24"/>
          <w:szCs w:val="24"/>
          <w:highlight w:val="none"/>
          <w:u w:val="single"/>
        </w:rPr>
        <w:t>（格式见第四章附件20《项目管理架构人员配置承诺书》 、附件21《主要人员简历表》）；</w:t>
      </w:r>
    </w:p>
    <w:p>
      <w:pPr>
        <w:spacing w:line="360" w:lineRule="auto"/>
        <w:ind w:firstLine="480" w:firstLineChars="200"/>
        <w:rPr>
          <w:rFonts w:hint="eastAsia" w:ascii="宋体" w:hAnsi="宋体" w:eastAsia="宋体"/>
          <w:bCs/>
          <w:color w:val="auto"/>
          <w:sz w:val="24"/>
          <w:szCs w:val="24"/>
          <w:highlight w:val="none"/>
          <w:lang w:eastAsia="zh-CN"/>
        </w:rPr>
      </w:pPr>
      <w:r>
        <w:rPr>
          <w:rFonts w:hint="eastAsia" w:ascii="宋体" w:hAnsi="宋体" w:eastAsia="宋体"/>
          <w:bCs/>
          <w:color w:val="auto"/>
          <w:sz w:val="24"/>
          <w:szCs w:val="24"/>
          <w:highlight w:val="none"/>
        </w:rPr>
        <w:t>（3）项目负责人能力、企业技术力量配备情况</w:t>
      </w:r>
      <w:r>
        <w:rPr>
          <w:rFonts w:hint="eastAsia" w:ascii="宋体" w:hAnsi="宋体" w:eastAsia="宋体"/>
          <w:bCs/>
          <w:color w:val="auto"/>
          <w:sz w:val="24"/>
          <w:szCs w:val="24"/>
          <w:highlight w:val="none"/>
          <w:lang w:eastAsia="zh-CN"/>
        </w:rPr>
        <w:t>；</w:t>
      </w:r>
    </w:p>
    <w:p>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w:t>
      </w:r>
      <w:r>
        <w:rPr>
          <w:rFonts w:hint="eastAsia" w:ascii="宋体" w:hAnsi="宋体" w:eastAsia="宋体"/>
          <w:bCs/>
          <w:color w:val="auto"/>
          <w:sz w:val="24"/>
          <w:szCs w:val="24"/>
          <w:highlight w:val="none"/>
          <w:lang w:val="en-US" w:eastAsia="zh-CN"/>
        </w:rPr>
        <w:t>4</w:t>
      </w:r>
      <w:r>
        <w:rPr>
          <w:rFonts w:hint="eastAsia" w:ascii="宋体" w:hAnsi="宋体" w:eastAsia="宋体"/>
          <w:bCs/>
          <w:color w:val="auto"/>
          <w:sz w:val="24"/>
          <w:szCs w:val="24"/>
          <w:highlight w:val="none"/>
        </w:rPr>
        <w:t>）其他辅助说明资料。</w:t>
      </w:r>
    </w:p>
    <w:p>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11.4.6机械设备投入情况（办法二可选）；</w:t>
      </w:r>
    </w:p>
    <w:p>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（1）机械设备为自有或租赁的说明；</w:t>
      </w:r>
    </w:p>
    <w:p>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（2）若机械设备为租赁，租赁期应满足本工程工期要求，并承诺其租赁不属于重复租赁。</w:t>
      </w:r>
    </w:p>
    <w:p>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11.4.7企业施工经验（投标人选择用于评标的业绩须用本企业的CA数字证书对生成的内容进行签章。业绩资料取自投标人在</w:t>
      </w:r>
      <w:r>
        <w:rPr>
          <w:rFonts w:hint="eastAsia" w:ascii="宋体" w:hAnsi="宋体" w:eastAsia="宋体"/>
          <w:color w:val="auto"/>
          <w:sz w:val="24"/>
          <w:szCs w:val="24"/>
          <w:highlight w:val="none"/>
        </w:rPr>
        <w:t>广州公共资源交易中心城市园林绿化企业工程业绩库中的资料，</w:t>
      </w:r>
      <w:r>
        <w:rPr>
          <w:rFonts w:hint="eastAsia" w:ascii="宋体" w:hAnsi="宋体" w:eastAsia="宋体"/>
          <w:bCs/>
          <w:color w:val="auto"/>
          <w:sz w:val="24"/>
          <w:szCs w:val="24"/>
          <w:highlight w:val="none"/>
        </w:rPr>
        <w:t>在</w:t>
      </w:r>
      <w:r>
        <w:rPr>
          <w:rFonts w:hint="eastAsia" w:ascii="宋体" w:hAnsi="宋体" w:eastAsia="宋体"/>
          <w:color w:val="auto"/>
          <w:sz w:val="24"/>
          <w:szCs w:val="24"/>
          <w:highlight w:val="none"/>
        </w:rPr>
        <w:t>广州公共资源交易中心城市园林绿化企业工程业绩库记录的该部分资料将被视为投标人递交的投标资料的一部分，投标资料不需另行提交。</w:t>
      </w:r>
      <w:r>
        <w:rPr>
          <w:rFonts w:hint="eastAsia" w:ascii="宋体" w:hAnsi="宋体" w:eastAsia="宋体"/>
          <w:bCs/>
          <w:color w:val="auto"/>
          <w:sz w:val="24"/>
          <w:szCs w:val="24"/>
          <w:highlight w:val="none"/>
        </w:rPr>
        <w:t>）</w:t>
      </w:r>
    </w:p>
    <w:p>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11.4.8其他评审内容（办法二可选）；</w:t>
      </w:r>
    </w:p>
    <w:p>
      <w:pPr>
        <w:tabs>
          <w:tab w:val="left" w:pos="1125"/>
        </w:tabs>
        <w:spacing w:line="360" w:lineRule="auto"/>
        <w:ind w:firstLine="480" w:firstLineChars="200"/>
        <w:rPr>
          <w:rFonts w:ascii="宋体" w:hAnsi="宋体" w:eastAsia="宋体"/>
          <w:color w:val="auto"/>
          <w:sz w:val="24"/>
          <w:szCs w:val="24"/>
          <w:highlight w:val="none"/>
        </w:rPr>
      </w:pPr>
      <w:r>
        <w:rPr>
          <w:rFonts w:hint="eastAsia" w:ascii="宋体" w:hAnsi="宋体" w:eastAsia="宋体"/>
          <w:bCs/>
          <w:color w:val="auto"/>
          <w:sz w:val="24"/>
          <w:szCs w:val="24"/>
          <w:highlight w:val="none"/>
        </w:rPr>
        <w:t>11.4.11经济部分</w:t>
      </w:r>
      <w:r>
        <w:rPr>
          <w:rFonts w:hint="eastAsia" w:ascii="宋体" w:hAnsi="宋体" w:eastAsia="宋体"/>
          <w:color w:val="auto"/>
          <w:sz w:val="24"/>
          <w:szCs w:val="24"/>
          <w:highlight w:val="none"/>
        </w:rPr>
        <w:t>文件包括</w:t>
      </w:r>
      <w:r>
        <w:rPr>
          <w:rFonts w:hint="eastAsia" w:ascii="宋体" w:hAnsi="宋体" w:eastAsia="宋体"/>
          <w:color w:val="auto"/>
          <w:sz w:val="24"/>
          <w:highlight w:val="none"/>
        </w:rPr>
        <w:t>：</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11.4.12若投标人的投标报价低于工程成本警戒价的，投标人还须提供详细的施工组织设计、单价、措施性费用、单价分析表、主要材料价格表、投标人成本分析供评标委员会评审；</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11.4.13招标文件要求的其他内容。</w:t>
      </w:r>
    </w:p>
    <w:p>
      <w:pPr>
        <w:tabs>
          <w:tab w:val="left" w:pos="1125"/>
        </w:tabs>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11.5工程量清单的组成、编制、计价、格式、项目编码、项目名称、工程内容、计量单位和工程量计算规则按照招标人给出的工程量清单及国家、省有关计价规范执行。</w:t>
      </w:r>
    </w:p>
    <w:p>
      <w:pPr>
        <w:pStyle w:val="17"/>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11.6投标人应使用符合《广东省工程造价文件数据交换标准（电子评标部分） 交易中心实施细则》的计价软件制作工程量清单报价表和单价分析表（如本招标文件要求单价分析表）。</w:t>
      </w:r>
    </w:p>
    <w:p>
      <w:pPr>
        <w:spacing w:line="360" w:lineRule="auto"/>
        <w:ind w:firstLine="470" w:firstLineChars="196"/>
        <w:rPr>
          <w:rFonts w:ascii="宋体" w:hAnsi="宋体" w:eastAsia="宋体"/>
          <w:color w:val="auto"/>
          <w:sz w:val="24"/>
          <w:szCs w:val="24"/>
          <w:highlight w:val="none"/>
        </w:rPr>
      </w:pPr>
      <w:r>
        <w:rPr>
          <w:rFonts w:hint="eastAsia" w:ascii="宋体" w:hAnsi="宋体" w:eastAsia="宋体"/>
          <w:color w:val="auto"/>
          <w:sz w:val="24"/>
          <w:szCs w:val="24"/>
          <w:highlight w:val="none"/>
        </w:rPr>
        <w:t>11.7投标人应使用广州公共资源交易中心的投标文件管理软件进行投标文件的合成、电子签名</w:t>
      </w:r>
      <w:r>
        <w:rPr>
          <w:rFonts w:hint="eastAsia" w:ascii="宋体" w:hAnsi="宋体" w:eastAsia="宋体" w:cs="仿宋_GB2312"/>
          <w:color w:val="auto"/>
          <w:sz w:val="24"/>
          <w:szCs w:val="24"/>
          <w:highlight w:val="none"/>
        </w:rPr>
        <w:t>、电子签章及加密打包工作，所有电子投标文件不能进行压缩处理。电子投标文件统一采用网络上传的形式，投标人需登录广州公共资源交易中心网站投标人服务区在递交投标文件截止时间前完整上传至广州公共资源交易中心的信息系统。</w:t>
      </w:r>
    </w:p>
    <w:p>
      <w:pPr>
        <w:pStyle w:val="17"/>
        <w:spacing w:after="0" w:line="360" w:lineRule="auto"/>
        <w:ind w:firstLine="480" w:firstLineChars="200"/>
        <w:rPr>
          <w:rFonts w:ascii="宋体" w:hAnsi="宋体"/>
          <w:bCs/>
          <w:color w:val="auto"/>
          <w:sz w:val="24"/>
          <w:szCs w:val="24"/>
          <w:highlight w:val="none"/>
        </w:rPr>
      </w:pPr>
      <w:r>
        <w:rPr>
          <w:rFonts w:hint="eastAsia" w:ascii="宋体" w:hAnsi="宋体"/>
          <w:color w:val="auto"/>
          <w:sz w:val="24"/>
          <w:szCs w:val="24"/>
          <w:highlight w:val="none"/>
        </w:rPr>
        <w:t>11.8</w:t>
      </w:r>
      <w:r>
        <w:rPr>
          <w:rFonts w:hint="eastAsia" w:ascii="宋体" w:hAnsi="宋体"/>
          <w:bCs/>
          <w:color w:val="auto"/>
          <w:sz w:val="24"/>
          <w:szCs w:val="24"/>
          <w:highlight w:val="none"/>
        </w:rPr>
        <w:t>投标人应使用依法设立的电子认证服务机构签发的电子签名认证证书对电子投标文件进行电子签名</w:t>
      </w:r>
      <w:r>
        <w:rPr>
          <w:rFonts w:hint="eastAsia" w:ascii="宋体" w:hAnsi="宋体" w:cs="仿宋_GB2312"/>
          <w:color w:val="auto"/>
          <w:sz w:val="24"/>
          <w:szCs w:val="24"/>
          <w:highlight w:val="none"/>
        </w:rPr>
        <w:t>及电子签章</w:t>
      </w:r>
      <w:r>
        <w:rPr>
          <w:rFonts w:hint="eastAsia" w:ascii="宋体" w:hAnsi="宋体"/>
          <w:bCs/>
          <w:color w:val="auto"/>
          <w:sz w:val="24"/>
          <w:szCs w:val="24"/>
          <w:highlight w:val="none"/>
        </w:rPr>
        <w:t>。该电子签名</w:t>
      </w:r>
      <w:r>
        <w:rPr>
          <w:rFonts w:hint="eastAsia" w:ascii="宋体" w:hAnsi="宋体" w:cs="仿宋_GB2312"/>
          <w:color w:val="auto"/>
          <w:sz w:val="24"/>
          <w:szCs w:val="24"/>
          <w:highlight w:val="none"/>
        </w:rPr>
        <w:t>及电子签章</w:t>
      </w:r>
      <w:r>
        <w:rPr>
          <w:rFonts w:hint="eastAsia" w:ascii="宋体" w:hAnsi="宋体"/>
          <w:bCs/>
          <w:color w:val="auto"/>
          <w:sz w:val="24"/>
          <w:szCs w:val="24"/>
          <w:highlight w:val="none"/>
        </w:rPr>
        <w:t>与手写签名或者盖章具有同等的法律效力。</w:t>
      </w:r>
    </w:p>
    <w:p>
      <w:pPr>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11.9除工程量清单报价表相关的内容、《广州园林绿化工程施工招标投标书》外，投标文件的其他内容均以电子文件（纸质原件的扫描件）编制，其格式要求详见第四章投标文件格式说明。</w:t>
      </w:r>
    </w:p>
    <w:p>
      <w:pPr>
        <w:pStyle w:val="17"/>
        <w:spacing w:after="0"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11.10投标文件应按上述的编排要求编制。如因不按上述编排要求编制而所引起系统无法检索、读取相关信息时，其后果由投标人承担。</w:t>
      </w:r>
    </w:p>
    <w:p>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12．投标文件格式</w:t>
      </w:r>
    </w:p>
    <w:p>
      <w:pPr>
        <w:pStyle w:val="17"/>
        <w:spacing w:after="0" w:line="360" w:lineRule="auto"/>
        <w:ind w:firstLine="480" w:firstLineChars="200"/>
        <w:rPr>
          <w:rFonts w:ascii="宋体" w:hAnsi="宋体"/>
          <w:color w:val="auto"/>
          <w:sz w:val="24"/>
          <w:szCs w:val="24"/>
          <w:highlight w:val="none"/>
        </w:rPr>
      </w:pPr>
      <w:r>
        <w:rPr>
          <w:rFonts w:hint="eastAsia" w:ascii="宋体" w:hAnsi="宋体"/>
          <w:color w:val="auto"/>
          <w:sz w:val="24"/>
          <w:highlight w:val="none"/>
        </w:rPr>
        <w:t>12.1投标人递交的投标文件应当使用招标文件所规定的投标文件全部格式。</w:t>
      </w:r>
    </w:p>
    <w:p>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12.2投标人应仔细阅读第四章投标文件格式的相关规定和要求。如电子投标文件未按规定的格式填写，或主要内容不全，或关键字迹模糊、无法辨认造成无法满足评标需要的，经评标委员会审查否决其投标。</w:t>
      </w:r>
    </w:p>
    <w:p>
      <w:pPr>
        <w:pStyle w:val="17"/>
        <w:spacing w:after="0"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13．投标报价及造价承包和变更结算方式</w:t>
      </w:r>
    </w:p>
    <w:p>
      <w:pPr>
        <w:pStyle w:val="17"/>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13.1 本工程的投标报价采用投标须知前附表第12项所规定的方式。投标文件中的大写金额和小写金额不一致的，以大写金额为准。投标报价（含单价及总价）精确到“分”。</w:t>
      </w:r>
    </w:p>
    <w:p>
      <w:pPr>
        <w:pStyle w:val="17"/>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13.2招标人按照招标图纸制定工程量清单，该清单载于本招标文件第七章中，投标人按照招标人提供的工程量清单中列出的工程项目和工程量填报单价和合价。每一项目只允许有一个报价。任何有选择的报价将不予接受。投标人未填报单价或合价的工程项目，视为完成该工程项目所需费用已包含在其它有价款的竞争性报价内，在实施后，招标人将不予支付。</w:t>
      </w:r>
    </w:p>
    <w:p>
      <w:pPr>
        <w:pStyle w:val="17"/>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w:t>
      </w:r>
      <w:r>
        <w:rPr>
          <w:rFonts w:hint="eastAsia" w:ascii="宋体" w:hAnsi="宋体"/>
          <w:color w:val="auto"/>
          <w:sz w:val="24"/>
          <w:szCs w:val="24"/>
          <w:highlight w:val="none"/>
        </w:rPr>
        <w:t>有关规费、暂列金额、暂估价等非竞争性项目明列了单价或合价金额的，投标人应按照明列的单价或合价金额报价，未按照规定金额报价的，由评标委员会按照招标文件规定的金额进行修正。</w:t>
      </w:r>
    </w:p>
    <w:p>
      <w:pPr>
        <w:pStyle w:val="17"/>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13.4</w:t>
      </w:r>
      <w:r>
        <w:rPr>
          <w:rFonts w:hint="eastAsia" w:ascii="宋体" w:hAnsi="宋体"/>
          <w:color w:val="auto"/>
          <w:sz w:val="24"/>
          <w:szCs w:val="24"/>
          <w:highlight w:val="none"/>
        </w:rPr>
        <w:t>投标人一旦中标，投标人对招标人提供的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w:t>
      </w:r>
    </w:p>
    <w:p>
      <w:pPr>
        <w:pStyle w:val="17"/>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13.5变更结算方式按招标文件及施工合同相关规定执行。</w:t>
      </w:r>
    </w:p>
    <w:p>
      <w:pPr>
        <w:pStyle w:val="17"/>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13.6</w:t>
      </w:r>
      <w:r>
        <w:rPr>
          <w:rFonts w:hint="eastAsia" w:ascii="宋体" w:hAnsi="宋体"/>
          <w:color w:val="auto"/>
          <w:sz w:val="24"/>
          <w:szCs w:val="24"/>
          <w:highlight w:val="none"/>
        </w:rPr>
        <w:t>暂列金额、暂估价</w:t>
      </w:r>
    </w:p>
    <w:p>
      <w:pPr>
        <w:pStyle w:val="17"/>
        <w:spacing w:after="0" w:line="360" w:lineRule="auto"/>
        <w:ind w:firstLine="480" w:firstLineChars="200"/>
        <w:rPr>
          <w:rFonts w:ascii="宋体" w:hAnsi="宋体"/>
          <w:color w:val="auto"/>
          <w:sz w:val="24"/>
          <w:szCs w:val="24"/>
          <w:highlight w:val="none"/>
        </w:rPr>
      </w:pPr>
      <w:r>
        <w:rPr>
          <w:rFonts w:hint="eastAsia" w:ascii="宋体" w:hAnsi="宋体"/>
          <w:color w:val="auto"/>
          <w:sz w:val="24"/>
          <w:highlight w:val="none"/>
        </w:rPr>
        <w:t>13.6.1</w:t>
      </w:r>
      <w:r>
        <w:rPr>
          <w:rFonts w:hint="eastAsia" w:ascii="宋体" w:hAnsi="宋体"/>
          <w:color w:val="auto"/>
          <w:sz w:val="24"/>
          <w:szCs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17"/>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暂估价是指招标人在工程量清单中提供的用于支付必然发生但暂时不能确定价格的材料的单价以及专业工程的金额。</w:t>
      </w:r>
    </w:p>
    <w:p>
      <w:pPr>
        <w:pStyle w:val="17"/>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17"/>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17"/>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17"/>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17"/>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17"/>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13.7投标人可先到工地踏勘以充分了解工地位置、情况、道路、储存空间、装卸限制及任何其他足以影响承包价的情况，任何因忽视或误解工地情况而导致的索赔或工期延长申请将不被批准。</w:t>
      </w:r>
    </w:p>
    <w:p>
      <w:pPr>
        <w:spacing w:line="360" w:lineRule="auto"/>
        <w:ind w:firstLine="480" w:firstLineChars="200"/>
        <w:rPr>
          <w:rFonts w:hint="eastAsia" w:ascii="宋体" w:hAnsi="宋体" w:eastAsia="宋体" w:cs="Times New Roman"/>
          <w:color w:val="auto"/>
          <w:kern w:val="0"/>
          <w:sz w:val="24"/>
          <w:highlight w:val="none"/>
          <w:u w:val="single"/>
          <w:lang w:val="en-US" w:eastAsia="zh-CN" w:bidi="ar-SA"/>
        </w:rPr>
      </w:pPr>
      <w:r>
        <w:rPr>
          <w:rFonts w:hint="eastAsia" w:ascii="宋体" w:hAnsi="宋体" w:eastAsia="宋体"/>
          <w:color w:val="auto"/>
          <w:sz w:val="24"/>
          <w:highlight w:val="none"/>
        </w:rPr>
        <w:t>13.8</w:t>
      </w:r>
      <w:r>
        <w:rPr>
          <w:rFonts w:hint="eastAsia" w:ascii="宋体" w:hAnsi="宋体" w:eastAsia="宋体" w:cs="Times New Roman"/>
          <w:color w:val="auto"/>
          <w:kern w:val="0"/>
          <w:sz w:val="24"/>
          <w:highlight w:val="none"/>
          <w:u w:val="single"/>
          <w:lang w:val="en-US" w:eastAsia="zh-CN" w:bidi="ar-SA"/>
        </w:rPr>
        <w:t>投标期间，投标人不需在投标文件中明确所选用主要材料、设备的品牌、厂家以及质量等级。实施期间，所有材料品牌选择均须报发包人、监理单位确认，所有材料及成品质量必须满足设计与规范要求，且经检验合格后方可使用。</w:t>
      </w:r>
    </w:p>
    <w:p>
      <w:pPr>
        <w:spacing w:line="360" w:lineRule="auto"/>
        <w:ind w:firstLine="480" w:firstLineChars="200"/>
        <w:rPr>
          <w:color w:val="auto"/>
          <w:highlight w:val="none"/>
        </w:rPr>
      </w:pPr>
      <w:r>
        <w:rPr>
          <w:rFonts w:hint="eastAsia" w:ascii="宋体" w:hAnsi="宋体" w:eastAsia="宋体" w:cs="Times New Roman"/>
          <w:color w:val="auto"/>
          <w:kern w:val="0"/>
          <w:sz w:val="24"/>
          <w:highlight w:val="none"/>
          <w:u w:val="single"/>
          <w:lang w:val="en-US" w:eastAsia="zh-CN" w:bidi="ar-SA"/>
        </w:rPr>
        <w:t>13.9中标人应使用绿色生产达标企业生产的混凝土，若不遵守承诺，自愿按不履行合同约定处理。</w:t>
      </w:r>
    </w:p>
    <w:p>
      <w:pPr>
        <w:pStyle w:val="17"/>
        <w:spacing w:after="0"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14．投标货币</w:t>
      </w:r>
    </w:p>
    <w:p>
      <w:pPr>
        <w:pStyle w:val="17"/>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本工程投标报价采用的币种为人民币。</w:t>
      </w:r>
    </w:p>
    <w:p>
      <w:pPr>
        <w:pStyle w:val="17"/>
        <w:spacing w:after="0" w:line="360" w:lineRule="auto"/>
        <w:ind w:firstLine="482" w:firstLineChars="200"/>
        <w:rPr>
          <w:rFonts w:ascii="宋体" w:hAnsi="宋体"/>
          <w:color w:val="auto"/>
          <w:sz w:val="24"/>
          <w:highlight w:val="none"/>
        </w:rPr>
      </w:pPr>
      <w:r>
        <w:rPr>
          <w:rFonts w:hint="eastAsia" w:ascii="宋体" w:hAnsi="宋体"/>
          <w:b/>
          <w:bCs/>
          <w:color w:val="auto"/>
          <w:sz w:val="24"/>
          <w:highlight w:val="none"/>
        </w:rPr>
        <w:t>15．投标有效期</w:t>
      </w:r>
    </w:p>
    <w:p>
      <w:pPr>
        <w:pStyle w:val="17"/>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15.1 投标有效期见投标须知前附表第13项所规定的期限，在此期限内，凡符合本招标文件要求的投标文件均保持有效。</w:t>
      </w:r>
    </w:p>
    <w:p>
      <w:pPr>
        <w:pStyle w:val="17"/>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15.2 在特殊情况下，招标人在原定投标有效期内，可以根据需要以书面形式向投标人提出延长投标有效期的要求，对此要求投标人须以书面形式予以答复。投标人可以拒绝招标人这种要求，而投标保证金应当予以退还。同意延长投标有效期的投标人既不能要求也不允许修改其投标文件，但需要相应的延长投标保证金的有效期，在延长的投标有效期内，本须知第16条关于投标保证金的退还与否的规定仍然适用。</w:t>
      </w:r>
    </w:p>
    <w:p>
      <w:pPr>
        <w:pStyle w:val="17"/>
        <w:spacing w:after="0" w:line="360" w:lineRule="auto"/>
        <w:ind w:firstLine="482" w:firstLineChars="200"/>
        <w:rPr>
          <w:rFonts w:hint="eastAsia" w:ascii="宋体" w:hAnsi="宋体" w:eastAsia="宋体"/>
          <w:b/>
          <w:bCs/>
          <w:color w:val="auto"/>
          <w:sz w:val="24"/>
          <w:highlight w:val="none"/>
          <w:lang w:eastAsia="zh-CN"/>
        </w:rPr>
      </w:pPr>
      <w:r>
        <w:rPr>
          <w:rFonts w:hint="eastAsia" w:ascii="宋体" w:hAnsi="宋体"/>
          <w:b/>
          <w:bCs/>
          <w:color w:val="auto"/>
          <w:sz w:val="24"/>
          <w:highlight w:val="none"/>
        </w:rPr>
        <w:t>16．投标保证金</w:t>
      </w:r>
      <w:r>
        <w:rPr>
          <w:rFonts w:hint="eastAsia" w:ascii="宋体" w:hAnsi="宋体"/>
          <w:b/>
          <w:bCs/>
          <w:color w:val="auto"/>
          <w:sz w:val="24"/>
          <w:highlight w:val="none"/>
          <w:u w:val="single"/>
          <w:lang w:eastAsia="zh-CN"/>
        </w:rPr>
        <w:t>（本项目不适用）</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16.1投标人应按投标须知前附表第14项所述金额和时间递交</w:t>
      </w:r>
      <w:r>
        <w:rPr>
          <w:rFonts w:hint="eastAsia" w:ascii="宋体" w:hAnsi="宋体" w:eastAsia="宋体"/>
          <w:bCs/>
          <w:color w:val="auto"/>
          <w:sz w:val="24"/>
          <w:highlight w:val="none"/>
        </w:rPr>
        <w:t>投标保证金</w:t>
      </w:r>
      <w:r>
        <w:rPr>
          <w:rFonts w:hint="eastAsia" w:ascii="宋体" w:hAnsi="宋体" w:eastAsia="宋体"/>
          <w:color w:val="auto"/>
          <w:sz w:val="24"/>
          <w:highlight w:val="none"/>
        </w:rPr>
        <w:t>。招标人可委托广州公共资源交易中心具体实施保证金的收取和退还工作</w:t>
      </w:r>
      <w:r>
        <w:rPr>
          <w:rFonts w:hint="eastAsia" w:ascii="宋体" w:hAnsi="宋体" w:eastAsia="宋体"/>
          <w:color w:val="auto"/>
          <w:sz w:val="24"/>
          <w:szCs w:val="24"/>
          <w:highlight w:val="none"/>
        </w:rPr>
        <w:t>，并按照《广东省实施&lt;中华人民共和国招标投标法&gt;办法》第二十五条规定，按期退回投标保证金。</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16.2所有投标保证金必须由投标人的银行基本账户转出。</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16.3</w:t>
      </w:r>
      <w:r>
        <w:rPr>
          <w:rFonts w:hint="eastAsia" w:ascii="宋体" w:hAnsi="宋体" w:eastAsia="宋体" w:cs="宋体"/>
          <w:color w:val="auto"/>
          <w:sz w:val="24"/>
          <w:szCs w:val="24"/>
          <w:highlight w:val="none"/>
        </w:rPr>
        <w:t>如采用转帐、现金、支票、汇票形式提交的，</w:t>
      </w:r>
      <w:r>
        <w:rPr>
          <w:rFonts w:hint="eastAsia" w:ascii="宋体" w:hAnsi="宋体" w:eastAsia="宋体"/>
          <w:color w:val="auto"/>
          <w:sz w:val="24"/>
          <w:szCs w:val="24"/>
          <w:highlight w:val="none"/>
        </w:rPr>
        <w:t>可委托广州公共资源交易中心代收投标保证金，其缴纳情况以广州公共资源交易中心数据库记录的信息为准。</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16.4缴费的操作详见广州公共资源交易中心公布的《广州公共资源交易中心投标项目保证金操作指引》。</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s="Times New Roman"/>
          <w:color w:val="auto"/>
          <w:sz w:val="24"/>
          <w:szCs w:val="24"/>
          <w:highlight w:val="none"/>
          <w:u w:val="none"/>
        </w:rPr>
        <w:t>16.5投标人未按要求递交投标保证金的，其投标文件将被否决，且不能参与电脑随机排序、资格审查和评标。如采用保函或保险等形式提交的，银行保函需开具给招标人，银行保函有效期不少于投标有效期。保证保险需开具给招标人（受益人必须是招标人），保证保险有效期不少于投标有效期。须在投标截止时间前15分钟将凭证原件单独密封递交至开标室。</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16.6如有下列情况之一的，招标人将不予退还投标保证金：</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16.6.1投标人在投标有效期内撤销投标文件；</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16.6.2中标人未在规定期限内按要求提交履约担保；</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16.6.3中标人未在规定期限内签订合同。</w:t>
      </w:r>
    </w:p>
    <w:p>
      <w:pPr>
        <w:pStyle w:val="17"/>
        <w:spacing w:after="0" w:line="360" w:lineRule="auto"/>
        <w:ind w:firstLine="477" w:firstLineChars="198"/>
        <w:rPr>
          <w:rFonts w:ascii="宋体" w:hAnsi="宋体"/>
          <w:b/>
          <w:bCs/>
          <w:color w:val="auto"/>
          <w:sz w:val="24"/>
          <w:highlight w:val="none"/>
        </w:rPr>
      </w:pPr>
      <w:r>
        <w:rPr>
          <w:rFonts w:hint="eastAsia" w:ascii="宋体" w:hAnsi="宋体"/>
          <w:b/>
          <w:bCs/>
          <w:color w:val="auto"/>
          <w:sz w:val="24"/>
          <w:highlight w:val="none"/>
        </w:rPr>
        <w:t>17.投标文件的份数和签署</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szCs w:val="21"/>
          <w:highlight w:val="none"/>
        </w:rPr>
        <w:t>17.1</w:t>
      </w:r>
      <w:r>
        <w:rPr>
          <w:rFonts w:hint="eastAsia" w:ascii="宋体" w:hAnsi="宋体" w:eastAsia="宋体"/>
          <w:color w:val="auto"/>
          <w:sz w:val="24"/>
          <w:highlight w:val="none"/>
        </w:rPr>
        <w:t>投标人应按投标须知前附表第19项规定的份数递交投标文件。</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szCs w:val="24"/>
          <w:highlight w:val="none"/>
        </w:rPr>
        <w:t>17.2</w:t>
      </w:r>
      <w:r>
        <w:rPr>
          <w:rFonts w:hint="eastAsia" w:ascii="宋体" w:hAnsi="宋体" w:eastAsia="宋体"/>
          <w:color w:val="auto"/>
          <w:sz w:val="24"/>
          <w:highlight w:val="none"/>
        </w:rPr>
        <w:t>除投标人对错误处须修改外，全套投标文件应无涂改或增删，如有修改，修改处应由投标人加盖投标人的印章或由投标文件签字人签字或盖章。</w:t>
      </w:r>
    </w:p>
    <w:p>
      <w:pPr>
        <w:pStyle w:val="6"/>
        <w:spacing w:before="120"/>
        <w:rPr>
          <w:rFonts w:ascii="宋体" w:eastAsia="宋体"/>
          <w:color w:val="auto"/>
          <w:highlight w:val="none"/>
        </w:rPr>
      </w:pPr>
      <w:bookmarkStart w:id="90" w:name="_（四）投标文件的递交"/>
      <w:bookmarkEnd w:id="90"/>
      <w:bookmarkStart w:id="91" w:name="_Toc21898"/>
      <w:bookmarkStart w:id="92" w:name="_Toc101777615"/>
      <w:bookmarkStart w:id="93" w:name="_Toc1692"/>
      <w:bookmarkStart w:id="94" w:name="_Toc15014"/>
      <w:bookmarkStart w:id="95" w:name="_Toc6908"/>
      <w:bookmarkStart w:id="96" w:name="_Toc27126"/>
      <w:bookmarkStart w:id="97" w:name="_Toc17041"/>
      <w:bookmarkStart w:id="98" w:name="_Toc6500"/>
      <w:bookmarkStart w:id="99" w:name="_Toc2267"/>
      <w:bookmarkStart w:id="100" w:name="_Toc262229166"/>
      <w:bookmarkStart w:id="101" w:name="_Toc25746"/>
      <w:r>
        <w:rPr>
          <w:rFonts w:hint="eastAsia" w:ascii="宋体" w:eastAsia="宋体"/>
          <w:color w:val="auto"/>
          <w:highlight w:val="none"/>
        </w:rPr>
        <w:t>（四）投标文件的递交</w:t>
      </w:r>
      <w:bookmarkEnd w:id="91"/>
      <w:bookmarkEnd w:id="92"/>
      <w:bookmarkEnd w:id="93"/>
      <w:bookmarkEnd w:id="94"/>
      <w:bookmarkEnd w:id="95"/>
      <w:bookmarkEnd w:id="96"/>
      <w:bookmarkEnd w:id="97"/>
      <w:bookmarkEnd w:id="98"/>
      <w:bookmarkEnd w:id="99"/>
      <w:bookmarkEnd w:id="100"/>
      <w:bookmarkEnd w:id="101"/>
    </w:p>
    <w:p>
      <w:pPr>
        <w:pStyle w:val="17"/>
        <w:spacing w:after="0"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18．</w:t>
      </w:r>
      <w:r>
        <w:rPr>
          <w:rFonts w:hint="eastAsia" w:ascii="宋体" w:hAnsi="宋体"/>
          <w:b/>
          <w:color w:val="auto"/>
          <w:sz w:val="24"/>
          <w:szCs w:val="24"/>
          <w:highlight w:val="none"/>
        </w:rPr>
        <w:t>投标文件的密封</w:t>
      </w:r>
    </w:p>
    <w:p>
      <w:pPr>
        <w:spacing w:line="360" w:lineRule="auto"/>
        <w:ind w:firstLine="480" w:firstLineChars="200"/>
        <w:rPr>
          <w:rFonts w:ascii="宋体" w:hAnsi="宋体" w:eastAsia="宋体"/>
          <w:color w:val="auto"/>
          <w:sz w:val="24"/>
          <w:szCs w:val="21"/>
          <w:highlight w:val="none"/>
        </w:rPr>
      </w:pPr>
      <w:r>
        <w:rPr>
          <w:rFonts w:hint="eastAsia" w:ascii="宋体" w:hAnsi="宋体" w:eastAsia="宋体"/>
          <w:color w:val="auto"/>
          <w:sz w:val="24"/>
          <w:szCs w:val="21"/>
          <w:highlight w:val="none"/>
        </w:rPr>
        <w:t>18.1 投标文件的密封要求：投标人应使用广州公共资源交易中心交易服务系统提供的软件制作电子投标文件并进行电子签名、电子签章及加密打包。不得修改所生成电子投标文件的文件格式。</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1"/>
          <w:highlight w:val="none"/>
        </w:rPr>
        <w:t>18.2投标文件的电子签名和电子签章要求： 电子投标文件必须包含完整的投标人电子签名及电子签章。</w:t>
      </w:r>
    </w:p>
    <w:p>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19．投标文件的递交和接收</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19.1 投标人代表应按投标须知前附表第20项所规定的时间和地点向招标人递交投标文件。</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19.2投标人使用制作该投标文件的机构业务数字证书递交投标文件。</w:t>
      </w:r>
    </w:p>
    <w:p>
      <w:pPr>
        <w:spacing w:line="360" w:lineRule="auto"/>
        <w:ind w:firstLine="523" w:firstLineChars="218"/>
        <w:rPr>
          <w:rFonts w:ascii="宋体" w:hAnsi="宋体" w:eastAsia="宋体"/>
          <w:color w:val="auto"/>
          <w:sz w:val="24"/>
          <w:szCs w:val="24"/>
          <w:highlight w:val="none"/>
        </w:rPr>
      </w:pPr>
      <w:r>
        <w:rPr>
          <w:rFonts w:hint="eastAsia" w:ascii="宋体" w:hAnsi="宋体" w:eastAsia="宋体"/>
          <w:color w:val="auto"/>
          <w:sz w:val="24"/>
          <w:highlight w:val="none"/>
        </w:rPr>
        <w:t>19.3</w:t>
      </w:r>
      <w:r>
        <w:rPr>
          <w:rFonts w:hint="eastAsia" w:ascii="宋体" w:hAnsi="宋体" w:eastAsia="宋体"/>
          <w:color w:val="auto"/>
          <w:sz w:val="24"/>
          <w:szCs w:val="24"/>
          <w:highlight w:val="none"/>
        </w:rPr>
        <w:t>若出现以下情况之一的，招标人将拒绝接收投标文件：</w:t>
      </w:r>
    </w:p>
    <w:p>
      <w:pPr>
        <w:spacing w:line="360" w:lineRule="auto"/>
        <w:ind w:firstLine="523" w:firstLineChars="218"/>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19.3.1投标文件未在递交投标文件截止时间前完整上传并保存在广州公共资源交易中心电子评标系统且取得回执的； </w:t>
      </w:r>
    </w:p>
    <w:p>
      <w:pPr>
        <w:spacing w:line="360" w:lineRule="auto"/>
        <w:ind w:firstLine="523" w:firstLineChars="218"/>
        <w:rPr>
          <w:rFonts w:ascii="宋体" w:hAnsi="宋体" w:eastAsia="宋体"/>
          <w:color w:val="auto"/>
          <w:sz w:val="24"/>
          <w:szCs w:val="24"/>
          <w:highlight w:val="none"/>
        </w:rPr>
      </w:pPr>
      <w:r>
        <w:rPr>
          <w:rFonts w:hint="eastAsia" w:ascii="宋体" w:hAnsi="宋体" w:eastAsia="宋体"/>
          <w:color w:val="auto"/>
          <w:sz w:val="24"/>
          <w:szCs w:val="24"/>
          <w:highlight w:val="none"/>
        </w:rPr>
        <w:t>19.3.2投标文件未按招标文件要求进行电子签名和电子签章，并进行加密的；</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19.3.3 投标文件中投标人电子签名或电子签章不完整的；</w:t>
      </w:r>
    </w:p>
    <w:p>
      <w:pPr>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19.3.4 投标文件损坏或格式不正确的；</w:t>
      </w:r>
    </w:p>
    <w:p>
      <w:pPr>
        <w:spacing w:line="360" w:lineRule="auto"/>
        <w:ind w:firstLine="523" w:firstLineChars="218"/>
        <w:rPr>
          <w:rFonts w:ascii="宋体" w:hAnsi="宋体" w:eastAsia="宋体"/>
          <w:strike/>
          <w:dstrike w:val="0"/>
          <w:color w:val="auto"/>
          <w:sz w:val="24"/>
          <w:szCs w:val="24"/>
          <w:highlight w:val="none"/>
        </w:rPr>
      </w:pPr>
      <w:r>
        <w:rPr>
          <w:rFonts w:hint="eastAsia" w:ascii="宋体" w:hAnsi="宋体" w:eastAsia="宋体"/>
          <w:strike/>
          <w:dstrike w:val="0"/>
          <w:color w:val="auto"/>
          <w:sz w:val="24"/>
          <w:szCs w:val="24"/>
          <w:highlight w:val="none"/>
        </w:rPr>
        <w:t>19.3.5 投标人未按要求递交投标保证金的（如设置投标保证金的）。</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highlight w:val="none"/>
        </w:rPr>
        <w:t xml:space="preserve">19.4 </w:t>
      </w:r>
      <w:r>
        <w:rPr>
          <w:rFonts w:hint="eastAsia" w:ascii="宋体" w:hAnsi="宋体" w:eastAsia="宋体"/>
          <w:color w:val="auto"/>
          <w:sz w:val="24"/>
          <w:szCs w:val="24"/>
          <w:highlight w:val="none"/>
        </w:rPr>
        <w:t>递交投标文件截止时间前，招标人拒绝接收符合条件的投标文件，投标人可向招标监督机构投诉。</w:t>
      </w:r>
    </w:p>
    <w:p>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20．递交投标文件的截止时间</w:t>
      </w:r>
    </w:p>
    <w:p>
      <w:pPr>
        <w:spacing w:line="360" w:lineRule="auto"/>
        <w:ind w:firstLine="480" w:firstLineChars="200"/>
        <w:rPr>
          <w:rFonts w:ascii="宋体" w:hAnsi="宋体" w:eastAsia="宋体"/>
          <w:b/>
          <w:bCs/>
          <w:color w:val="auto"/>
          <w:sz w:val="24"/>
          <w:highlight w:val="none"/>
        </w:rPr>
      </w:pPr>
      <w:r>
        <w:rPr>
          <w:rFonts w:hint="eastAsia" w:ascii="宋体" w:hAnsi="宋体" w:eastAsia="宋体"/>
          <w:color w:val="auto"/>
          <w:sz w:val="24"/>
          <w:highlight w:val="none"/>
        </w:rPr>
        <w:t>20.1投标人应在投标须知前附表第 20 项所述的时间前递交投标文件。截止时间以广州公共资源交易中心信息系统服务器从中国科学院国家授时中心取得的北京时间为准。</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20.2招标人可按本须知第9条规定以招标文件修改的方式，酌情延长递交投标文件的截止时间。在此情况下，投标人的所有权利和义务以及投标人受制约的截止时间，均以延长后递交投标文件截止时间为准。</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20.3 到递交投标文件截止时间止，</w:t>
      </w:r>
      <w:r>
        <w:rPr>
          <w:rFonts w:hint="eastAsia" w:ascii="宋体" w:hAnsi="宋体" w:eastAsia="宋体"/>
          <w:color w:val="auto"/>
          <w:sz w:val="24"/>
          <w:szCs w:val="24"/>
          <w:highlight w:val="none"/>
        </w:rPr>
        <w:t>若递交投标文件的投标人不足3家，招标人将依法重新组织招标</w:t>
      </w:r>
      <w:r>
        <w:rPr>
          <w:rFonts w:hint="eastAsia" w:ascii="宋体" w:hAnsi="宋体" w:eastAsia="宋体"/>
          <w:color w:val="auto"/>
          <w:sz w:val="24"/>
          <w:highlight w:val="none"/>
        </w:rPr>
        <w:t>（</w:t>
      </w:r>
      <w:r>
        <w:rPr>
          <w:rFonts w:hint="eastAsia" w:ascii="宋体" w:hAnsi="宋体" w:eastAsia="宋体"/>
          <w:color w:val="auto"/>
          <w:sz w:val="24"/>
          <w:szCs w:val="24"/>
          <w:highlight w:val="none"/>
        </w:rPr>
        <w:t>当N个标段同时招标且不允许兼中时，若递交投标文件单位不足N+2家，招标人将依法重新组织招标</w:t>
      </w:r>
      <w:r>
        <w:rPr>
          <w:rFonts w:hint="eastAsia" w:ascii="宋体" w:hAnsi="宋体" w:eastAsia="宋体"/>
          <w:color w:val="auto"/>
          <w:sz w:val="24"/>
          <w:highlight w:val="none"/>
        </w:rPr>
        <w:t>）。</w:t>
      </w:r>
    </w:p>
    <w:p>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21．迟交的投标文件</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递交投标文件截止时间到达后，电子评标系统将不允许投标人上传投标文件。</w:t>
      </w:r>
    </w:p>
    <w:p>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22．投标文件的补充、修改与撤回</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22.1投标人在递交投标文件截止时间前，可以撤回或替换已递交的投标文件。</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22.</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 xml:space="preserve"> 在递交投标文件截止时间后，投标人不得补充、修改和更换投标文件。</w:t>
      </w:r>
    </w:p>
    <w:p>
      <w:pPr>
        <w:snapToGrid w:val="0"/>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在递交投标文件截止时间后，投标人在投标文件格式中规定的有效期终止日前，投标人不能撤回投标文件，否则其投标保证金将不予退还，且招标人有权就其撤回行为报告政府主管部门载入不良信用记录。</w:t>
      </w:r>
    </w:p>
    <w:p>
      <w:pPr>
        <w:snapToGrid w:val="0"/>
        <w:spacing w:line="360" w:lineRule="auto"/>
        <w:ind w:firstLine="482" w:firstLineChars="200"/>
        <w:rPr>
          <w:rFonts w:ascii="宋体" w:hAnsi="宋体" w:eastAsia="宋体"/>
          <w:b/>
          <w:color w:val="auto"/>
          <w:sz w:val="24"/>
          <w:highlight w:val="none"/>
        </w:rPr>
      </w:pPr>
      <w:r>
        <w:rPr>
          <w:rFonts w:hint="eastAsia" w:ascii="宋体" w:hAnsi="宋体" w:eastAsia="宋体"/>
          <w:b/>
          <w:color w:val="auto"/>
          <w:sz w:val="24"/>
          <w:highlight w:val="none"/>
        </w:rPr>
        <w:t>23.投标信息录入</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投标人应在上传电子投标文件前将投标人的相关信息在广州公共资源交易中心交易服务系统中录入完毕。</w:t>
      </w:r>
    </w:p>
    <w:p>
      <w:pPr>
        <w:pStyle w:val="6"/>
        <w:spacing w:before="120"/>
        <w:rPr>
          <w:rFonts w:ascii="宋体" w:eastAsia="宋体"/>
          <w:color w:val="auto"/>
          <w:highlight w:val="none"/>
        </w:rPr>
      </w:pPr>
      <w:bookmarkStart w:id="102" w:name="_（五）开标、评标、定标及合同签订"/>
      <w:bookmarkEnd w:id="102"/>
      <w:bookmarkStart w:id="103" w:name="_Toc101777616"/>
      <w:bookmarkStart w:id="104" w:name="_Toc13863"/>
      <w:bookmarkStart w:id="105" w:name="_Toc26175"/>
      <w:bookmarkStart w:id="106" w:name="_Toc29342"/>
      <w:bookmarkStart w:id="107" w:name="_Toc262229167"/>
      <w:bookmarkStart w:id="108" w:name="_Toc1042"/>
      <w:bookmarkStart w:id="109" w:name="_Toc2110"/>
      <w:bookmarkStart w:id="110" w:name="_Toc29261"/>
      <w:bookmarkStart w:id="111" w:name="_Toc3934"/>
      <w:bookmarkStart w:id="112" w:name="_Toc17522"/>
      <w:bookmarkStart w:id="113" w:name="_Toc9203"/>
      <w:r>
        <w:rPr>
          <w:rFonts w:hint="eastAsia" w:ascii="宋体" w:eastAsia="宋体"/>
          <w:color w:val="auto"/>
          <w:highlight w:val="none"/>
        </w:rPr>
        <w:t>（五）开标</w:t>
      </w:r>
      <w:bookmarkEnd w:id="103"/>
      <w:r>
        <w:rPr>
          <w:rFonts w:hint="eastAsia" w:ascii="宋体" w:eastAsia="宋体"/>
          <w:color w:val="auto"/>
          <w:highlight w:val="none"/>
        </w:rPr>
        <w:t>、评标、定标及合同签订</w:t>
      </w:r>
      <w:bookmarkEnd w:id="104"/>
      <w:bookmarkEnd w:id="105"/>
      <w:bookmarkEnd w:id="106"/>
      <w:bookmarkEnd w:id="107"/>
      <w:bookmarkEnd w:id="108"/>
      <w:bookmarkEnd w:id="109"/>
      <w:bookmarkEnd w:id="110"/>
      <w:bookmarkEnd w:id="111"/>
      <w:bookmarkEnd w:id="112"/>
      <w:bookmarkEnd w:id="113"/>
    </w:p>
    <w:p>
      <w:pPr>
        <w:spacing w:line="360" w:lineRule="auto"/>
        <w:ind w:firstLine="482" w:firstLineChars="200"/>
        <w:rPr>
          <w:rFonts w:ascii="宋体" w:hAnsi="宋体" w:eastAsia="宋体"/>
          <w:b/>
          <w:bCs/>
          <w:color w:val="auto"/>
          <w:sz w:val="24"/>
          <w:highlight w:val="none"/>
        </w:rPr>
      </w:pPr>
      <w:bookmarkStart w:id="114" w:name="_Toc101777617"/>
      <w:r>
        <w:rPr>
          <w:rFonts w:hint="eastAsia" w:ascii="宋体" w:hAnsi="宋体" w:eastAsia="宋体"/>
          <w:b/>
          <w:bCs/>
          <w:color w:val="auto"/>
          <w:sz w:val="24"/>
          <w:highlight w:val="none"/>
        </w:rPr>
        <w:t>24.开标</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详见第二章开标、评标及定标办法。</w:t>
      </w:r>
    </w:p>
    <w:bookmarkEnd w:id="114"/>
    <w:p>
      <w:pPr>
        <w:spacing w:line="360" w:lineRule="auto"/>
        <w:ind w:firstLine="482" w:firstLineChars="200"/>
        <w:rPr>
          <w:rFonts w:ascii="宋体" w:hAnsi="宋体" w:eastAsia="宋体"/>
          <w:b/>
          <w:color w:val="auto"/>
          <w:sz w:val="24"/>
          <w:highlight w:val="none"/>
        </w:rPr>
      </w:pPr>
      <w:r>
        <w:rPr>
          <w:rFonts w:hint="eastAsia" w:ascii="宋体" w:hAnsi="宋体" w:eastAsia="宋体"/>
          <w:b/>
          <w:color w:val="auto"/>
          <w:sz w:val="24"/>
          <w:highlight w:val="none"/>
        </w:rPr>
        <w:t>25.投标人对投标文件的解密</w:t>
      </w:r>
    </w:p>
    <w:p>
      <w:pPr>
        <w:spacing w:line="360" w:lineRule="auto"/>
        <w:ind w:firstLine="480" w:firstLineChars="200"/>
        <w:rPr>
          <w:rFonts w:ascii="宋体" w:hAnsi="宋体" w:eastAsia="宋体"/>
          <w:color w:val="auto"/>
          <w:sz w:val="24"/>
          <w:highlight w:val="none"/>
        </w:rPr>
      </w:pPr>
      <w:r>
        <w:rPr>
          <w:rFonts w:hint="eastAsia" w:ascii="宋体" w:hAnsi="宋体" w:eastAsia="宋体" w:cs="仿宋_GB2312"/>
          <w:color w:val="auto"/>
          <w:sz w:val="24"/>
          <w:szCs w:val="24"/>
          <w:highlight w:val="none"/>
        </w:rPr>
        <w:t>25.1递交投标文件截止时间到达后的1小时内为投标人对其电子投标文件的解密时间，投标人须在规定的解密时间内使用</w:t>
      </w:r>
      <w:r>
        <w:rPr>
          <w:rFonts w:hint="eastAsia" w:ascii="宋体" w:hAnsi="宋体" w:eastAsia="宋体"/>
          <w:color w:val="auto"/>
          <w:sz w:val="24"/>
          <w:szCs w:val="24"/>
          <w:highlight w:val="none"/>
        </w:rPr>
        <w:t>制作该投标文件的机构业务数字证书</w:t>
      </w:r>
      <w:r>
        <w:rPr>
          <w:rFonts w:hint="eastAsia" w:ascii="宋体" w:hAnsi="宋体" w:eastAsia="宋体" w:cs="仿宋_GB2312"/>
          <w:color w:val="auto"/>
          <w:sz w:val="24"/>
          <w:szCs w:val="24"/>
          <w:highlight w:val="none"/>
        </w:rPr>
        <w:t>对投标文件进行解密，逾期未解密的投标文件将被否决</w:t>
      </w:r>
      <w:r>
        <w:rPr>
          <w:rFonts w:hint="eastAsia" w:ascii="宋体" w:hAnsi="宋体" w:eastAsia="宋体"/>
          <w:color w:val="auto"/>
          <w:sz w:val="24"/>
          <w:szCs w:val="24"/>
          <w:highlight w:val="none"/>
        </w:rPr>
        <w:t>。</w:t>
      </w:r>
    </w:p>
    <w:p>
      <w:pPr>
        <w:spacing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25.2因投标人原因造成投标文件未解密的，视为撤销其投标文件。</w:t>
      </w:r>
    </w:p>
    <w:p>
      <w:pPr>
        <w:spacing w:line="360" w:lineRule="auto"/>
        <w:ind w:firstLine="482" w:firstLineChars="200"/>
        <w:rPr>
          <w:rFonts w:hint="eastAsia" w:ascii="宋体" w:hAnsi="宋体" w:eastAsia="宋体"/>
          <w:b/>
          <w:color w:val="auto"/>
          <w:sz w:val="24"/>
          <w:highlight w:val="none"/>
        </w:rPr>
      </w:pPr>
      <w:r>
        <w:rPr>
          <w:rFonts w:hint="eastAsia" w:ascii="宋体" w:hAnsi="宋体" w:eastAsia="宋体"/>
          <w:b/>
          <w:bCs/>
          <w:color w:val="auto"/>
          <w:sz w:val="24"/>
          <w:highlight w:val="none"/>
        </w:rPr>
        <w:t>26．招标人</w:t>
      </w:r>
      <w:r>
        <w:rPr>
          <w:rFonts w:hint="eastAsia" w:ascii="宋体" w:hAnsi="宋体" w:eastAsia="宋体"/>
          <w:b/>
          <w:color w:val="auto"/>
          <w:sz w:val="24"/>
          <w:highlight w:val="none"/>
        </w:rPr>
        <w:t>对投标文件的解密</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s="仿宋_GB2312"/>
          <w:color w:val="auto"/>
          <w:sz w:val="24"/>
          <w:szCs w:val="24"/>
          <w:highlight w:val="none"/>
        </w:rPr>
        <w:t>投标人对投标文件的解密时间截止后，</w:t>
      </w:r>
      <w:r>
        <w:rPr>
          <w:rFonts w:hint="eastAsia" w:ascii="宋体" w:hAnsi="宋体" w:eastAsia="宋体"/>
          <w:color w:val="auto"/>
          <w:sz w:val="24"/>
          <w:szCs w:val="24"/>
          <w:highlight w:val="none"/>
        </w:rPr>
        <w:t>招标人或招标代理机构</w:t>
      </w:r>
      <w:r>
        <w:rPr>
          <w:rFonts w:hint="eastAsia" w:ascii="宋体" w:hAnsi="宋体" w:eastAsia="宋体" w:cs="仿宋_GB2312"/>
          <w:color w:val="auto"/>
          <w:sz w:val="24"/>
          <w:szCs w:val="24"/>
          <w:highlight w:val="none"/>
        </w:rPr>
        <w:t>使用</w:t>
      </w:r>
      <w:r>
        <w:rPr>
          <w:rFonts w:hint="eastAsia" w:ascii="宋体" w:hAnsi="宋体" w:eastAsia="宋体"/>
          <w:color w:val="auto"/>
          <w:sz w:val="24"/>
          <w:szCs w:val="24"/>
          <w:highlight w:val="none"/>
        </w:rPr>
        <w:t>制作该招标文件的机构业务数字证书对所有投标人电子投标文件进行招标人解密。</w:t>
      </w:r>
    </w:p>
    <w:p>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27.评标过程的保密</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27.1 开标后，直至中标候选人公示为止，凡属于对投标文件的审查、澄清、评价和比较有关的资料、中标候选人的推荐情况及与评标有关的其他任何情况均严格保密。</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27.2 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28．投标文件的澄清，计算错误的修正</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详见招标文件第二章开标、评标及定标办法。</w:t>
      </w:r>
    </w:p>
    <w:p>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29．投标文件的评审、比较和否决</w:t>
      </w:r>
    </w:p>
    <w:p>
      <w:pPr>
        <w:spacing w:line="360" w:lineRule="auto"/>
        <w:ind w:firstLine="480" w:firstLineChars="200"/>
        <w:rPr>
          <w:rFonts w:ascii="宋体" w:hAnsi="宋体" w:eastAsia="宋体"/>
          <w:bCs/>
          <w:color w:val="auto"/>
          <w:sz w:val="24"/>
          <w:szCs w:val="24"/>
          <w:highlight w:val="none"/>
        </w:rPr>
      </w:pPr>
      <w:r>
        <w:rPr>
          <w:rFonts w:hint="eastAsia" w:ascii="宋体" w:hAnsi="宋体" w:eastAsia="宋体"/>
          <w:color w:val="auto"/>
          <w:sz w:val="24"/>
          <w:highlight w:val="none"/>
        </w:rPr>
        <w:t>详见招标文件第二章开标、评标及定标办法。</w:t>
      </w:r>
      <w:r>
        <w:rPr>
          <w:rFonts w:hint="eastAsia" w:ascii="宋体" w:hAnsi="宋体" w:eastAsia="宋体"/>
          <w:color w:val="auto"/>
          <w:sz w:val="24"/>
          <w:szCs w:val="24"/>
          <w:highlight w:val="none"/>
        </w:rPr>
        <w:t>经评标委员会评审，资格审查合格的投标人或通过否决性条款审查的投标人少于3个的，招标人将依法重新招标。</w:t>
      </w:r>
    </w:p>
    <w:p>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30．中标通知书</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30.1定标后，招标人将就规定的内容在广州公共资源交易中心公示3日。</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30.2在中标人确定后，招标人应当向中标人发出中标通知书，并同时将中标结果通知所有未中标的投标人。</w:t>
      </w:r>
    </w:p>
    <w:p>
      <w:pPr>
        <w:spacing w:line="360" w:lineRule="auto"/>
        <w:ind w:firstLine="480" w:firstLineChars="200"/>
        <w:rPr>
          <w:rFonts w:ascii="宋体" w:hAnsi="宋体" w:eastAsia="宋体"/>
          <w:color w:val="auto"/>
          <w:sz w:val="24"/>
          <w:highlight w:val="none"/>
          <w:bdr w:val="single" w:color="auto" w:sz="4" w:space="0"/>
        </w:rPr>
      </w:pPr>
      <w:r>
        <w:rPr>
          <w:rFonts w:hint="eastAsia" w:ascii="宋体" w:hAnsi="宋体" w:eastAsia="宋体"/>
          <w:color w:val="auto"/>
          <w:sz w:val="24"/>
          <w:highlight w:val="none"/>
        </w:rPr>
        <w:t>30.3中标人必须在收到中标通知书后24小时之内以书面形式回复招标人，确认收到。</w:t>
      </w:r>
    </w:p>
    <w:p>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31．合同协议书的签订</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31.1 招标人与中标人将于中标通知书发出之日起30日内，按照招标文件和中标人的投标文件商定和签订合同，招标人和中标人不得再行订立背离合同实质性内容的其他协议。</w:t>
      </w:r>
    </w:p>
    <w:p>
      <w:pPr>
        <w:spacing w:line="360" w:lineRule="auto"/>
        <w:ind w:firstLine="480" w:firstLineChars="200"/>
        <w:rPr>
          <w:rFonts w:hint="eastAsia" w:ascii="宋体" w:hAnsi="宋体" w:eastAsia="宋体"/>
          <w:color w:val="auto"/>
          <w:sz w:val="24"/>
          <w:highlight w:val="none"/>
          <w:u w:val="single"/>
        </w:rPr>
      </w:pPr>
      <w:r>
        <w:rPr>
          <w:rFonts w:hint="eastAsia" w:ascii="宋体" w:hAnsi="宋体" w:eastAsia="宋体"/>
          <w:color w:val="auto"/>
          <w:sz w:val="24"/>
          <w:highlight w:val="none"/>
          <w:u w:val="single"/>
        </w:rPr>
        <w:t>31.2中标通知书发出之日起30日后，中标人未按上款的规定与招标人订立合同，招标人将解除中标通知书，且依法承担相应法律责任。原中标人给招标人造成的损失，还应当予以赔偿。原中标人有异议的，可以向招标人所在地人民法院起诉。</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31.3未经招标人同意，中标人在投标过程中使用的银行名称及</w:t>
      </w:r>
      <w:r>
        <w:rPr>
          <w:rFonts w:hint="eastAsia" w:ascii="宋体" w:hAnsi="宋体" w:eastAsia="宋体"/>
          <w:color w:val="auto"/>
          <w:sz w:val="24"/>
          <w:highlight w:val="none"/>
          <w:u w:val="single"/>
          <w:lang w:eastAsia="zh-CN"/>
        </w:rPr>
        <w:t>账号</w:t>
      </w:r>
      <w:r>
        <w:rPr>
          <w:rFonts w:hint="eastAsia" w:ascii="宋体" w:hAnsi="宋体" w:eastAsia="宋体"/>
          <w:color w:val="auto"/>
          <w:sz w:val="24"/>
          <w:highlight w:val="none"/>
        </w:rPr>
        <w:t>至完成竣工结算不得变更，否则招标人有权停止工程款项的</w:t>
      </w:r>
      <w:r>
        <w:rPr>
          <w:rFonts w:hint="eastAsia" w:ascii="宋体" w:hAnsi="宋体" w:eastAsia="宋体"/>
          <w:color w:val="auto"/>
          <w:sz w:val="24"/>
          <w:highlight w:val="none"/>
          <w:u w:val="single"/>
          <w:lang w:eastAsia="zh-CN"/>
        </w:rPr>
        <w:t>拨付</w:t>
      </w:r>
      <w:r>
        <w:rPr>
          <w:rFonts w:hint="eastAsia" w:ascii="宋体" w:hAnsi="宋体" w:eastAsia="宋体"/>
          <w:color w:val="auto"/>
          <w:sz w:val="24"/>
          <w:highlight w:val="none"/>
        </w:rPr>
        <w:t>及至解除合同，由此造成的一切责任由中标人承担。</w:t>
      </w:r>
    </w:p>
    <w:p>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31.4招标人支付工程款时，中标人应提供工程所在地发票。</w:t>
      </w:r>
    </w:p>
    <w:p>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32．履约担保</w:t>
      </w:r>
    </w:p>
    <w:p>
      <w:pPr>
        <w:snapToGrid w:val="0"/>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 xml:space="preserve">32.1 </w:t>
      </w:r>
      <w:r>
        <w:rPr>
          <w:rFonts w:hint="eastAsia" w:ascii="宋体" w:hAnsi="宋体" w:eastAsia="宋体"/>
          <w:color w:val="auto"/>
          <w:sz w:val="24"/>
          <w:szCs w:val="24"/>
          <w:highlight w:val="none"/>
        </w:rPr>
        <w:t>在收到中标通知书后的15日内，中标人应按本须知前附表第27项的规定向招标人递交履约担保；如果中标人的履约担保是以金融机构保函或保证保险的形式提供，则该金融机构或保险公司的注册地址须是在中国大陆境内。金融机构保函或保证保险均需开具给招标人（受益人必须是招标人）。</w:t>
      </w:r>
    </w:p>
    <w:p>
      <w:pPr>
        <w:snapToGrid w:val="0"/>
        <w:spacing w:line="360" w:lineRule="auto"/>
        <w:ind w:firstLine="480" w:firstLineChars="200"/>
        <w:rPr>
          <w:rFonts w:ascii="宋体" w:hAnsi="宋体" w:eastAsia="宋体"/>
          <w:color w:val="auto"/>
          <w:sz w:val="24"/>
          <w:highlight w:val="none"/>
          <w:u w:val="single"/>
        </w:rPr>
      </w:pPr>
      <w:r>
        <w:rPr>
          <w:rFonts w:hint="eastAsia" w:ascii="宋体" w:hAnsi="宋体" w:eastAsia="宋体"/>
          <w:color w:val="auto"/>
          <w:sz w:val="24"/>
          <w:highlight w:val="none"/>
        </w:rPr>
        <w:t>32.2</w:t>
      </w:r>
      <w:r>
        <w:rPr>
          <w:rFonts w:hint="eastAsia" w:ascii="宋体" w:hAnsi="宋体" w:eastAsia="宋体"/>
          <w:color w:val="auto"/>
          <w:sz w:val="24"/>
          <w:highlight w:val="none"/>
          <w:u w:val="single"/>
        </w:rPr>
        <w:t>中标通知书发出之日起15日后，中标人未按上款的规定递交履约担保，招标人将解除中标通知书，且依法承担相应法律责任。原中标人给招标人造成的损失，还应当予以赔偿。原中标人有异议的，可以向招标人所在地人民法院起诉。</w:t>
      </w:r>
    </w:p>
    <w:p>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33．合同生效</w:t>
      </w:r>
    </w:p>
    <w:p>
      <w:pPr>
        <w:spacing w:line="360" w:lineRule="auto"/>
        <w:ind w:firstLine="480" w:firstLineChars="200"/>
        <w:rPr>
          <w:rFonts w:hint="eastAsia" w:ascii="宋体" w:hAnsi="宋体" w:eastAsia="宋体" w:cs="Times New Roman"/>
          <w:color w:val="auto"/>
          <w:kern w:val="0"/>
          <w:sz w:val="24"/>
          <w:szCs w:val="20"/>
          <w:highlight w:val="none"/>
        </w:rPr>
      </w:pPr>
      <w:r>
        <w:rPr>
          <w:rFonts w:hint="eastAsia" w:ascii="宋体" w:hAnsi="宋体" w:eastAsia="宋体" w:cs="Times New Roman"/>
          <w:color w:val="auto"/>
          <w:kern w:val="0"/>
          <w:sz w:val="24"/>
          <w:szCs w:val="20"/>
          <w:highlight w:val="none"/>
        </w:rPr>
        <w:t>在合同双方全权代表在合同协议书上签字，并分别加盖双方单位的公章后，合同正式生效。</w:t>
      </w:r>
    </w:p>
    <w:p>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34．其它费用</w:t>
      </w:r>
    </w:p>
    <w:p>
      <w:pPr>
        <w:spacing w:line="360" w:lineRule="auto"/>
        <w:ind w:firstLine="480" w:firstLineChars="200"/>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u w:val="single"/>
        </w:rPr>
        <w:t>34.1中标人应向广州交易集团有限公司（广州公共资源交易中心）交纳公共资源交易服务费，该费用包含在投标价中。</w:t>
      </w:r>
    </w:p>
    <w:p>
      <w:pPr>
        <w:pStyle w:val="17"/>
        <w:spacing w:after="0"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35．腐败与敲诈行为</w:t>
      </w:r>
    </w:p>
    <w:p>
      <w:pPr>
        <w:pStyle w:val="17"/>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在招标和合同实施期间，业主要求投标人和承包人遵守最高的道德标准。</w:t>
      </w:r>
    </w:p>
    <w:p>
      <w:pPr>
        <w:pStyle w:val="17"/>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35.1对本条款的规定，特定义如下词汇：</w:t>
      </w:r>
    </w:p>
    <w:p>
      <w:pPr>
        <w:pStyle w:val="17"/>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（1）“腐败行为”是指在招标或合同执行期间，通过提供、给予、接受或索要任何有价值的东西，从而影响招标人有关人员工作的行为；</w:t>
      </w:r>
    </w:p>
    <w:p>
      <w:pPr>
        <w:pStyle w:val="17"/>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2）“欺诈行为”是指通过提供伪证影响招标或合同执行，从而损害招标人利益的行为；也包括投标人之间串通（在递交投标书之前或之后），人为地使招标过程失去竞争性，从而使业主无法从公开的自由竞争中获得利益的行为。</w:t>
      </w:r>
    </w:p>
    <w:p>
      <w:pPr>
        <w:pStyle w:val="17"/>
        <w:spacing w:after="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35.2如果投标人被认定在本招标的竞争中有腐败或欺诈行为，则会被取消投标资格。</w:t>
      </w:r>
    </w:p>
    <w:p>
      <w:pPr>
        <w:pStyle w:val="17"/>
        <w:spacing w:after="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35.3投标人如在本项目中存在串通投标、弄虚作假、行贿情形的，中标无效，该投标人将被招标人列入黑名单并限制其投标。行政监督机构将对其违法行为进行行政处罚并通报。</w:t>
      </w:r>
    </w:p>
    <w:p>
      <w:pPr>
        <w:pStyle w:val="17"/>
        <w:spacing w:after="0" w:line="360" w:lineRule="auto"/>
        <w:ind w:firstLine="482" w:firstLineChars="200"/>
        <w:rPr>
          <w:rFonts w:hint="eastAsia" w:ascii="宋体"/>
          <w:b/>
          <w:color w:val="auto"/>
          <w:sz w:val="24"/>
          <w:highlight w:val="none"/>
        </w:rPr>
      </w:pPr>
      <w:r>
        <w:rPr>
          <w:rFonts w:hint="eastAsia" w:ascii="宋体"/>
          <w:b/>
          <w:color w:val="auto"/>
          <w:sz w:val="24"/>
          <w:highlight w:val="none"/>
        </w:rPr>
        <w:t>36.其他</w:t>
      </w:r>
    </w:p>
    <w:p>
      <w:pPr>
        <w:pStyle w:val="17"/>
        <w:spacing w:after="0" w:line="360" w:lineRule="auto"/>
        <w:ind w:firstLine="480" w:firstLineChars="200"/>
        <w:rPr>
          <w:rFonts w:hint="eastAsia" w:ascii="宋体" w:hAnsi="宋体"/>
          <w:color w:val="auto"/>
          <w:sz w:val="24"/>
          <w:highlight w:val="none"/>
        </w:rPr>
      </w:pPr>
      <w:r>
        <w:rPr>
          <w:rFonts w:hint="eastAsia" w:ascii="宋体"/>
          <w:color w:val="auto"/>
          <w:sz w:val="24"/>
          <w:highlight w:val="none"/>
        </w:rPr>
        <w:t>其他投标人须知事项，见投标须知前附表第36项。</w:t>
      </w:r>
    </w:p>
    <w:p>
      <w:pPr>
        <w:pStyle w:val="2"/>
        <w:rPr>
          <w:rFonts w:ascii="宋体" w:eastAsia="宋体"/>
          <w:b w:val="0"/>
          <w:color w:val="auto"/>
          <w:highlight w:val="none"/>
        </w:rPr>
      </w:pPr>
      <w:bookmarkStart w:id="115" w:name="_第二章__开标、评标及定标办法"/>
      <w:bookmarkEnd w:id="115"/>
      <w:bookmarkStart w:id="116" w:name="_Toc12712"/>
      <w:bookmarkStart w:id="117" w:name="_Toc26905"/>
      <w:bookmarkStart w:id="118" w:name="_Toc27137"/>
      <w:bookmarkStart w:id="119" w:name="_Toc262229168"/>
      <w:bookmarkStart w:id="120" w:name="_Toc155150492"/>
      <w:bookmarkStart w:id="121" w:name="_Toc13102"/>
      <w:bookmarkStart w:id="122" w:name="_Toc4405"/>
      <w:bookmarkStart w:id="123" w:name="_Toc11805"/>
      <w:bookmarkStart w:id="124" w:name="_Toc9777"/>
      <w:bookmarkStart w:id="125" w:name="_Toc613"/>
      <w:bookmarkStart w:id="126" w:name="_Toc20599"/>
      <w:bookmarkStart w:id="127" w:name="_Toc155150494"/>
      <w:r>
        <w:rPr>
          <w:rFonts w:hint="eastAsia" w:ascii="宋体" w:eastAsia="宋体"/>
          <w:b w:val="0"/>
          <w:color w:val="auto"/>
          <w:highlight w:val="none"/>
        </w:rPr>
        <w:t>第二章  开标、评标及定标办法</w:t>
      </w:r>
      <w:bookmarkEnd w:id="116"/>
      <w:bookmarkEnd w:id="117"/>
      <w:bookmarkEnd w:id="118"/>
      <w:bookmarkEnd w:id="119"/>
      <w:bookmarkEnd w:id="120"/>
      <w:bookmarkEnd w:id="121"/>
      <w:bookmarkEnd w:id="122"/>
      <w:bookmarkEnd w:id="123"/>
      <w:bookmarkEnd w:id="124"/>
      <w:bookmarkEnd w:id="125"/>
      <w:bookmarkEnd w:id="126"/>
    </w:p>
    <w:p>
      <w:pPr>
        <w:pStyle w:val="6"/>
        <w:spacing w:before="120"/>
        <w:rPr>
          <w:rFonts w:ascii="宋体" w:eastAsia="宋体"/>
          <w:color w:val="auto"/>
          <w:highlight w:val="none"/>
        </w:rPr>
      </w:pPr>
      <w:bookmarkStart w:id="128" w:name="_一、开标、评标及定标办法修改表"/>
      <w:bookmarkEnd w:id="128"/>
      <w:bookmarkStart w:id="129" w:name="_Toc155150493"/>
      <w:bookmarkStart w:id="130" w:name="_Toc22769"/>
      <w:bookmarkStart w:id="131" w:name="_Toc24406"/>
      <w:bookmarkStart w:id="132" w:name="_Toc31530"/>
      <w:bookmarkStart w:id="133" w:name="_Toc5930"/>
      <w:bookmarkStart w:id="134" w:name="_Toc26366"/>
      <w:bookmarkStart w:id="135" w:name="_Toc5823"/>
      <w:bookmarkStart w:id="136" w:name="_Toc26062"/>
      <w:bookmarkStart w:id="137" w:name="_Toc4196"/>
      <w:bookmarkStart w:id="138" w:name="_Toc262229169"/>
      <w:bookmarkStart w:id="139" w:name="_Toc27470"/>
      <w:r>
        <w:rPr>
          <w:rFonts w:hint="eastAsia" w:ascii="宋体" w:eastAsia="宋体"/>
          <w:color w:val="auto"/>
          <w:highlight w:val="none"/>
        </w:rPr>
        <w:t>一、开标、评标及定标办法修改表</w:t>
      </w:r>
      <w:bookmarkEnd w:id="129"/>
      <w:bookmarkEnd w:id="130"/>
      <w:bookmarkEnd w:id="131"/>
      <w:bookmarkEnd w:id="132"/>
      <w:bookmarkEnd w:id="133"/>
      <w:bookmarkEnd w:id="134"/>
      <w:bookmarkEnd w:id="135"/>
      <w:bookmarkEnd w:id="136"/>
      <w:bookmarkEnd w:id="137"/>
      <w:bookmarkEnd w:id="138"/>
      <w:bookmarkEnd w:id="139"/>
    </w:p>
    <w:p>
      <w:pPr>
        <w:pStyle w:val="17"/>
        <w:spacing w:after="0" w:line="360" w:lineRule="auto"/>
        <w:ind w:firstLine="0"/>
        <w:rPr>
          <w:rFonts w:ascii="宋体" w:hAnsi="宋体"/>
          <w:b/>
          <w:color w:val="auto"/>
          <w:szCs w:val="21"/>
          <w:highlight w:val="none"/>
        </w:rPr>
      </w:pPr>
      <w:r>
        <w:rPr>
          <w:rFonts w:hint="eastAsia" w:ascii="宋体" w:hAnsi="宋体"/>
          <w:b/>
          <w:color w:val="auto"/>
          <w:szCs w:val="21"/>
          <w:highlight w:val="none"/>
        </w:rPr>
        <w:t>声明：本</w:t>
      </w:r>
      <w:r>
        <w:rPr>
          <w:rFonts w:hint="eastAsia" w:ascii="宋体" w:hAnsi="宋体"/>
          <w:b/>
          <w:color w:val="auto"/>
          <w:highlight w:val="none"/>
        </w:rPr>
        <w:t>开标、评标及定标办法使用GZYLZB202</w:t>
      </w:r>
      <w:r>
        <w:rPr>
          <w:rFonts w:hint="eastAsia" w:ascii="宋体" w:hAnsi="宋体"/>
          <w:b/>
          <w:color w:val="auto"/>
          <w:highlight w:val="none"/>
          <w:lang w:val="en-US" w:eastAsia="zh-CN"/>
        </w:rPr>
        <w:t>2</w:t>
      </w:r>
      <w:r>
        <w:rPr>
          <w:rFonts w:hint="eastAsia" w:ascii="宋体" w:hAnsi="宋体"/>
          <w:b/>
          <w:color w:val="auto"/>
          <w:highlight w:val="none"/>
        </w:rPr>
        <w:t>-1招标文件范本的开标、评标及定标办法</w:t>
      </w:r>
      <w:r>
        <w:rPr>
          <w:rFonts w:hint="eastAsia" w:ascii="宋体" w:hAnsi="宋体"/>
          <w:b/>
          <w:color w:val="auto"/>
          <w:szCs w:val="21"/>
          <w:highlight w:val="none"/>
        </w:rPr>
        <w:t>通用条款，与该通用条款不同之处，均在本表中列明，修改之处均以下划线标明，并以现文为准，原文不再有效。没有在本表中列明的条款，以原文为准。本招标文件中不再转录</w:t>
      </w:r>
      <w:r>
        <w:rPr>
          <w:rFonts w:hint="eastAsia" w:ascii="宋体" w:hAnsi="宋体"/>
          <w:b/>
          <w:color w:val="auto"/>
          <w:highlight w:val="none"/>
        </w:rPr>
        <w:t>开标、评标及定标办法</w:t>
      </w:r>
      <w:r>
        <w:rPr>
          <w:rFonts w:hint="eastAsia" w:ascii="宋体" w:hAnsi="宋体"/>
          <w:b/>
          <w:color w:val="auto"/>
          <w:szCs w:val="21"/>
          <w:highlight w:val="none"/>
        </w:rPr>
        <w:t>通用条款，请投标人自行到广州市林业和园林局网站（网址：http://lyylj.gz.gov.cn/）下载查阅。</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条款号：40.2                                               修改类型：修改</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40.2对于39.1以外的其他情况，为有助于投标文件的审查、评价和比较，评标期间，经评标委员会或评标委员会专业评审组中2人以上（含2人）成员以书面形式提出动议，评标委员会或评标委员会专业评审组应当书面发出澄清通知，要求投标人对投标文件含义不明确的内容作出澄清。</w:t>
      </w:r>
    </w:p>
    <w:p>
      <w:pPr>
        <w:pBdr>
          <w:bottom w:val="single" w:color="auto" w:sz="4" w:space="1"/>
        </w:pBd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Cs/>
          <w:color w:val="auto"/>
          <w:szCs w:val="21"/>
          <w:highlight w:val="none"/>
        </w:rPr>
        <w:t>40.2对于</w:t>
      </w:r>
      <w:r>
        <w:rPr>
          <w:rFonts w:hint="eastAsia" w:ascii="宋体" w:hAnsi="宋体" w:eastAsia="宋体" w:cs="宋体"/>
          <w:bCs/>
          <w:color w:val="auto"/>
          <w:szCs w:val="21"/>
          <w:highlight w:val="none"/>
          <w:u w:val="single"/>
        </w:rPr>
        <w:t>40.1</w:t>
      </w:r>
      <w:r>
        <w:rPr>
          <w:rFonts w:hint="eastAsia" w:ascii="宋体" w:hAnsi="宋体" w:eastAsia="宋体" w:cs="宋体"/>
          <w:bCs/>
          <w:color w:val="auto"/>
          <w:szCs w:val="21"/>
          <w:highlight w:val="none"/>
        </w:rPr>
        <w:t>以外的其他情况，为有助于投标文件的审查、评价和比较，评标期间，经评标委员会或评标委员会专业评审组中2人以上（含2人）成员以书面形式提出动议，评标委员会或评标委员会专业评审组应当书面发出澄清通知，要求投标人对投标文件含义不明确的内容作出澄清。</w:t>
      </w:r>
    </w:p>
    <w:p>
      <w:pPr>
        <w:pBdr>
          <w:top w:val="single" w:color="auto" w:sz="4" w:space="1"/>
        </w:pBdr>
        <w:spacing w:line="48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条款号：41.1                                                       修改类型：修改</w:t>
      </w:r>
    </w:p>
    <w:p>
      <w:pPr>
        <w:pBdr>
          <w:bottom w:val="single" w:color="auto" w:sz="6" w:space="1"/>
        </w:pBd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41.1不采用评定分离的，评标委员会推荐中标候选人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名（不多于3名）。</w:t>
      </w:r>
    </w:p>
    <w:p>
      <w:pPr>
        <w:pBdr>
          <w:bottom w:val="single" w:color="auto" w:sz="6" w:space="1"/>
        </w:pBd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评标委员会向招标人推荐按综合得分高低排序的中标候选人。招标人在评标委员会推荐的中标候选人中确定中标人。依法必须招标的项目，招标人应当确定排名第一的中标候选人为中标人。  </w:t>
      </w:r>
    </w:p>
    <w:p>
      <w:pPr>
        <w:pBdr>
          <w:bottom w:val="single" w:color="auto" w:sz="6" w:space="1"/>
        </w:pBd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Cs/>
          <w:color w:val="auto"/>
          <w:szCs w:val="21"/>
          <w:highlight w:val="none"/>
        </w:rPr>
        <w:t>41.1不采用评定分离的，评标委员会推荐中标候选人</w:t>
      </w:r>
      <w:r>
        <w:rPr>
          <w:rFonts w:hint="eastAsia" w:ascii="宋体" w:hAnsi="宋体" w:eastAsia="宋体" w:cs="宋体"/>
          <w:bCs/>
          <w:color w:val="auto"/>
          <w:szCs w:val="21"/>
          <w:highlight w:val="none"/>
          <w:u w:val="single"/>
        </w:rPr>
        <w:t xml:space="preserve"> 3 </w:t>
      </w:r>
      <w:r>
        <w:rPr>
          <w:rFonts w:hint="eastAsia" w:ascii="宋体" w:hAnsi="宋体" w:eastAsia="宋体" w:cs="宋体"/>
          <w:bCs/>
          <w:color w:val="auto"/>
          <w:szCs w:val="21"/>
          <w:highlight w:val="none"/>
        </w:rPr>
        <w:t>名（不多于3名）。</w:t>
      </w:r>
    </w:p>
    <w:p>
      <w:pPr>
        <w:pBdr>
          <w:bottom w:val="single" w:color="auto" w:sz="6" w:space="1"/>
        </w:pBdr>
        <w:spacing w:line="360" w:lineRule="auto"/>
        <w:ind w:firstLine="420" w:firstLineChars="200"/>
        <w:rPr>
          <w:rFonts w:hint="eastAsia" w:ascii="宋体" w:hAnsi="宋体" w:eastAsia="宋体" w:cs="宋体"/>
          <w:b w:val="0"/>
          <w:bCs/>
          <w:color w:val="auto"/>
          <w:szCs w:val="21"/>
          <w:highlight w:val="none"/>
          <w:u w:val="none"/>
        </w:rPr>
      </w:pPr>
      <w:r>
        <w:rPr>
          <w:rFonts w:hint="eastAsia" w:ascii="宋体" w:hAnsi="宋体" w:eastAsia="宋体" w:cs="宋体"/>
          <w:bCs/>
          <w:color w:val="auto"/>
          <w:szCs w:val="21"/>
          <w:highlight w:val="none"/>
        </w:rPr>
        <w:t>评标委员会向招标人推荐按综合得分高低排序的中标候选人。招标人在评标委员会推荐的中标</w:t>
      </w:r>
      <w:r>
        <w:rPr>
          <w:rFonts w:hint="eastAsia" w:ascii="宋体" w:hAnsi="宋体" w:eastAsia="宋体" w:cs="宋体"/>
          <w:b w:val="0"/>
          <w:bCs/>
          <w:color w:val="auto"/>
          <w:szCs w:val="21"/>
          <w:highlight w:val="none"/>
          <w:u w:val="none"/>
        </w:rPr>
        <w:t>候选人中确定中标人。依法必须招标的项目，招标人应当确定排名第一的中标候选人为中标人。</w:t>
      </w:r>
    </w:p>
    <w:p>
      <w:pPr>
        <w:pBdr>
          <w:top w:val="single" w:color="auto" w:sz="4" w:space="1"/>
        </w:pBdr>
        <w:spacing w:line="480" w:lineRule="auto"/>
        <w:ind w:firstLine="422" w:firstLineChars="200"/>
        <w:rPr>
          <w:rFonts w:hint="eastAsia" w:ascii="宋体" w:hAnsi="宋体" w:eastAsia="宋体" w:cs="宋体"/>
          <w:b/>
          <w:bCs w:val="0"/>
          <w:color w:val="auto"/>
          <w:szCs w:val="21"/>
          <w:highlight w:val="none"/>
          <w:u w:val="none"/>
        </w:rPr>
      </w:pPr>
      <w:r>
        <w:rPr>
          <w:rFonts w:hint="eastAsia" w:ascii="宋体" w:hAnsi="宋体" w:eastAsia="宋体" w:cs="宋体"/>
          <w:b/>
          <w:bCs w:val="0"/>
          <w:color w:val="auto"/>
          <w:szCs w:val="21"/>
          <w:highlight w:val="none"/>
          <w:u w:val="none"/>
        </w:rPr>
        <w:t>条款号：41.2                                                        修改类型：删除</w:t>
      </w:r>
    </w:p>
    <w:p>
      <w:pPr>
        <w:pBdr>
          <w:bottom w:val="single" w:color="auto" w:sz="6" w:space="1"/>
        </w:pBd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41.2采用评定分离的，评标委员会推荐中标候选人</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名（3-5名）。</w:t>
      </w:r>
    </w:p>
    <w:p>
      <w:pPr>
        <w:pBdr>
          <w:bottom w:val="single" w:color="auto" w:sz="6" w:space="1"/>
        </w:pBd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评标委员会向招标人推荐不排序的中标候选人。定标委员会在中标候选人中按照定标办法（详见附件一）确定中标人。</w:t>
      </w:r>
    </w:p>
    <w:p>
      <w:pPr>
        <w:spacing w:line="48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条款号：41.</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 xml:space="preserve">                                                        修改类型：修改</w:t>
      </w:r>
    </w:p>
    <w:p>
      <w:pPr>
        <w:tabs>
          <w:tab w:val="left" w:pos="1890"/>
        </w:tabs>
        <w:snapToGrid w:val="0"/>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41.3中标人确定后，中标人确定后，招标人（招标代理机构）通过广州公共资源交易中心网和广东省招标投标监管网公示中标结果，向中标人发出中标通知书，并同时将中标结果通知所有未中标的投标人。</w:t>
      </w:r>
    </w:p>
    <w:p>
      <w:pPr>
        <w:tabs>
          <w:tab w:val="left" w:pos="1890"/>
        </w:tabs>
        <w:spacing w:line="360" w:lineRule="auto"/>
        <w:ind w:firstLine="422" w:firstLineChars="200"/>
        <w:rPr>
          <w:rFonts w:hint="eastAsia" w:ascii="宋体" w:hAnsi="宋体" w:eastAsia="宋体" w:cs="宋体"/>
          <w:b/>
          <w:bCs/>
          <w:color w:val="auto"/>
          <w:kern w:val="0"/>
          <w:szCs w:val="21"/>
          <w:highlight w:val="none"/>
          <w:u w:val="singl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41.3</w:t>
      </w:r>
      <w:r>
        <w:rPr>
          <w:rFonts w:hint="eastAsia" w:ascii="宋体" w:hAnsi="宋体" w:eastAsia="宋体" w:cs="宋体"/>
          <w:color w:val="auto"/>
          <w:szCs w:val="21"/>
          <w:highlight w:val="none"/>
          <w:u w:val="none"/>
        </w:rPr>
        <w:t>中标人确定后，</w:t>
      </w:r>
      <w:r>
        <w:rPr>
          <w:rFonts w:hint="eastAsia" w:ascii="宋体" w:hAnsi="宋体" w:eastAsia="宋体" w:cs="宋体"/>
          <w:color w:val="auto"/>
          <w:szCs w:val="21"/>
          <w:highlight w:val="none"/>
        </w:rPr>
        <w:t>招标人（招标代理机构）通过广州公共资源交易中心网和广东省招标投标监管网公示中标结果，向中标人发出中标通知书，并同时将中标结果通知所有未中标的投标人。</w:t>
      </w:r>
      <w:r>
        <w:rPr>
          <w:rFonts w:hint="eastAsia" w:ascii="宋体" w:hAnsi="宋体" w:eastAsia="宋体" w:cs="宋体"/>
          <w:b w:val="0"/>
          <w:bCs w:val="0"/>
          <w:color w:val="auto"/>
          <w:kern w:val="0"/>
          <w:sz w:val="21"/>
          <w:szCs w:val="21"/>
          <w:highlight w:val="none"/>
          <w:u w:val="single"/>
        </w:rPr>
        <w:t>投</w:t>
      </w:r>
      <w:r>
        <w:rPr>
          <w:rFonts w:hint="eastAsia" w:ascii="宋体" w:hAnsi="宋体" w:eastAsia="宋体" w:cs="宋体"/>
          <w:bCs/>
          <w:color w:val="auto"/>
          <w:szCs w:val="21"/>
          <w:highlight w:val="none"/>
          <w:u w:val="single"/>
        </w:rPr>
        <w:t>标人或其他利害关系人对评标结果有异议的，应当在中标候选人公示期间提出，可以通过线下或线上的形式提出异议。线上提交的，应通过交易平台进行，招标人也应通过交易平台答复线上</w:t>
      </w:r>
    </w:p>
    <w:p>
      <w:pPr>
        <w:pBdr>
          <w:bottom w:val="single" w:color="auto" w:sz="6" w:space="1"/>
        </w:pBd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u w:val="single"/>
        </w:rPr>
        <w:t>提交的异议。作出答复前，应当暂停招标投标活动。</w:t>
      </w:r>
    </w:p>
    <w:p>
      <w:pPr>
        <w:spacing w:line="48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条款号：41.4                                                        修改类型：修改</w:t>
      </w:r>
    </w:p>
    <w:p>
      <w:pPr>
        <w:pBdr>
          <w:bottom w:val="single" w:color="auto" w:sz="6" w:space="1"/>
        </w:pBd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41.4招标人应当自确定中标人之日起十五日内，向招标管理机构提交招标投标情况的书面报告。采用评定分离的，招标人应当提交定标报告。定标报告应包括定标委员会的产生过程、定标委员会成员名单、定标程序、定标会议过程及定标结果等内容。</w:t>
      </w:r>
    </w:p>
    <w:p>
      <w:pPr>
        <w:pBdr>
          <w:bottom w:val="single" w:color="auto" w:sz="6" w:space="1"/>
        </w:pBd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Cs/>
          <w:color w:val="auto"/>
          <w:szCs w:val="21"/>
          <w:highlight w:val="none"/>
        </w:rPr>
        <w:t>41.4招标人应当自确定中标人之日起十五日内，向招标管理机构提交招标投标情况的书面报告。</w:t>
      </w:r>
    </w:p>
    <w:p>
      <w:pPr>
        <w:pBdr>
          <w:bottom w:val="single" w:color="auto" w:sz="6" w:space="1"/>
        </w:pBdr>
        <w:spacing w:line="360" w:lineRule="auto"/>
        <w:ind w:firstLine="420" w:firstLineChars="200"/>
        <w:rPr>
          <w:rFonts w:hint="eastAsia" w:ascii="宋体" w:hAnsi="宋体" w:eastAsia="宋体" w:cs="宋体"/>
          <w:bCs/>
          <w:color w:val="auto"/>
          <w:szCs w:val="21"/>
          <w:highlight w:val="none"/>
        </w:rPr>
      </w:pPr>
    </w:p>
    <w:p>
      <w:pPr>
        <w:spacing w:line="48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条款号：（二）开标评标办法程序和细则 可选办法一 两阶段评标法        修改类型：删除</w:t>
      </w:r>
    </w:p>
    <w:p>
      <w:pPr>
        <w:pBdr>
          <w:bottom w:val="single" w:color="auto" w:sz="6" w:space="1"/>
        </w:pBd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可选办法一 两阶段评标法</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条款号：43.2                                                        修改类型：修改</w:t>
      </w:r>
    </w:p>
    <w:p>
      <w:pPr>
        <w:snapToGrid w:val="0"/>
        <w:spacing w:line="360" w:lineRule="auto"/>
        <w:ind w:firstLine="460" w:firstLineChars="218"/>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原文：43.2</w:t>
      </w:r>
      <w:r>
        <w:rPr>
          <w:rFonts w:hint="eastAsia" w:ascii="宋体" w:hAnsi="宋体" w:eastAsia="宋体" w:cs="宋体"/>
          <w:color w:val="auto"/>
          <w:szCs w:val="21"/>
          <w:highlight w:val="none"/>
        </w:rPr>
        <w:t>由招标人或其推选的代表检查投标文件的投标人解密情况，也可以由招标人委托的公证机构检查并公证，之后由招标人对全部投标文件进行解密。</w:t>
      </w:r>
    </w:p>
    <w:p>
      <w:pPr>
        <w:keepNext w:val="0"/>
        <w:keepLines w:val="0"/>
        <w:pageBreakBefore w:val="0"/>
        <w:widowControl w:val="0"/>
        <w:pBdr>
          <w:bottom w:val="single" w:color="auto" w:sz="6" w:space="1"/>
        </w:pBdr>
        <w:kinsoku/>
        <w:wordWrap/>
        <w:overflowPunct/>
        <w:topLinePunct w:val="0"/>
        <w:autoSpaceDE/>
        <w:autoSpaceDN/>
        <w:bidi w:val="0"/>
        <w:adjustRightInd/>
        <w:spacing w:line="360" w:lineRule="auto"/>
        <w:ind w:left="0" w:leftChars="0" w:right="0" w:rightChars="0" w:firstLine="422" w:firstLineChars="200"/>
        <w:textAlignment w:val="auto"/>
        <w:outlineLvl w:val="9"/>
        <w:rPr>
          <w:rFonts w:hint="eastAsia" w:ascii="宋体" w:hAnsi="宋体" w:eastAsia="宋体" w:cs="宋体"/>
          <w:color w:val="auto"/>
          <w:sz w:val="21"/>
          <w:szCs w:val="21"/>
          <w:highlight w:val="none"/>
          <w:u w:val="none"/>
          <w:lang w:eastAsia="zh-CN"/>
        </w:rPr>
      </w:pPr>
      <w:r>
        <w:rPr>
          <w:rFonts w:hint="eastAsia" w:ascii="宋体" w:hAnsi="宋体" w:eastAsia="宋体" w:cs="宋体"/>
          <w:b/>
          <w:color w:val="auto"/>
          <w:szCs w:val="21"/>
          <w:highlight w:val="none"/>
        </w:rPr>
        <w:t>现文：43.2</w:t>
      </w:r>
      <w:r>
        <w:rPr>
          <w:rFonts w:hint="eastAsia" w:ascii="宋体" w:hAnsi="宋体" w:eastAsia="宋体" w:cs="宋体"/>
          <w:color w:val="auto"/>
          <w:szCs w:val="21"/>
          <w:highlight w:val="none"/>
        </w:rPr>
        <w:t>由招标人或其推选的代表检查投标文件的投标人解密情况，也可以由招标人委托的公证机构检查并公证，之后由招标人</w:t>
      </w:r>
      <w:r>
        <w:rPr>
          <w:rFonts w:hint="eastAsia" w:ascii="宋体" w:hAnsi="宋体" w:eastAsia="宋体" w:cs="宋体"/>
          <w:color w:val="auto"/>
          <w:szCs w:val="21"/>
          <w:highlight w:val="none"/>
          <w:u w:val="single"/>
        </w:rPr>
        <w:t>或招标代理</w:t>
      </w:r>
      <w:r>
        <w:rPr>
          <w:rFonts w:hint="eastAsia" w:ascii="宋体" w:hAnsi="宋体" w:eastAsia="宋体" w:cs="宋体"/>
          <w:color w:val="auto"/>
          <w:szCs w:val="21"/>
          <w:highlight w:val="none"/>
        </w:rPr>
        <w:t>对全部投标文件进行解密</w:t>
      </w:r>
      <w:r>
        <w:rPr>
          <w:rFonts w:hint="eastAsia" w:ascii="宋体" w:hAnsi="宋体" w:eastAsia="宋体" w:cs="宋体"/>
          <w:color w:val="auto"/>
          <w:sz w:val="21"/>
          <w:szCs w:val="21"/>
          <w:highlight w:val="none"/>
          <w:u w:val="none"/>
          <w:lang w:eastAsia="zh-CN"/>
        </w:rPr>
        <w:t>。</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条款号：43.4                                               </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修改类型：修改</w:t>
      </w:r>
    </w:p>
    <w:p>
      <w:pPr>
        <w:pBdr>
          <w:bottom w:val="single" w:color="auto" w:sz="6" w:space="1"/>
        </w:pBd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原文：</w:t>
      </w:r>
      <w:r>
        <w:rPr>
          <w:rFonts w:hint="eastAsia" w:ascii="宋体" w:hAnsi="宋体" w:eastAsia="宋体" w:cs="宋体"/>
          <w:color w:val="auto"/>
          <w:szCs w:val="21"/>
          <w:highlight w:val="none"/>
        </w:rPr>
        <w:t>43.4 开标前，首先由招标人或招标代理机构按 42.3 规定,现场随机抽取确定该工程计算评标参考价的下浮率 X。招标人或招标代理机构在开标时，公布以下所有内容：a、投标人名称；b、电子投标文件解密情况；c、电子投标文件的递交情况；d、法定代表人证明及授权委托；e、投标保证金；f、投标报价；g、人工费；h、绿色施工安全防护措施费；i、工期；j、质量标准；k、施工组织设计承诺书；l、项目负责人；m、专职安全员。</w:t>
      </w:r>
    </w:p>
    <w:p>
      <w:pPr>
        <w:pBdr>
          <w:bottom w:val="single" w:color="auto" w:sz="6" w:space="1"/>
        </w:pBdr>
        <w:spacing w:line="360" w:lineRule="auto"/>
        <w:ind w:firstLine="422" w:firstLineChars="200"/>
        <w:rPr>
          <w:rFonts w:hint="eastAsia" w:ascii="宋体" w:hAnsi="宋体" w:eastAsia="宋体" w:cs="宋体"/>
          <w:color w:val="auto"/>
          <w:sz w:val="21"/>
          <w:szCs w:val="21"/>
          <w:highlight w:val="none"/>
          <w:u w:val="none"/>
          <w:lang w:eastAsia="zh-CN"/>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43.4 开标前，首先由招标人或招标代理机构按 42.3 规定,现场随机抽取确定该工程计算评标参考价的下浮率 X。招标人或招标代理机构在开标时，公布以下所有内容：a、投标人名称；b、电子投标文件解密情况；c、电子投标文件的递交情况；d、法定代表人证明及授权委托；e、</w:t>
      </w:r>
      <w:r>
        <w:rPr>
          <w:rFonts w:hint="eastAsia" w:ascii="宋体" w:hAnsi="宋体" w:eastAsia="宋体" w:cs="宋体"/>
          <w:strike/>
          <w:color w:val="auto"/>
          <w:szCs w:val="21"/>
          <w:highlight w:val="none"/>
        </w:rPr>
        <w:t>投标保证金；</w:t>
      </w:r>
      <w:r>
        <w:rPr>
          <w:rFonts w:hint="eastAsia" w:ascii="宋体" w:hAnsi="宋体" w:eastAsia="宋体" w:cs="宋体"/>
          <w:color w:val="auto"/>
          <w:szCs w:val="21"/>
          <w:highlight w:val="none"/>
        </w:rPr>
        <w:t>f、投标报价；g、人工费；h、绿色施工安全防护措施费；i、工期；j、质量标准；k、施工组织设计承诺书；l、项目负责人；m、专职安全员。</w:t>
      </w:r>
    </w:p>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条款号：46.1.1.8          </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 xml:space="preserve">  修改类型：修改</w:t>
      </w:r>
    </w:p>
    <w:p>
      <w:pPr>
        <w:keepNext w:val="0"/>
        <w:keepLines w:val="0"/>
        <w:pageBreakBefore w:val="0"/>
        <w:widowControl w:val="0"/>
        <w:pBdr>
          <w:bottom w:val="single" w:color="auto" w:sz="6" w:space="1"/>
        </w:pBdr>
        <w:kinsoku/>
        <w:wordWrap/>
        <w:overflowPunct/>
        <w:topLinePunct w:val="0"/>
        <w:autoSpaceDE/>
        <w:autoSpaceDN/>
        <w:bidi w:val="0"/>
        <w:adjustRightInd/>
        <w:spacing w:line="360" w:lineRule="auto"/>
        <w:ind w:left="0" w:leftChars="0" w:right="0" w:rightChars="0" w:firstLine="422" w:firstLineChars="200"/>
        <w:textAlignment w:val="auto"/>
        <w:outlineLvl w:val="9"/>
        <w:rPr>
          <w:rFonts w:hint="eastAsia" w:ascii="宋体" w:hAnsi="宋体" w:eastAsia="宋体" w:cs="宋体"/>
          <w:color w:val="auto"/>
          <w:sz w:val="21"/>
          <w:szCs w:val="21"/>
          <w:highlight w:val="none"/>
          <w:u w:val="none"/>
          <w:lang w:eastAsia="zh-CN"/>
        </w:rPr>
      </w:pPr>
      <w:r>
        <w:rPr>
          <w:rFonts w:hint="eastAsia" w:ascii="宋体" w:hAnsi="宋体" w:eastAsia="宋体" w:cs="宋体"/>
          <w:b/>
          <w:bCs w:val="0"/>
          <w:color w:val="auto"/>
          <w:sz w:val="21"/>
          <w:szCs w:val="21"/>
          <w:highlight w:val="none"/>
        </w:rPr>
        <w:t>原文：</w:t>
      </w:r>
      <w:r>
        <w:rPr>
          <w:rFonts w:hint="eastAsia" w:ascii="宋体" w:hAnsi="宋体" w:eastAsia="宋体" w:cs="宋体"/>
          <w:color w:val="auto"/>
          <w:sz w:val="21"/>
          <w:szCs w:val="21"/>
          <w:highlight w:val="none"/>
          <w:u w:val="none"/>
          <w:lang w:eastAsia="zh-CN"/>
        </w:rPr>
        <w:t>46.1.1.8按上述修正错误的原则及方法调整或修正投标文件的投标报价，调整后的投标报价对投标人起约束作用。如果投标人不接受修正后的报价，则取消其投标资格，并且其投标保证金也将不予退还。以上修正不影响修正前按步骤确定的投标人排序。</w:t>
      </w:r>
    </w:p>
    <w:p>
      <w:pPr>
        <w:keepNext w:val="0"/>
        <w:keepLines w:val="0"/>
        <w:pageBreakBefore w:val="0"/>
        <w:widowControl w:val="0"/>
        <w:pBdr>
          <w:bottom w:val="single" w:color="auto" w:sz="6" w:space="1"/>
        </w:pBdr>
        <w:kinsoku/>
        <w:wordWrap/>
        <w:overflowPunct/>
        <w:topLinePunct w:val="0"/>
        <w:autoSpaceDE/>
        <w:autoSpaceDN/>
        <w:bidi w:val="0"/>
        <w:adjustRightInd/>
        <w:spacing w:line="360" w:lineRule="auto"/>
        <w:ind w:left="0" w:leftChars="0" w:right="0" w:rightChars="0" w:firstLine="422"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u w:val="none"/>
          <w:lang w:eastAsia="zh-CN"/>
        </w:rPr>
        <w:t>46.1.1.8按上述修正错误的原则及方法调整或修正投标文件的投标报价，调整后的投标报价对投标人起约束作用。</w:t>
      </w:r>
      <w:r>
        <w:rPr>
          <w:rFonts w:hint="eastAsia" w:ascii="宋体" w:hAnsi="宋体" w:eastAsia="宋体" w:cs="宋体"/>
          <w:color w:val="auto"/>
          <w:sz w:val="21"/>
          <w:szCs w:val="21"/>
          <w:highlight w:val="none"/>
          <w:u w:val="single"/>
          <w:lang w:eastAsia="zh-CN"/>
        </w:rPr>
        <w:t>如果投标人不接受修正后的报价，则取消其投标资格</w:t>
      </w:r>
      <w:r>
        <w:rPr>
          <w:rFonts w:hint="eastAsia" w:ascii="宋体" w:hAnsi="宋体" w:eastAsia="宋体" w:cs="宋体"/>
          <w:color w:val="auto"/>
          <w:sz w:val="21"/>
          <w:szCs w:val="21"/>
          <w:highlight w:val="none"/>
          <w:u w:val="none"/>
          <w:lang w:eastAsia="zh-CN"/>
        </w:rPr>
        <w:t>。以上修正不影响修正前按步骤确定的投标人排序。</w:t>
      </w:r>
    </w:p>
    <w:p>
      <w:pPr>
        <w:spacing w:line="48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条款号：46.7.1                                                      修改类型：修改</w:t>
      </w:r>
    </w:p>
    <w:p>
      <w:pPr>
        <w:pBdr>
          <w:bottom w:val="single" w:color="auto" w:sz="6" w:space="1"/>
        </w:pBd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46.7.1权重分配：技术部分（施工组织方案）得分权重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%，技术部分（项目实施能力）得分权重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%，报价得分权重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%，诚信综合评价得分权重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pBdr>
          <w:bottom w:val="single" w:color="auto" w:sz="6" w:space="1"/>
        </w:pBdr>
        <w:spacing w:line="360" w:lineRule="auto"/>
        <w:ind w:firstLine="422" w:firstLineChars="200"/>
        <w:rPr>
          <w:rFonts w:hint="eastAsia" w:ascii="宋体" w:hAnsi="宋体" w:eastAsia="宋体" w:cs="宋体"/>
          <w:strike/>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46.7.1权重分配：</w:t>
      </w:r>
      <w:r>
        <w:rPr>
          <w:rFonts w:hint="eastAsia" w:ascii="宋体" w:hAnsi="宋体" w:eastAsia="宋体" w:cs="宋体"/>
          <w:color w:val="auto"/>
          <w:kern w:val="0"/>
          <w:szCs w:val="21"/>
          <w:highlight w:val="none"/>
        </w:rPr>
        <w:t>技术部分（施工组织方案）得分权重</w:t>
      </w:r>
      <w:r>
        <w:rPr>
          <w:rFonts w:hint="eastAsia" w:ascii="宋体" w:hAnsi="宋体" w:eastAsia="宋体" w:cs="宋体"/>
          <w:color w:val="auto"/>
          <w:kern w:val="0"/>
          <w:szCs w:val="21"/>
          <w:highlight w:val="none"/>
          <w:u w:val="single"/>
          <w:lang w:val="en-US" w:eastAsia="zh-CN"/>
        </w:rPr>
        <w:t>5</w:t>
      </w:r>
      <w:r>
        <w:rPr>
          <w:rFonts w:hint="eastAsia" w:ascii="宋体" w:hAnsi="宋体" w:eastAsia="宋体" w:cs="宋体"/>
          <w:color w:val="auto"/>
          <w:kern w:val="0"/>
          <w:szCs w:val="21"/>
          <w:highlight w:val="none"/>
        </w:rPr>
        <w:t>%，技术部分（项目实施能力）得分权重</w:t>
      </w:r>
      <w:r>
        <w:rPr>
          <w:rFonts w:hint="eastAsia" w:ascii="宋体" w:hAnsi="宋体" w:eastAsia="宋体" w:cs="宋体"/>
          <w:color w:val="auto"/>
          <w:kern w:val="0"/>
          <w:szCs w:val="21"/>
          <w:highlight w:val="none"/>
          <w:u w:val="single"/>
          <w:lang w:val="en-US" w:eastAsia="zh-CN"/>
        </w:rPr>
        <w:t>15</w:t>
      </w:r>
      <w:r>
        <w:rPr>
          <w:rFonts w:hint="eastAsia" w:ascii="宋体" w:hAnsi="宋体" w:eastAsia="宋体" w:cs="宋体"/>
          <w:color w:val="auto"/>
          <w:kern w:val="0"/>
          <w:szCs w:val="21"/>
          <w:highlight w:val="none"/>
        </w:rPr>
        <w:t>%，报价得分权重</w:t>
      </w:r>
      <w:r>
        <w:rPr>
          <w:rFonts w:hint="eastAsia" w:ascii="宋体" w:hAnsi="宋体" w:eastAsia="宋体" w:cs="宋体"/>
          <w:color w:val="auto"/>
          <w:kern w:val="0"/>
          <w:szCs w:val="21"/>
          <w:highlight w:val="none"/>
          <w:u w:val="single"/>
          <w:lang w:val="en-US" w:eastAsia="zh-CN"/>
        </w:rPr>
        <w:t>80</w:t>
      </w:r>
      <w:r>
        <w:rPr>
          <w:rFonts w:hint="eastAsia" w:ascii="宋体" w:hAnsi="宋体" w:eastAsia="宋体" w:cs="宋体"/>
          <w:color w:val="auto"/>
          <w:kern w:val="0"/>
          <w:szCs w:val="21"/>
          <w:highlight w:val="none"/>
        </w:rPr>
        <w:t>%，诚信综合评价得分权重</w:t>
      </w:r>
      <w:r>
        <w:rPr>
          <w:rFonts w:hint="eastAsia" w:ascii="宋体" w:hAnsi="宋体" w:eastAsia="宋体" w:cs="宋体"/>
          <w:color w:val="auto"/>
          <w:kern w:val="0"/>
          <w:szCs w:val="21"/>
          <w:highlight w:val="none"/>
          <w:u w:val="single"/>
          <w:lang w:val="en-US" w:eastAsia="zh-CN"/>
        </w:rPr>
        <w:t>0</w:t>
      </w:r>
      <w:r>
        <w:rPr>
          <w:rFonts w:hint="eastAsia" w:ascii="宋体" w:hAnsi="宋体" w:eastAsia="宋体" w:cs="宋体"/>
          <w:color w:val="auto"/>
          <w:kern w:val="0"/>
          <w:szCs w:val="21"/>
          <w:highlight w:val="none"/>
        </w:rPr>
        <w:t>%。</w:t>
      </w:r>
    </w:p>
    <w:p>
      <w:pPr>
        <w:spacing w:line="480" w:lineRule="auto"/>
        <w:ind w:firstLine="422" w:firstLineChars="20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条款号：</w:t>
      </w:r>
      <w:r>
        <w:rPr>
          <w:rFonts w:hint="eastAsia" w:ascii="宋体" w:hAnsi="宋体" w:eastAsia="宋体" w:cs="宋体"/>
          <w:b/>
          <w:color w:val="auto"/>
          <w:szCs w:val="21"/>
          <w:highlight w:val="none"/>
          <w:lang w:eastAsia="zh-CN"/>
        </w:rPr>
        <w:t>附件</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eastAsia="zh-CN"/>
        </w:rPr>
        <w:t>序号</w:t>
      </w:r>
      <w:r>
        <w:rPr>
          <w:rFonts w:hint="eastAsia" w:ascii="宋体" w:hAnsi="宋体" w:eastAsia="宋体" w:cs="宋体"/>
          <w:b/>
          <w:color w:val="auto"/>
          <w:szCs w:val="21"/>
          <w:highlight w:val="none"/>
          <w:lang w:val="en-US" w:eastAsia="zh-CN"/>
        </w:rPr>
        <w:t>16、17</w:t>
      </w:r>
      <w:r>
        <w:rPr>
          <w:rFonts w:hint="eastAsia" w:ascii="宋体" w:hAnsi="宋体" w:eastAsia="宋体" w:cs="宋体"/>
          <w:b/>
          <w:color w:val="auto"/>
          <w:szCs w:val="21"/>
          <w:highlight w:val="none"/>
        </w:rPr>
        <w:t xml:space="preserve">                                           修改类型：</w:t>
      </w:r>
      <w:r>
        <w:rPr>
          <w:rFonts w:hint="eastAsia" w:ascii="宋体" w:hAnsi="宋体" w:eastAsia="宋体" w:cs="宋体"/>
          <w:b/>
          <w:color w:val="auto"/>
          <w:szCs w:val="21"/>
          <w:highlight w:val="none"/>
          <w:lang w:eastAsia="zh-CN"/>
        </w:rPr>
        <w:t>删除</w:t>
      </w:r>
    </w:p>
    <w:p>
      <w:pPr>
        <w:pBdr>
          <w:bottom w:val="single" w:color="auto" w:sz="6" w:space="1"/>
        </w:pBdr>
        <w:spacing w:line="360" w:lineRule="auto"/>
        <w:ind w:firstLine="422" w:firstLineChars="200"/>
        <w:rPr>
          <w:rFonts w:hint="eastAsia" w:ascii="宋体" w:hAnsi="宋体" w:eastAsia="宋体" w:cs="Times New Roman"/>
          <w:strike w:val="0"/>
          <w:color w:val="auto"/>
          <w:szCs w:val="21"/>
          <w:highlight w:val="none"/>
          <w:lang w:eastAsia="zh-CN"/>
        </w:rPr>
      </w:pPr>
      <w:r>
        <w:rPr>
          <w:rFonts w:hint="eastAsia" w:ascii="宋体" w:hAnsi="宋体" w:eastAsia="宋体" w:cs="宋体"/>
          <w:b/>
          <w:strike w:val="0"/>
          <w:color w:val="auto"/>
          <w:szCs w:val="21"/>
          <w:highlight w:val="none"/>
        </w:rPr>
        <w:t>原文：</w:t>
      </w:r>
      <w:r>
        <w:rPr>
          <w:rFonts w:hint="eastAsia" w:ascii="宋体" w:hAnsi="宋体" w:eastAsia="宋体" w:cs="宋体"/>
          <w:strike w:val="0"/>
          <w:color w:val="auto"/>
          <w:szCs w:val="21"/>
          <w:highlight w:val="none"/>
          <w:lang w:val="en-US" w:eastAsia="zh-CN"/>
        </w:rPr>
        <w:t>16.</w:t>
      </w:r>
      <w:r>
        <w:rPr>
          <w:rFonts w:hint="eastAsia" w:ascii="宋体" w:hAnsi="宋体" w:eastAsia="宋体" w:cs="Times New Roman"/>
          <w:strike w:val="0"/>
          <w:color w:val="auto"/>
          <w:szCs w:val="21"/>
          <w:highlight w:val="none"/>
          <w:lang w:eastAsia="zh-CN"/>
        </w:rPr>
        <w:t>未按要求提交投标保证金的；</w:t>
      </w:r>
    </w:p>
    <w:p>
      <w:pPr>
        <w:numPr>
          <w:ilvl w:val="0"/>
          <w:numId w:val="4"/>
        </w:numPr>
        <w:pBdr>
          <w:bottom w:val="single" w:color="auto" w:sz="6" w:space="1"/>
        </w:pBdr>
        <w:spacing w:line="360" w:lineRule="auto"/>
        <w:ind w:firstLine="420" w:firstLineChars="200"/>
        <w:rPr>
          <w:rFonts w:hint="eastAsia" w:ascii="宋体" w:hAnsi="宋体" w:eastAsia="宋体"/>
          <w:strike w:val="0"/>
          <w:dstrike w:val="0"/>
          <w:color w:val="auto"/>
          <w:szCs w:val="21"/>
          <w:highlight w:val="none"/>
        </w:rPr>
      </w:pPr>
      <w:r>
        <w:rPr>
          <w:rFonts w:hint="eastAsia" w:ascii="宋体" w:hAnsi="宋体" w:eastAsia="宋体"/>
          <w:strike w:val="0"/>
          <w:dstrike w:val="0"/>
          <w:color w:val="auto"/>
          <w:szCs w:val="21"/>
          <w:highlight w:val="none"/>
        </w:rPr>
        <w:t>不同投标人的投标保证金从同一单位或者个人的账户转出；</w:t>
      </w:r>
    </w:p>
    <w:p>
      <w:pPr>
        <w:spacing w:line="480" w:lineRule="auto"/>
        <w:ind w:firstLine="422" w:firstLineChars="20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条款号：</w:t>
      </w:r>
      <w:r>
        <w:rPr>
          <w:rFonts w:hint="eastAsia" w:ascii="宋体" w:hAnsi="宋体" w:eastAsia="宋体" w:cs="宋体"/>
          <w:b/>
          <w:color w:val="auto"/>
          <w:szCs w:val="21"/>
          <w:highlight w:val="none"/>
          <w:lang w:eastAsia="zh-CN"/>
        </w:rPr>
        <w:t>附件</w:t>
      </w:r>
      <w:r>
        <w:rPr>
          <w:rFonts w:hint="eastAsia" w:ascii="宋体" w:hAnsi="宋体" w:eastAsia="宋体" w:cs="宋体"/>
          <w:b/>
          <w:color w:val="auto"/>
          <w:szCs w:val="21"/>
          <w:highlight w:val="none"/>
          <w:lang w:val="en-US" w:eastAsia="zh-CN"/>
        </w:rPr>
        <w:t>17</w:t>
      </w: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 xml:space="preserve">                                修改类型：</w:t>
      </w:r>
      <w:r>
        <w:rPr>
          <w:rFonts w:hint="eastAsia" w:ascii="宋体" w:hAnsi="宋体" w:eastAsia="宋体" w:cs="宋体"/>
          <w:b/>
          <w:color w:val="auto"/>
          <w:szCs w:val="21"/>
          <w:highlight w:val="none"/>
          <w:lang w:eastAsia="zh-CN"/>
        </w:rPr>
        <w:t>增加</w:t>
      </w:r>
    </w:p>
    <w:p>
      <w:pPr>
        <w:spacing w:line="360" w:lineRule="auto"/>
        <w:ind w:firstLine="422" w:firstLineChars="200"/>
        <w:rPr>
          <w:rFonts w:hint="eastAsia"/>
          <w:color w:val="auto"/>
          <w:highlight w:val="none"/>
        </w:rPr>
      </w:pPr>
      <w:r>
        <w:rPr>
          <w:rFonts w:hint="eastAsia" w:ascii="宋体" w:hAnsi="宋体" w:eastAsia="宋体" w:cs="宋体"/>
          <w:b/>
          <w:strike w:val="0"/>
          <w:color w:val="auto"/>
          <w:szCs w:val="21"/>
          <w:highlight w:val="none"/>
          <w:lang w:eastAsia="zh-CN"/>
        </w:rPr>
        <w:t>现</w:t>
      </w:r>
      <w:r>
        <w:rPr>
          <w:rFonts w:hint="eastAsia" w:ascii="宋体" w:hAnsi="宋体" w:eastAsia="宋体" w:cs="宋体"/>
          <w:b/>
          <w:strike w:val="0"/>
          <w:color w:val="auto"/>
          <w:szCs w:val="21"/>
          <w:highlight w:val="none"/>
        </w:rPr>
        <w:t>文：</w:t>
      </w:r>
      <w:r>
        <w:rPr>
          <w:rFonts w:hint="eastAsia" w:ascii="宋体" w:hAnsi="宋体" w:eastAsia="宋体" w:cs="宋体"/>
          <w:color w:val="auto"/>
          <w:kern w:val="0"/>
          <w:szCs w:val="24"/>
          <w:highlight w:val="none"/>
          <w:lang w:eastAsia="zh-CN"/>
        </w:rPr>
        <w:t>十一</w:t>
      </w:r>
      <w:r>
        <w:rPr>
          <w:rFonts w:hint="eastAsia" w:ascii="宋体" w:hAnsi="宋体" w:eastAsia="宋体" w:cs="宋体"/>
          <w:color w:val="auto"/>
          <w:kern w:val="0"/>
          <w:szCs w:val="24"/>
          <w:highlight w:val="none"/>
        </w:rPr>
        <w:t>、与本公司单位负责人为同一人或者与本公司存在控股、管理关系的其他单位包括：</w:t>
      </w:r>
      <w:r>
        <w:rPr>
          <w:rFonts w:hint="eastAsia" w:ascii="宋体" w:hAnsi="宋体" w:eastAsia="宋体" w:cs="宋体"/>
          <w:color w:val="auto"/>
          <w:kern w:val="0"/>
          <w:szCs w:val="24"/>
          <w:highlight w:val="none"/>
          <w:u w:val="single"/>
        </w:rPr>
        <w:t xml:space="preserve">         </w:t>
      </w:r>
      <w:r>
        <w:rPr>
          <w:rFonts w:hint="eastAsia" w:ascii="宋体" w:hAnsi="宋体" w:eastAsia="宋体" w:cs="宋体"/>
          <w:color w:val="auto"/>
          <w:kern w:val="0"/>
          <w:szCs w:val="24"/>
          <w:highlight w:val="none"/>
        </w:rPr>
        <w:t>。（注：本条由投标人如实填写，如有，应列出全部满足招标公告资质要求的相关</w:t>
      </w:r>
    </w:p>
    <w:p>
      <w:pPr>
        <w:pBdr>
          <w:bottom w:val="single" w:color="auto" w:sz="6" w:space="1"/>
        </w:pBdr>
        <w:spacing w:line="360" w:lineRule="auto"/>
        <w:rPr>
          <w:rFonts w:hint="default" w:ascii="仿宋_GB2312" w:hAnsi="宋体" w:eastAsia="仿宋_GB2312" w:cs="Times New Roman"/>
          <w:bCs w:val="0"/>
          <w:color w:val="auto"/>
          <w:szCs w:val="30"/>
          <w:highlight w:val="none"/>
          <w:lang w:val="en-US" w:eastAsia="zh-CN"/>
        </w:rPr>
      </w:pPr>
      <w:r>
        <w:rPr>
          <w:rFonts w:hint="eastAsia" w:ascii="宋体" w:hAnsi="宋体" w:eastAsia="宋体" w:cs="宋体"/>
          <w:color w:val="auto"/>
          <w:kern w:val="0"/>
          <w:szCs w:val="24"/>
          <w:highlight w:val="none"/>
        </w:rPr>
        <w:t>单位的名称；如无，则填写“无”。）</w:t>
      </w:r>
    </w:p>
    <w:p>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注：以上修改，仅限于本范本中有可供选择条款的情形。</w:t>
      </w:r>
    </w:p>
    <w:p>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（以下无正文）</w:t>
      </w:r>
    </w:p>
    <w:p>
      <w:pPr>
        <w:pStyle w:val="6"/>
        <w:spacing w:before="120"/>
        <w:rPr>
          <w:rFonts w:ascii="宋体" w:eastAsia="宋体"/>
          <w:color w:val="auto"/>
          <w:highlight w:val="none"/>
        </w:rPr>
      </w:pPr>
      <w:bookmarkStart w:id="140" w:name="_二、采用资格后审方式施工招标项目开标、评标及定标办法"/>
      <w:bookmarkEnd w:id="140"/>
      <w:r>
        <w:rPr>
          <w:rFonts w:hint="eastAsia" w:ascii="宋体" w:eastAsia="宋体"/>
          <w:color w:val="auto"/>
          <w:highlight w:val="none"/>
        </w:rPr>
        <w:br w:type="page"/>
      </w:r>
      <w:bookmarkStart w:id="141" w:name="_Toc22071"/>
      <w:bookmarkStart w:id="142" w:name="_Toc13361"/>
      <w:bookmarkStart w:id="143" w:name="_Toc18315"/>
      <w:bookmarkStart w:id="144" w:name="_Toc262229170"/>
      <w:bookmarkStart w:id="145" w:name="_Toc30222"/>
      <w:bookmarkStart w:id="146" w:name="_Toc3696"/>
      <w:bookmarkStart w:id="147" w:name="_Toc2089"/>
      <w:bookmarkStart w:id="148" w:name="_Toc26348"/>
      <w:bookmarkStart w:id="149" w:name="_Toc15494"/>
      <w:bookmarkStart w:id="150" w:name="_Toc13326"/>
      <w:r>
        <w:rPr>
          <w:rFonts w:hint="eastAsia" w:ascii="宋体" w:eastAsia="宋体"/>
          <w:color w:val="auto"/>
          <w:highlight w:val="none"/>
        </w:rPr>
        <w:t>二、开标、评标及定标办法</w:t>
      </w:r>
      <w:bookmarkEnd w:id="141"/>
      <w:bookmarkEnd w:id="142"/>
      <w:bookmarkEnd w:id="143"/>
      <w:bookmarkEnd w:id="144"/>
      <w:bookmarkEnd w:id="145"/>
      <w:bookmarkEnd w:id="146"/>
      <w:bookmarkEnd w:id="147"/>
      <w:bookmarkEnd w:id="148"/>
      <w:bookmarkEnd w:id="149"/>
      <w:bookmarkEnd w:id="150"/>
    </w:p>
    <w:p>
      <w:pPr>
        <w:pStyle w:val="6"/>
        <w:spacing w:before="120"/>
        <w:rPr>
          <w:rFonts w:ascii="宋体" w:eastAsia="宋体"/>
          <w:color w:val="auto"/>
          <w:highlight w:val="none"/>
        </w:rPr>
      </w:pPr>
      <w:bookmarkStart w:id="151" w:name="_（一）总则"/>
      <w:bookmarkEnd w:id="151"/>
      <w:bookmarkStart w:id="152" w:name="_Toc9542"/>
      <w:bookmarkStart w:id="153" w:name="_Toc262229171"/>
      <w:bookmarkStart w:id="154" w:name="_Toc30249"/>
      <w:bookmarkStart w:id="155" w:name="_Toc21769"/>
      <w:bookmarkStart w:id="156" w:name="_Toc10679"/>
      <w:bookmarkStart w:id="157" w:name="_Toc17382"/>
      <w:bookmarkStart w:id="158" w:name="_Toc1693"/>
      <w:bookmarkStart w:id="159" w:name="_Toc30944"/>
      <w:bookmarkStart w:id="160" w:name="_Toc25480"/>
      <w:bookmarkStart w:id="161" w:name="_Toc28306"/>
      <w:r>
        <w:rPr>
          <w:rFonts w:hint="eastAsia" w:ascii="宋体" w:eastAsia="宋体"/>
          <w:color w:val="auto"/>
          <w:highlight w:val="none"/>
        </w:rPr>
        <w:t>（一）总则</w:t>
      </w:r>
      <w:bookmarkEnd w:id="152"/>
      <w:bookmarkEnd w:id="153"/>
      <w:bookmarkEnd w:id="154"/>
      <w:bookmarkEnd w:id="155"/>
      <w:bookmarkEnd w:id="156"/>
      <w:bookmarkEnd w:id="157"/>
      <w:bookmarkEnd w:id="158"/>
      <w:bookmarkEnd w:id="159"/>
      <w:bookmarkEnd w:id="160"/>
      <w:bookmarkEnd w:id="161"/>
    </w:p>
    <w:p>
      <w:pPr>
        <w:ind w:firstLine="3896" w:firstLineChars="1617"/>
        <w:rPr>
          <w:rFonts w:ascii="宋体" w:hAnsi="宋体" w:eastAsia="宋体"/>
          <w:b/>
          <w:color w:val="auto"/>
          <w:sz w:val="24"/>
          <w:szCs w:val="24"/>
          <w:highlight w:val="none"/>
        </w:rPr>
      </w:pPr>
    </w:p>
    <w:p>
      <w:pPr>
        <w:tabs>
          <w:tab w:val="left" w:pos="1620"/>
        </w:tabs>
        <w:snapToGrid w:val="0"/>
        <w:spacing w:line="360" w:lineRule="auto"/>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highlight w:val="none"/>
        </w:rPr>
        <w:t>37.开标、评标及定标所依据的规则</w:t>
      </w:r>
    </w:p>
    <w:p>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37.1《中华人民共和国招标投标法》；</w:t>
      </w:r>
    </w:p>
    <w:p>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37.2《中华人民共和国招标投标法实施条例》；</w:t>
      </w:r>
    </w:p>
    <w:p>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37.3《广东省实施〈中华人民共和国招标投标法〉办法》；</w:t>
      </w:r>
    </w:p>
    <w:p>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37.4国家发改委等九部委2013年第23号令；</w:t>
      </w:r>
    </w:p>
    <w:p>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37.5《广州市工程建设项目招标投标管理办法》；</w:t>
      </w:r>
    </w:p>
    <w:p>
      <w:pPr>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37.6《广东省加强建设工程招标投标监督管理的若干规定》；</w:t>
      </w:r>
    </w:p>
    <w:p>
      <w:pPr>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37.7《广州市林业和园林局关于明确广州市园林绿化工程项目招标投标有关问题的通知》</w:t>
      </w:r>
    </w:p>
    <w:p>
      <w:pPr>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37.8《广州市林业和园林局关于进一步完善广州市园林绿化企业诚信综合评价体系的通知》；</w:t>
      </w:r>
    </w:p>
    <w:p>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37.9本项目招标文件。</w:t>
      </w:r>
    </w:p>
    <w:p>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38.开标</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38.1招标人按投标须知前附表第21项所规定的时间和地点公开开标，并邀请所有投标人参加。递交投标文件截止时间后，开标时间因故推迟的，相关评标信息仍以原定的开标时间的信息为准。</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38.2投标人、招标人分别按投标须知第25条、第26条规定对投标文件进行解密。</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38.3开标时，出现下列情形之一的投标人，不参与电脑随机排序、资格审查和评标，其投标文件作无效处理：</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38.3.1未成功递交或因投标人原因未成功导入投标文件的；</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38.3.2因投标人原因造成投标文件未解密的；</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38.3.3投标人未按要求递交投标保证金的；</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38.3.4两个（含两个）以上的投标人加密打包投标文件电脑机器特征码一致的；</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38.3.5项目负责人和安全员为同一人的。</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38.4若递交投标文件的投标人不足3个，则重新组织招标（当N个标段同时招标且不允许兼中时，若递交投标文件单位不足N+2个，则重新组织招标）。</w:t>
      </w:r>
    </w:p>
    <w:p>
      <w:pPr>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highlight w:val="none"/>
        </w:rPr>
        <w:t>39.评标</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39.1评标由招标人依法组建的评标委员会负责。评标委员会由招标人的代表和有关技术、经济等方面的专家组成，成员人数为五人以上单数。招标人代表不得担任评标委员会负责人，不得接受评标报酬，评标过程中不得以任何方式影响其他评标专家独立评标。技术、经济等方面的专家须从政府设立的建设工程评标专家库中随机抽取确定，不得少于成员总数的三份之二。</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39.2评标委员会的职责及守则：</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39.2.1根据评标细则，对标书进行认真评审，完成评审报告；</w:t>
      </w:r>
    </w:p>
    <w:p>
      <w:pPr>
        <w:tabs>
          <w:tab w:val="left" w:pos="1620"/>
        </w:tabs>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39.2.2向招标人报告评审意见，推荐合格的中标候选人。</w:t>
      </w:r>
    </w:p>
    <w:p>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bCs/>
          <w:color w:val="auto"/>
          <w:sz w:val="24"/>
          <w:szCs w:val="24"/>
          <w:highlight w:val="none"/>
        </w:rPr>
        <w:t>39.2.3</w:t>
      </w:r>
      <w:r>
        <w:rPr>
          <w:rFonts w:hint="eastAsia" w:ascii="宋体" w:hAnsi="宋体" w:eastAsia="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39.2.4全体参与评标人员：</w:t>
      </w:r>
    </w:p>
    <w:p>
      <w:pPr>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39.2.4.1 必须遵守评标纪律、不得泄密；</w:t>
      </w:r>
    </w:p>
    <w:p>
      <w:pPr>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39.2.4.2 必须公正、不得循私；</w:t>
      </w:r>
    </w:p>
    <w:p>
      <w:pPr>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39.2.4.3 必须科学、不得草率；</w:t>
      </w:r>
    </w:p>
    <w:p>
      <w:pPr>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39.2.4.4 必须客观、不得带有成见；</w:t>
      </w:r>
    </w:p>
    <w:p>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bCs/>
          <w:color w:val="auto"/>
          <w:sz w:val="24"/>
          <w:szCs w:val="24"/>
          <w:highlight w:val="none"/>
        </w:rPr>
        <w:t>39.2.4.5 必须平等、不得强加于人</w:t>
      </w:r>
      <w:r>
        <w:rPr>
          <w:rFonts w:hint="eastAsia" w:ascii="宋体" w:hAnsi="宋体" w:eastAsia="宋体"/>
          <w:color w:val="auto"/>
          <w:sz w:val="24"/>
          <w:szCs w:val="24"/>
          <w:highlight w:val="none"/>
        </w:rPr>
        <w:t>；</w:t>
      </w:r>
    </w:p>
    <w:p>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39.2.4.6 必须严谨、不得随意马虎。</w:t>
      </w:r>
    </w:p>
    <w:p>
      <w:pPr>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olor w:val="auto"/>
          <w:sz w:val="24"/>
          <w:szCs w:val="24"/>
          <w:highlight w:val="none"/>
        </w:rPr>
        <w:t>39.3 评标结束后，</w:t>
      </w:r>
      <w:r>
        <w:rPr>
          <w:rFonts w:hint="eastAsia" w:ascii="宋体" w:hAnsi="宋体" w:eastAsia="宋体"/>
          <w:bCs/>
          <w:color w:val="auto"/>
          <w:sz w:val="24"/>
          <w:szCs w:val="24"/>
          <w:highlight w:val="none"/>
        </w:rPr>
        <w:t>评标委员会递交评标报告并依法推荐中标候选人。</w:t>
      </w:r>
    </w:p>
    <w:p>
      <w:pPr>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如存在投标人串通投标行为的，评标委员会应将相关投标人存在的具体情形、评审认定过程及评审依据详细记录在评标报告中，作为评标报告的组成部分。投标人有关澄清文件的原件封存广州公共资源交易中心备查，复印件在评标结束当日工作时间内（评标结束时处于非工作时间的，应于下个一工作日12:00时前）由招标人或招标代理机构转交该项目招标监管机构查处。</w:t>
      </w:r>
    </w:p>
    <w:p>
      <w:pPr>
        <w:snapToGrid w:val="0"/>
        <w:spacing w:line="360" w:lineRule="auto"/>
        <w:ind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rPr>
        <w:t>40．投标文件的澄清</w:t>
      </w:r>
    </w:p>
    <w:p>
      <w:pPr>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40.1投标文件属于《投标人串通投标评审表》所列情形之一的，评标委员会应要求涉及相应情形的投标企业在接到通知后2小时内到达指定地点作出书面澄清。</w:t>
      </w:r>
    </w:p>
    <w:p>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40.2对于</w:t>
      </w:r>
      <w:r>
        <w:rPr>
          <w:rFonts w:hint="eastAsia" w:ascii="宋体" w:hAnsi="宋体" w:eastAsia="宋体"/>
          <w:color w:val="auto"/>
          <w:sz w:val="24"/>
          <w:szCs w:val="24"/>
          <w:highlight w:val="none"/>
          <w:u w:val="single"/>
          <w:lang w:val="en-US" w:eastAsia="zh-CN"/>
        </w:rPr>
        <w:t>40.1</w:t>
      </w:r>
      <w:r>
        <w:rPr>
          <w:rFonts w:hint="eastAsia" w:ascii="宋体" w:hAnsi="宋体" w:eastAsia="宋体"/>
          <w:color w:val="auto"/>
          <w:sz w:val="24"/>
          <w:szCs w:val="24"/>
          <w:highlight w:val="none"/>
        </w:rPr>
        <w:t>以外的其他情况，为有助于投标文件的审查、评价和比较，评标期间，经评标委员会或评标委员会专业评审组中2人以上（含2人）成员以书面形式提出动议，评标委员会或评标委员会专业评审组应当书面发出澄清通知，要求投标人对投标文件含义不明确的内容作出澄清。</w:t>
      </w:r>
    </w:p>
    <w:p>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40.3投标人应以书面形式进行澄清，</w:t>
      </w:r>
      <w:r>
        <w:rPr>
          <w:rFonts w:hint="eastAsia" w:ascii="宋体" w:hAnsi="宋体" w:eastAsia="宋体"/>
          <w:bCs/>
          <w:color w:val="auto"/>
          <w:sz w:val="24"/>
          <w:highlight w:val="none"/>
        </w:rPr>
        <w:t>澄清和说明内容属于投标文件的组成部分，</w:t>
      </w:r>
      <w:r>
        <w:rPr>
          <w:rFonts w:hint="eastAsia" w:ascii="宋体" w:hAnsi="宋体" w:eastAsia="宋体"/>
          <w:color w:val="auto"/>
          <w:sz w:val="24"/>
          <w:szCs w:val="24"/>
          <w:highlight w:val="none"/>
        </w:rPr>
        <w:t>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eastAsia="宋体"/>
          <w:bCs/>
          <w:color w:val="auto"/>
          <w:sz w:val="24"/>
          <w:highlight w:val="none"/>
        </w:rPr>
      </w:pPr>
      <w:r>
        <w:rPr>
          <w:rFonts w:hint="eastAsia" w:ascii="宋体" w:hAnsi="宋体" w:eastAsia="宋体"/>
          <w:color w:val="auto"/>
          <w:sz w:val="24"/>
          <w:szCs w:val="24"/>
          <w:highlight w:val="none"/>
        </w:rPr>
        <w:t>40.4评标委员会或评标委员会专业评审组成员均应当阅读投标人的澄清，但应独立参考澄清对投标文件进行评审，</w:t>
      </w:r>
      <w:r>
        <w:rPr>
          <w:rFonts w:hint="eastAsia" w:ascii="宋体" w:hAnsi="宋体" w:eastAsia="宋体"/>
          <w:bCs/>
          <w:color w:val="auto"/>
          <w:sz w:val="24"/>
          <w:highlight w:val="none"/>
        </w:rPr>
        <w:t>整个澄清的过程不得存在排斥潜在投标人的现象。</w:t>
      </w:r>
    </w:p>
    <w:p>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40.5如果投标文件实质上不响应招标文件的各项要求，评标委员会将按照否决性条款审查标准予以拒绝，不接受投标人通过修改或撤销其不符合要求的差异或保留，使之成为具有响应性的投标。</w:t>
      </w:r>
    </w:p>
    <w:p>
      <w:pPr>
        <w:tabs>
          <w:tab w:val="left" w:pos="1890"/>
        </w:tabs>
        <w:snapToGrid w:val="0"/>
        <w:spacing w:line="360" w:lineRule="auto"/>
        <w:ind w:firstLine="482" w:firstLineChars="200"/>
        <w:rPr>
          <w:rFonts w:ascii="宋体" w:hAnsi="宋体" w:eastAsia="宋体"/>
          <w:b/>
          <w:color w:val="auto"/>
          <w:sz w:val="24"/>
          <w:szCs w:val="24"/>
          <w:highlight w:val="none"/>
        </w:rPr>
      </w:pPr>
      <w:r>
        <w:rPr>
          <w:rFonts w:hint="eastAsia" w:ascii="宋体" w:hAnsi="宋体" w:eastAsia="宋体"/>
          <w:b/>
          <w:color w:val="auto"/>
          <w:sz w:val="24"/>
          <w:szCs w:val="24"/>
          <w:highlight w:val="none"/>
        </w:rPr>
        <w:t>41．定标</w:t>
      </w:r>
    </w:p>
    <w:p>
      <w:pPr>
        <w:tabs>
          <w:tab w:val="left" w:pos="1890"/>
        </w:tabs>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u w:val="single"/>
        </w:rPr>
        <w:t xml:space="preserve">41.1不采用评定分离的，评标委员会推荐中标候选人 </w:t>
      </w:r>
      <w:r>
        <w:rPr>
          <w:rFonts w:hint="eastAsia" w:ascii="宋体" w:hAnsi="宋体" w:eastAsia="宋体"/>
          <w:color w:val="auto"/>
          <w:sz w:val="24"/>
          <w:szCs w:val="24"/>
          <w:highlight w:val="none"/>
          <w:u w:val="single"/>
          <w:lang w:val="en-US" w:eastAsia="zh-CN"/>
        </w:rPr>
        <w:t>3</w:t>
      </w:r>
      <w:r>
        <w:rPr>
          <w:rFonts w:hint="eastAsia" w:ascii="宋体" w:hAnsi="宋体" w:eastAsia="宋体"/>
          <w:color w:val="auto"/>
          <w:sz w:val="24"/>
          <w:szCs w:val="24"/>
          <w:highlight w:val="none"/>
          <w:u w:val="single"/>
        </w:rPr>
        <w:t xml:space="preserve"> 名（不多于3名）</w:t>
      </w:r>
      <w:r>
        <w:rPr>
          <w:rFonts w:hint="eastAsia" w:ascii="宋体" w:hAnsi="宋体" w:eastAsia="宋体"/>
          <w:color w:val="auto"/>
          <w:sz w:val="24"/>
          <w:szCs w:val="24"/>
          <w:highlight w:val="none"/>
        </w:rPr>
        <w:t>。</w:t>
      </w:r>
    </w:p>
    <w:p>
      <w:pPr>
        <w:tabs>
          <w:tab w:val="left" w:pos="1890"/>
        </w:tabs>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评标委员会向招标人推荐按综合得分高低排序的中标候选人。招标人在评标委员会推荐的中标候选人中确定中标人。依法必须招标的项目，招标人应当确定排名第一的中标候选人为中标人。</w:t>
      </w:r>
    </w:p>
    <w:p>
      <w:pPr>
        <w:tabs>
          <w:tab w:val="left" w:pos="1890"/>
        </w:tabs>
        <w:snapToGrid w:val="0"/>
        <w:spacing w:line="360" w:lineRule="auto"/>
        <w:rPr>
          <w:rFonts w:hint="eastAsia" w:ascii="宋体" w:hAnsi="宋体" w:eastAsia="宋体"/>
          <w:strike/>
          <w:dstrike w:val="0"/>
          <w:color w:val="auto"/>
          <w:sz w:val="24"/>
          <w:szCs w:val="24"/>
          <w:highlight w:val="none"/>
        </w:rPr>
      </w:pPr>
      <w:r>
        <w:rPr>
          <w:rFonts w:hint="eastAsia" w:ascii="宋体" w:hAnsi="宋体" w:eastAsia="宋体"/>
          <w:color w:val="auto"/>
          <w:sz w:val="24"/>
          <w:szCs w:val="24"/>
          <w:highlight w:val="none"/>
        </w:rPr>
        <w:t xml:space="preserve">    </w:t>
      </w:r>
      <w:r>
        <w:rPr>
          <w:rFonts w:hint="eastAsia" w:ascii="宋体" w:hAnsi="宋体" w:eastAsia="宋体"/>
          <w:strike/>
          <w:dstrike w:val="0"/>
          <w:color w:val="auto"/>
          <w:sz w:val="24"/>
          <w:szCs w:val="24"/>
          <w:highlight w:val="none"/>
        </w:rPr>
        <w:t>41.2采用评定分离的，评标委员会推荐中标候选人</w:t>
      </w:r>
      <w:r>
        <w:rPr>
          <w:rFonts w:hint="eastAsia" w:ascii="宋体" w:hAnsi="宋体" w:eastAsia="宋体"/>
          <w:strike/>
          <w:dstrike w:val="0"/>
          <w:color w:val="auto"/>
          <w:sz w:val="24"/>
          <w:szCs w:val="24"/>
          <w:highlight w:val="none"/>
          <w:u w:val="single"/>
        </w:rPr>
        <w:t xml:space="preserve">   </w:t>
      </w:r>
      <w:r>
        <w:rPr>
          <w:rFonts w:hint="eastAsia" w:ascii="宋体" w:hAnsi="宋体" w:eastAsia="宋体"/>
          <w:strike/>
          <w:dstrike w:val="0"/>
          <w:color w:val="auto"/>
          <w:sz w:val="24"/>
          <w:szCs w:val="24"/>
          <w:highlight w:val="none"/>
        </w:rPr>
        <w:t>名（3-5名）。</w:t>
      </w:r>
    </w:p>
    <w:p>
      <w:pPr>
        <w:tabs>
          <w:tab w:val="left" w:pos="1890"/>
        </w:tabs>
        <w:snapToGrid w:val="0"/>
        <w:spacing w:line="360" w:lineRule="auto"/>
        <w:ind w:firstLine="480" w:firstLineChars="200"/>
        <w:rPr>
          <w:rFonts w:hint="eastAsia" w:ascii="宋体" w:hAnsi="宋体" w:eastAsia="宋体"/>
          <w:strike/>
          <w:dstrike w:val="0"/>
          <w:color w:val="auto"/>
          <w:sz w:val="24"/>
          <w:szCs w:val="24"/>
          <w:highlight w:val="none"/>
        </w:rPr>
      </w:pPr>
      <w:r>
        <w:rPr>
          <w:rFonts w:hint="eastAsia" w:ascii="宋体" w:hAnsi="宋体" w:eastAsia="宋体"/>
          <w:strike/>
          <w:dstrike w:val="0"/>
          <w:color w:val="auto"/>
          <w:sz w:val="24"/>
          <w:szCs w:val="24"/>
          <w:highlight w:val="none"/>
        </w:rPr>
        <w:t>评标委员会向招标人推荐不排序的中标候选人。定标委员会在中标候选人中按照定标办法（详见附件一）确定中标人。</w:t>
      </w:r>
    </w:p>
    <w:p>
      <w:pPr>
        <w:tabs>
          <w:tab w:val="left" w:pos="1890"/>
        </w:tabs>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41.3中标人确定后，招标人（招标代理机构）通过广州公共资源交易中心网和广东省招标投标监管网公示中标结果，向中标人发出中标通知书，并同时将中标结果通知所有未中标的投标人。</w:t>
      </w:r>
      <w:r>
        <w:rPr>
          <w:rFonts w:hint="eastAsia" w:ascii="宋体" w:hAnsi="宋体" w:eastAsia="宋体" w:cs="Times New Roman"/>
          <w:color w:val="auto"/>
          <w:sz w:val="24"/>
          <w:szCs w:val="24"/>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tabs>
          <w:tab w:val="left" w:pos="1890"/>
        </w:tabs>
        <w:snapToGrid w:val="0"/>
        <w:spacing w:line="360" w:lineRule="auto"/>
        <w:ind w:firstLine="480" w:firstLineChars="200"/>
        <w:rPr>
          <w:rFonts w:ascii="宋体" w:hAnsi="宋体" w:eastAsia="宋体"/>
          <w:strike/>
          <w:dstrike w:val="0"/>
          <w:color w:val="auto"/>
          <w:sz w:val="24"/>
          <w:szCs w:val="24"/>
          <w:highlight w:val="none"/>
        </w:rPr>
      </w:pPr>
      <w:r>
        <w:rPr>
          <w:rFonts w:hint="eastAsia" w:ascii="宋体" w:hAnsi="宋体" w:eastAsia="宋体"/>
          <w:color w:val="auto"/>
          <w:sz w:val="24"/>
          <w:szCs w:val="24"/>
          <w:highlight w:val="none"/>
        </w:rPr>
        <w:t>41.4招标人应当自确定中标人之日起十五日内，向招标管理机构提交招标投标情况的书面报告。</w:t>
      </w:r>
      <w:r>
        <w:rPr>
          <w:rFonts w:hint="eastAsia" w:ascii="宋体" w:hAnsi="宋体" w:eastAsia="宋体"/>
          <w:strike/>
          <w:dstrike w:val="0"/>
          <w:color w:val="auto"/>
          <w:sz w:val="24"/>
          <w:szCs w:val="24"/>
          <w:highlight w:val="none"/>
        </w:rPr>
        <w:t>采用评定分离的，招标人应当提交定标报告。定标报告应包括定标委员会的产生过程、定标委员会成员名单、定标程序、定标会议过程及定标结果等内容。</w:t>
      </w:r>
    </w:p>
    <w:p>
      <w:pPr>
        <w:tabs>
          <w:tab w:val="left" w:pos="1890"/>
        </w:tabs>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41.5如出现中标人放弃中标、因不可抗力不能履行合同、不按照招标文件要求提交履约担保，或者被查实存在影响中标结果的违法行为等情形，不符合中标条件的，招标人可按照条款41.1的定标方式重新确定中标人，也可以重新招标。</w:t>
      </w:r>
    </w:p>
    <w:p>
      <w:pPr>
        <w:tabs>
          <w:tab w:val="left" w:pos="1890"/>
        </w:tabs>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41.6如重新确定的中标人出现上述情形，招标人可直接确认最后一名中标候选人为中标人。如所有中标候选人均出现本款所列情形的，本项目招标失败，招标人依法重新招标。</w:t>
      </w:r>
    </w:p>
    <w:p>
      <w:pPr>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41.7投标人如在本项目中存在串通投标、弄虚作假、行贿情形且在评标过程中未被发现的，其投标不改变本项目评标结果排序。招标人按照《中华人民共和国招标投标法实施条例》第五十五条的规定确定中标人或重新招标。</w:t>
      </w:r>
    </w:p>
    <w:bookmarkEnd w:id="127"/>
    <w:p>
      <w:pPr>
        <w:pStyle w:val="6"/>
        <w:spacing w:before="120"/>
        <w:rPr>
          <w:rFonts w:hint="eastAsia" w:ascii="宋体" w:eastAsia="宋体"/>
          <w:strike/>
          <w:dstrike w:val="0"/>
          <w:color w:val="auto"/>
          <w:highlight w:val="none"/>
        </w:rPr>
      </w:pPr>
      <w:bookmarkStart w:id="162" w:name="_（二）开标评标办法程序和细则"/>
      <w:bookmarkEnd w:id="162"/>
      <w:bookmarkStart w:id="163" w:name="_Toc155150496"/>
      <w:r>
        <w:rPr>
          <w:rFonts w:ascii="宋体" w:eastAsia="宋体"/>
          <w:color w:val="auto"/>
          <w:szCs w:val="32"/>
          <w:highlight w:val="none"/>
        </w:rPr>
        <w:br w:type="page"/>
      </w:r>
      <w:bookmarkEnd w:id="163"/>
      <w:bookmarkStart w:id="164" w:name="_Toc12988"/>
      <w:bookmarkStart w:id="165" w:name="_Toc21959"/>
      <w:bookmarkStart w:id="166" w:name="_Toc23685"/>
      <w:bookmarkStart w:id="167" w:name="_Toc18319"/>
      <w:bookmarkStart w:id="168" w:name="_Toc262229172"/>
      <w:bookmarkStart w:id="169" w:name="_Toc28160"/>
      <w:bookmarkStart w:id="170" w:name="_Toc10617"/>
      <w:bookmarkStart w:id="171" w:name="_Toc30933"/>
      <w:bookmarkStart w:id="172" w:name="_Toc27974"/>
      <w:bookmarkStart w:id="173" w:name="_Toc8949"/>
      <w:r>
        <w:rPr>
          <w:rFonts w:hint="eastAsia" w:ascii="宋体" w:eastAsia="宋体"/>
          <w:strike w:val="0"/>
          <w:dstrike w:val="0"/>
          <w:color w:val="auto"/>
          <w:highlight w:val="none"/>
        </w:rPr>
        <w:t>（二）开标评标办法程序和细则</w:t>
      </w:r>
      <w:bookmarkEnd w:id="164"/>
      <w:bookmarkEnd w:id="165"/>
      <w:bookmarkEnd w:id="166"/>
      <w:bookmarkEnd w:id="167"/>
      <w:bookmarkEnd w:id="168"/>
      <w:bookmarkEnd w:id="169"/>
      <w:bookmarkEnd w:id="170"/>
      <w:bookmarkEnd w:id="171"/>
      <w:bookmarkEnd w:id="172"/>
      <w:bookmarkEnd w:id="173"/>
    </w:p>
    <w:p>
      <w:pPr>
        <w:pStyle w:val="3"/>
        <w:ind w:firstLine="0"/>
        <w:rPr>
          <w:rFonts w:hint="eastAsia" w:ascii="宋体" w:hAnsi="宋体"/>
          <w:b/>
          <w:strike/>
          <w:dstrike w:val="0"/>
          <w:color w:val="auto"/>
          <w:highlight w:val="none"/>
        </w:rPr>
      </w:pPr>
    </w:p>
    <w:p>
      <w:pPr>
        <w:pStyle w:val="6"/>
        <w:spacing w:before="120"/>
        <w:rPr>
          <w:rFonts w:hint="eastAsia" w:ascii="宋体" w:eastAsia="宋体"/>
          <w:strike/>
          <w:dstrike w:val="0"/>
          <w:color w:val="auto"/>
          <w:highlight w:val="none"/>
        </w:rPr>
      </w:pPr>
      <w:bookmarkStart w:id="174" w:name="_可选办法一_两阶段评标法"/>
      <w:bookmarkEnd w:id="174"/>
      <w:bookmarkStart w:id="175" w:name="_Toc28079"/>
      <w:bookmarkStart w:id="176" w:name="_Toc15917"/>
      <w:bookmarkStart w:id="177" w:name="_Toc22790"/>
      <w:bookmarkStart w:id="178" w:name="_Toc15363"/>
      <w:bookmarkStart w:id="179" w:name="_Toc13028"/>
      <w:bookmarkStart w:id="180" w:name="_Toc9756"/>
      <w:bookmarkStart w:id="181" w:name="_Toc15208"/>
      <w:bookmarkStart w:id="182" w:name="_Toc2625"/>
      <w:bookmarkStart w:id="183" w:name="_Toc1837"/>
      <w:r>
        <w:rPr>
          <w:rFonts w:hint="eastAsia" w:ascii="宋体" w:eastAsia="宋体"/>
          <w:strike/>
          <w:dstrike w:val="0"/>
          <w:color w:val="auto"/>
          <w:highlight w:val="none"/>
        </w:rPr>
        <w:t>可选办法一 两阶段评标法</w:t>
      </w:r>
      <w:bookmarkEnd w:id="175"/>
      <w:bookmarkEnd w:id="176"/>
      <w:bookmarkEnd w:id="177"/>
      <w:bookmarkEnd w:id="178"/>
      <w:bookmarkEnd w:id="179"/>
      <w:bookmarkEnd w:id="180"/>
      <w:bookmarkEnd w:id="181"/>
      <w:bookmarkEnd w:id="182"/>
      <w:bookmarkEnd w:id="183"/>
    </w:p>
    <w:p>
      <w:pPr>
        <w:pStyle w:val="17"/>
        <w:spacing w:after="0" w:line="360" w:lineRule="auto"/>
        <w:ind w:firstLine="525" w:firstLineChars="218"/>
        <w:rPr>
          <w:rFonts w:hint="eastAsia" w:ascii="宋体" w:hAnsi="宋体"/>
          <w:b/>
          <w:strike/>
          <w:dstrike w:val="0"/>
          <w:color w:val="auto"/>
          <w:sz w:val="24"/>
          <w:szCs w:val="24"/>
          <w:highlight w:val="none"/>
        </w:rPr>
      </w:pPr>
      <w:r>
        <w:rPr>
          <w:rFonts w:hint="eastAsia" w:ascii="宋体" w:hAnsi="宋体"/>
          <w:b/>
          <w:strike/>
          <w:dstrike w:val="0"/>
          <w:color w:val="auto"/>
          <w:kern w:val="44"/>
          <w:sz w:val="24"/>
          <w:szCs w:val="24"/>
          <w:highlight w:val="none"/>
        </w:rPr>
        <w:t>42．</w:t>
      </w:r>
      <w:r>
        <w:rPr>
          <w:rFonts w:hint="eastAsia" w:ascii="宋体" w:hAnsi="宋体"/>
          <w:b/>
          <w:strike/>
          <w:dstrike w:val="0"/>
          <w:color w:val="auto"/>
          <w:sz w:val="24"/>
          <w:szCs w:val="24"/>
          <w:highlight w:val="none"/>
        </w:rPr>
        <w:t>开标和评标程序</w:t>
      </w:r>
    </w:p>
    <w:p>
      <w:pPr>
        <w:pStyle w:val="17"/>
        <w:tabs>
          <w:tab w:val="left" w:pos="7380"/>
        </w:tabs>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42.1投标人在递交投标文件截止时间到达后的1小时内，使用制作该投标文件的机构业务数字证书对其投标文件进行解密。</w:t>
      </w:r>
    </w:p>
    <w:p>
      <w:pPr>
        <w:snapToGrid w:val="0"/>
        <w:spacing w:line="360" w:lineRule="auto"/>
        <w:ind w:firstLine="523" w:firstLineChars="218"/>
        <w:rPr>
          <w:rFonts w:hint="eastAsia" w:ascii="宋体" w:hAnsi="宋体" w:eastAsia="宋体" w:cs="仿宋_GB2312"/>
          <w:strike/>
          <w:dstrike w:val="0"/>
          <w:color w:val="auto"/>
          <w:sz w:val="24"/>
          <w:szCs w:val="24"/>
          <w:highlight w:val="none"/>
        </w:rPr>
      </w:pPr>
      <w:r>
        <w:rPr>
          <w:rFonts w:hint="eastAsia" w:ascii="宋体" w:hAnsi="宋体" w:eastAsia="宋体"/>
          <w:strike/>
          <w:dstrike w:val="0"/>
          <w:color w:val="auto"/>
          <w:sz w:val="24"/>
          <w:szCs w:val="24"/>
          <w:highlight w:val="none"/>
        </w:rPr>
        <w:t>42.2</w:t>
      </w:r>
      <w:r>
        <w:rPr>
          <w:rFonts w:hint="eastAsia" w:ascii="宋体" w:hAnsi="宋体" w:eastAsia="宋体" w:cs="仿宋_GB2312"/>
          <w:strike/>
          <w:dstrike w:val="0"/>
          <w:color w:val="auto"/>
          <w:sz w:val="24"/>
          <w:szCs w:val="24"/>
          <w:highlight w:val="none"/>
        </w:rPr>
        <w:t>公布投标人名单，将显示出所有投标人信息及投标人投标文件递交情况以及解密情况。</w:t>
      </w:r>
    </w:p>
    <w:p>
      <w:pPr>
        <w:snapToGrid w:val="0"/>
        <w:spacing w:line="360" w:lineRule="auto"/>
        <w:ind w:firstLine="523" w:firstLineChars="218"/>
        <w:rPr>
          <w:rFonts w:hint="eastAsia" w:ascii="宋体" w:hAnsi="宋体" w:eastAsia="宋体"/>
          <w:strike/>
          <w:dstrike w:val="0"/>
          <w:color w:val="auto"/>
          <w:sz w:val="24"/>
          <w:szCs w:val="24"/>
          <w:highlight w:val="none"/>
        </w:rPr>
      </w:pPr>
      <w:r>
        <w:rPr>
          <w:rFonts w:hint="eastAsia" w:ascii="宋体" w:hAnsi="宋体" w:eastAsia="宋体"/>
          <w:strike/>
          <w:dstrike w:val="0"/>
          <w:color w:val="auto"/>
          <w:sz w:val="24"/>
          <w:szCs w:val="24"/>
          <w:highlight w:val="none"/>
        </w:rPr>
        <w:t>42.3随机抽取计算第二阶段评标参考价的下浮率X，从0.5%、1%、1.5%、2%、2.5%、3%、3.5%中抽取其中之一。</w:t>
      </w:r>
    </w:p>
    <w:p>
      <w:pPr>
        <w:snapToGrid w:val="0"/>
        <w:spacing w:line="360" w:lineRule="auto"/>
        <w:ind w:firstLine="523" w:firstLineChars="218"/>
        <w:rPr>
          <w:rFonts w:hint="eastAsia" w:ascii="宋体" w:hAnsi="宋体" w:eastAsia="宋体" w:cs="仿宋_GB2312"/>
          <w:strike/>
          <w:dstrike w:val="0"/>
          <w:color w:val="auto"/>
          <w:sz w:val="24"/>
          <w:szCs w:val="24"/>
          <w:highlight w:val="none"/>
        </w:rPr>
      </w:pPr>
      <w:r>
        <w:rPr>
          <w:rFonts w:hint="eastAsia" w:ascii="宋体" w:hAnsi="宋体" w:eastAsia="宋体" w:cs="仿宋_GB2312"/>
          <w:strike/>
          <w:dstrike w:val="0"/>
          <w:color w:val="auto"/>
          <w:sz w:val="24"/>
          <w:szCs w:val="24"/>
          <w:highlight w:val="none"/>
        </w:rPr>
        <w:t>42.4开标时，出现下列情形之一的投标人，不参与电脑随机排序、资格审查和评标，</w:t>
      </w:r>
      <w:r>
        <w:rPr>
          <w:rFonts w:hint="eastAsia" w:ascii="宋体" w:hAnsi="宋体" w:eastAsia="宋体"/>
          <w:strike/>
          <w:dstrike w:val="0"/>
          <w:color w:val="auto"/>
          <w:sz w:val="24"/>
          <w:szCs w:val="24"/>
          <w:highlight w:val="none"/>
        </w:rPr>
        <w:t>其投标文件作无效处理</w:t>
      </w:r>
      <w:r>
        <w:rPr>
          <w:rFonts w:hint="eastAsia" w:ascii="宋体" w:hAnsi="宋体" w:eastAsia="宋体" w:cs="仿宋_GB2312"/>
          <w:strike/>
          <w:dstrike w:val="0"/>
          <w:color w:val="auto"/>
          <w:sz w:val="24"/>
          <w:szCs w:val="24"/>
          <w:highlight w:val="none"/>
        </w:rPr>
        <w:t>：</w:t>
      </w:r>
    </w:p>
    <w:p>
      <w:pPr>
        <w:snapToGrid w:val="0"/>
        <w:spacing w:line="360" w:lineRule="auto"/>
        <w:ind w:firstLine="523" w:firstLineChars="218"/>
        <w:rPr>
          <w:rFonts w:hint="eastAsia" w:ascii="宋体" w:hAnsi="宋体" w:eastAsia="宋体" w:cs="仿宋_GB2312"/>
          <w:strike/>
          <w:dstrike w:val="0"/>
          <w:color w:val="auto"/>
          <w:sz w:val="24"/>
          <w:szCs w:val="24"/>
          <w:highlight w:val="none"/>
        </w:rPr>
      </w:pPr>
      <w:r>
        <w:rPr>
          <w:rFonts w:hint="eastAsia" w:ascii="宋体" w:hAnsi="宋体" w:eastAsia="宋体" w:cs="仿宋_GB2312"/>
          <w:strike/>
          <w:dstrike w:val="0"/>
          <w:color w:val="auto"/>
          <w:sz w:val="24"/>
          <w:szCs w:val="24"/>
          <w:highlight w:val="none"/>
        </w:rPr>
        <w:t>42.4.1未成功递交或因投标人原因未成功导入投标文件的；</w:t>
      </w:r>
    </w:p>
    <w:p>
      <w:pPr>
        <w:snapToGrid w:val="0"/>
        <w:spacing w:line="360" w:lineRule="auto"/>
        <w:ind w:firstLine="523" w:firstLineChars="218"/>
        <w:rPr>
          <w:rFonts w:hint="eastAsia" w:ascii="宋体" w:hAnsi="宋体" w:eastAsia="宋体" w:cs="仿宋_GB2312"/>
          <w:strike/>
          <w:dstrike w:val="0"/>
          <w:color w:val="auto"/>
          <w:sz w:val="24"/>
          <w:szCs w:val="24"/>
          <w:highlight w:val="none"/>
        </w:rPr>
      </w:pPr>
      <w:r>
        <w:rPr>
          <w:rFonts w:hint="eastAsia" w:ascii="宋体" w:hAnsi="宋体" w:eastAsia="宋体" w:cs="仿宋_GB2312"/>
          <w:strike/>
          <w:dstrike w:val="0"/>
          <w:color w:val="auto"/>
          <w:sz w:val="24"/>
          <w:szCs w:val="24"/>
          <w:highlight w:val="none"/>
        </w:rPr>
        <w:t>42.4.2因投标人原因造成投标文件未解密的；</w:t>
      </w:r>
    </w:p>
    <w:p>
      <w:pPr>
        <w:snapToGrid w:val="0"/>
        <w:spacing w:line="360" w:lineRule="auto"/>
        <w:ind w:firstLine="523" w:firstLineChars="218"/>
        <w:rPr>
          <w:rFonts w:hint="eastAsia" w:ascii="宋体" w:hAnsi="宋体" w:eastAsia="宋体" w:cs="仿宋_GB2312"/>
          <w:strike/>
          <w:dstrike w:val="0"/>
          <w:color w:val="auto"/>
          <w:sz w:val="24"/>
          <w:szCs w:val="24"/>
          <w:highlight w:val="none"/>
        </w:rPr>
      </w:pPr>
      <w:r>
        <w:rPr>
          <w:rFonts w:hint="eastAsia" w:ascii="宋体" w:hAnsi="宋体" w:eastAsia="宋体" w:cs="仿宋_GB2312"/>
          <w:strike/>
          <w:dstrike w:val="0"/>
          <w:color w:val="auto"/>
          <w:sz w:val="24"/>
          <w:szCs w:val="24"/>
          <w:highlight w:val="none"/>
        </w:rPr>
        <w:t>42.4.3</w:t>
      </w:r>
      <w:r>
        <w:rPr>
          <w:rFonts w:hint="eastAsia" w:ascii="宋体" w:hAnsi="宋体" w:eastAsia="宋体"/>
          <w:strike/>
          <w:dstrike w:val="0"/>
          <w:color w:val="auto"/>
          <w:sz w:val="24"/>
          <w:szCs w:val="24"/>
          <w:highlight w:val="none"/>
        </w:rPr>
        <w:t>投标人未按要求递交投标保证金的；</w:t>
      </w:r>
    </w:p>
    <w:p>
      <w:pPr>
        <w:snapToGrid w:val="0"/>
        <w:spacing w:line="360" w:lineRule="auto"/>
        <w:ind w:firstLine="523" w:firstLineChars="218"/>
        <w:rPr>
          <w:rFonts w:hint="eastAsia" w:ascii="宋体" w:hAnsi="宋体" w:eastAsia="宋体" w:cs="仿宋_GB2312"/>
          <w:strike/>
          <w:dstrike w:val="0"/>
          <w:color w:val="auto"/>
          <w:sz w:val="24"/>
          <w:szCs w:val="24"/>
          <w:highlight w:val="none"/>
        </w:rPr>
      </w:pPr>
      <w:r>
        <w:rPr>
          <w:rFonts w:hint="eastAsia" w:ascii="宋体" w:hAnsi="宋体" w:eastAsia="宋体" w:cs="仿宋_GB2312"/>
          <w:strike/>
          <w:dstrike w:val="0"/>
          <w:color w:val="auto"/>
          <w:sz w:val="24"/>
          <w:szCs w:val="24"/>
          <w:highlight w:val="none"/>
        </w:rPr>
        <w:t>42.4.4两个（含两个）以上的投标人制作投标文件电脑机器特征码一致的；</w:t>
      </w:r>
    </w:p>
    <w:p>
      <w:pPr>
        <w:snapToGrid w:val="0"/>
        <w:spacing w:line="360" w:lineRule="auto"/>
        <w:ind w:firstLine="523" w:firstLineChars="218"/>
        <w:rPr>
          <w:rFonts w:hint="eastAsia" w:ascii="宋体" w:hAnsi="宋体" w:eastAsia="宋体" w:cs="仿宋_GB2312"/>
          <w:strike/>
          <w:dstrike w:val="0"/>
          <w:color w:val="auto"/>
          <w:sz w:val="24"/>
          <w:szCs w:val="24"/>
          <w:highlight w:val="none"/>
        </w:rPr>
      </w:pPr>
      <w:r>
        <w:rPr>
          <w:rFonts w:hint="eastAsia" w:ascii="宋体" w:hAnsi="宋体" w:eastAsia="宋体" w:cs="仿宋_GB2312"/>
          <w:strike/>
          <w:dstrike w:val="0"/>
          <w:color w:val="auto"/>
          <w:sz w:val="24"/>
          <w:szCs w:val="24"/>
          <w:highlight w:val="none"/>
        </w:rPr>
        <w:t>42.4.5项目负责人和安全员为同一人的。</w:t>
      </w:r>
    </w:p>
    <w:p>
      <w:pPr>
        <w:snapToGrid w:val="0"/>
        <w:spacing w:line="360" w:lineRule="auto"/>
        <w:ind w:firstLine="523" w:firstLineChars="218"/>
        <w:rPr>
          <w:rFonts w:hint="eastAsia" w:ascii="宋体" w:hAnsi="宋体" w:eastAsia="宋体"/>
          <w:strike/>
          <w:dstrike w:val="0"/>
          <w:color w:val="auto"/>
          <w:sz w:val="24"/>
          <w:szCs w:val="24"/>
          <w:highlight w:val="none"/>
        </w:rPr>
      </w:pPr>
      <w:r>
        <w:rPr>
          <w:rFonts w:hint="eastAsia" w:ascii="宋体" w:hAnsi="宋体" w:eastAsia="宋体" w:cs="仿宋_GB2312"/>
          <w:strike/>
          <w:dstrike w:val="0"/>
          <w:color w:val="auto"/>
          <w:sz w:val="24"/>
          <w:szCs w:val="24"/>
          <w:highlight w:val="none"/>
        </w:rPr>
        <w:t>42.5招标人使用</w:t>
      </w:r>
      <w:r>
        <w:rPr>
          <w:rFonts w:hint="eastAsia" w:ascii="宋体" w:hAnsi="宋体" w:eastAsia="宋体"/>
          <w:strike/>
          <w:dstrike w:val="0"/>
          <w:color w:val="auto"/>
          <w:sz w:val="24"/>
          <w:szCs w:val="24"/>
          <w:highlight w:val="none"/>
        </w:rPr>
        <w:t>制作该招标文件的机构业务数字证书</w:t>
      </w:r>
      <w:r>
        <w:rPr>
          <w:rFonts w:hint="eastAsia" w:ascii="宋体" w:hAnsi="宋体" w:eastAsia="宋体" w:cs="仿宋_GB2312"/>
          <w:strike/>
          <w:dstrike w:val="0"/>
          <w:color w:val="auto"/>
          <w:sz w:val="24"/>
          <w:szCs w:val="24"/>
          <w:highlight w:val="none"/>
        </w:rPr>
        <w:t>对已完成投标人解密的电子投标文件进行招标人解密。</w:t>
      </w:r>
    </w:p>
    <w:p>
      <w:pPr>
        <w:snapToGrid w:val="0"/>
        <w:spacing w:line="360" w:lineRule="auto"/>
        <w:ind w:firstLine="523" w:firstLineChars="218"/>
        <w:rPr>
          <w:rFonts w:hint="eastAsia" w:ascii="宋体" w:hAnsi="宋体" w:eastAsia="宋体"/>
          <w:strike/>
          <w:dstrike w:val="0"/>
          <w:color w:val="auto"/>
          <w:sz w:val="24"/>
          <w:szCs w:val="24"/>
          <w:highlight w:val="none"/>
        </w:rPr>
      </w:pPr>
      <w:r>
        <w:rPr>
          <w:rFonts w:hint="eastAsia" w:ascii="宋体" w:hAnsi="宋体" w:eastAsia="宋体"/>
          <w:strike/>
          <w:dstrike w:val="0"/>
          <w:color w:val="auto"/>
          <w:sz w:val="24"/>
          <w:szCs w:val="24"/>
          <w:highlight w:val="none"/>
        </w:rPr>
        <w:t>42.6将所有解密成功的电子投标文件导入系统并公开开标。</w:t>
      </w:r>
    </w:p>
    <w:p>
      <w:pPr>
        <w:snapToGrid w:val="0"/>
        <w:spacing w:line="360" w:lineRule="auto"/>
        <w:ind w:firstLine="523" w:firstLineChars="218"/>
        <w:rPr>
          <w:rFonts w:hint="eastAsia" w:ascii="宋体" w:hAnsi="宋体" w:eastAsia="宋体"/>
          <w:strike/>
          <w:dstrike w:val="0"/>
          <w:color w:val="auto"/>
          <w:sz w:val="24"/>
          <w:szCs w:val="24"/>
          <w:highlight w:val="none"/>
        </w:rPr>
      </w:pPr>
      <w:r>
        <w:rPr>
          <w:rFonts w:hint="eastAsia" w:ascii="宋体" w:hAnsi="宋体" w:eastAsia="宋体"/>
          <w:strike/>
          <w:dstrike w:val="0"/>
          <w:color w:val="auto"/>
          <w:sz w:val="24"/>
          <w:szCs w:val="24"/>
          <w:highlight w:val="none"/>
        </w:rPr>
        <w:t>42.7将所有已公开开标的投标人进行电脑随机排序，并编制序号，随机抽取进入第二阶段评标的投标人起点序号。</w:t>
      </w:r>
    </w:p>
    <w:p>
      <w:pPr>
        <w:snapToGrid w:val="0"/>
        <w:spacing w:line="360" w:lineRule="auto"/>
        <w:ind w:firstLine="525" w:firstLineChars="218"/>
        <w:rPr>
          <w:rFonts w:hint="eastAsia" w:ascii="宋体" w:hAnsi="宋体" w:eastAsia="宋体"/>
          <w:b/>
          <w:strike/>
          <w:dstrike w:val="0"/>
          <w:color w:val="auto"/>
          <w:sz w:val="24"/>
          <w:szCs w:val="24"/>
          <w:highlight w:val="none"/>
        </w:rPr>
      </w:pPr>
      <w:r>
        <w:rPr>
          <w:rFonts w:hint="eastAsia" w:ascii="宋体" w:hAnsi="宋体" w:eastAsia="宋体"/>
          <w:b/>
          <w:strike/>
          <w:dstrike w:val="0"/>
          <w:color w:val="auto"/>
          <w:sz w:val="24"/>
          <w:szCs w:val="24"/>
          <w:highlight w:val="none"/>
        </w:rPr>
        <w:t>43.开标细则</w:t>
      </w:r>
    </w:p>
    <w:p>
      <w:pPr>
        <w:snapToGrid w:val="0"/>
        <w:spacing w:line="360" w:lineRule="auto"/>
        <w:ind w:firstLine="523" w:firstLineChars="218"/>
        <w:rPr>
          <w:rFonts w:hint="eastAsia" w:ascii="宋体" w:hAnsi="宋体" w:eastAsia="宋体"/>
          <w:strike/>
          <w:dstrike w:val="0"/>
          <w:color w:val="auto"/>
          <w:sz w:val="24"/>
          <w:szCs w:val="24"/>
          <w:highlight w:val="none"/>
        </w:rPr>
      </w:pPr>
      <w:r>
        <w:rPr>
          <w:rFonts w:hint="eastAsia" w:ascii="宋体" w:hAnsi="宋体" w:eastAsia="宋体"/>
          <w:strike/>
          <w:dstrike w:val="0"/>
          <w:color w:val="auto"/>
          <w:sz w:val="24"/>
          <w:szCs w:val="24"/>
          <w:highlight w:val="none"/>
        </w:rPr>
        <w:t>43.1开标由招标人或其委托的招标代理机构主持；</w:t>
      </w:r>
    </w:p>
    <w:p>
      <w:pPr>
        <w:pStyle w:val="17"/>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43.2由招标人或其推选的代表检查投标文件的投标人解密情况，也可以由招标人委托的公证机构检查并公证，之后由招标人对全部投标文件进行解密。</w:t>
      </w:r>
    </w:p>
    <w:p>
      <w:pPr>
        <w:snapToGrid w:val="0"/>
        <w:spacing w:line="360" w:lineRule="auto"/>
        <w:ind w:firstLine="523" w:firstLineChars="218"/>
        <w:rPr>
          <w:rFonts w:hint="eastAsia" w:ascii="宋体" w:hAnsi="宋体" w:eastAsia="宋体"/>
          <w:strike/>
          <w:dstrike w:val="0"/>
          <w:color w:val="auto"/>
          <w:sz w:val="24"/>
          <w:szCs w:val="24"/>
          <w:highlight w:val="none"/>
        </w:rPr>
      </w:pPr>
      <w:r>
        <w:rPr>
          <w:rFonts w:hint="eastAsia" w:ascii="宋体" w:hAnsi="宋体" w:eastAsia="宋体"/>
          <w:strike/>
          <w:dstrike w:val="0"/>
          <w:color w:val="auto"/>
          <w:sz w:val="24"/>
          <w:szCs w:val="24"/>
          <w:highlight w:val="none"/>
        </w:rPr>
        <w:t>43.3.1递交投标文件截止时间前，各投标人将投标文件完整上传并保存在广州公共资源交易中心电子评标系统。</w:t>
      </w:r>
    </w:p>
    <w:p>
      <w:pPr>
        <w:pStyle w:val="17"/>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kern w:val="44"/>
          <w:sz w:val="24"/>
          <w:szCs w:val="24"/>
          <w:highlight w:val="none"/>
        </w:rPr>
        <w:t>43.3.2投标人自行决定是否参加开标会。</w:t>
      </w:r>
      <w:r>
        <w:rPr>
          <w:rFonts w:hint="eastAsia" w:ascii="宋体" w:hAnsi="宋体"/>
          <w:strike/>
          <w:dstrike w:val="0"/>
          <w:color w:val="auto"/>
          <w:sz w:val="24"/>
          <w:szCs w:val="24"/>
          <w:highlight w:val="none"/>
        </w:rPr>
        <w:t>若投标人对开标过程有异议，应在开标现场提出，投标人代表提出异议时须出示本人身份证原件。招标人应当当场作出答复，并制作记录。</w:t>
      </w:r>
    </w:p>
    <w:p>
      <w:pPr>
        <w:pStyle w:val="17"/>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kern w:val="44"/>
          <w:sz w:val="24"/>
          <w:szCs w:val="24"/>
          <w:highlight w:val="none"/>
        </w:rPr>
        <w:t>43.4</w:t>
      </w:r>
      <w:r>
        <w:rPr>
          <w:rFonts w:hint="eastAsia" w:ascii="宋体" w:hAnsi="宋体"/>
          <w:strike/>
          <w:dstrike w:val="0"/>
          <w:color w:val="auto"/>
          <w:sz w:val="24"/>
          <w:szCs w:val="24"/>
          <w:highlight w:val="none"/>
        </w:rPr>
        <w:t>开标前，首先由招标人或招标代理机构按42.3规定,现场随机抽取确定该工程计算第二阶段评标参考价的下浮率X。招标人或招标代理机构在开标时，公布以下所有内容：a、投标人名称；b、电子投标文件解密情况；c、电子投标文件的递交情况；d、法定代表人证明及授权委托；e、投标保证金；f、投标报价；g、人工</w:t>
      </w:r>
      <w:r>
        <w:rPr>
          <w:rFonts w:hint="eastAsia" w:ascii="宋体" w:hAnsi="宋体" w:eastAsia="宋体" w:cs="Times New Roman"/>
          <w:strike/>
          <w:dstrike w:val="0"/>
          <w:color w:val="auto"/>
          <w:sz w:val="24"/>
          <w:szCs w:val="24"/>
          <w:highlight w:val="none"/>
        </w:rPr>
        <w:t>费；h、绿色施工安全防护措施费；</w:t>
      </w:r>
      <w:r>
        <w:rPr>
          <w:rFonts w:hint="eastAsia" w:ascii="宋体" w:hAnsi="宋体"/>
          <w:strike/>
          <w:dstrike w:val="0"/>
          <w:color w:val="auto"/>
          <w:sz w:val="24"/>
          <w:szCs w:val="24"/>
          <w:highlight w:val="none"/>
        </w:rPr>
        <w:t>i、工期；j、质量标准；k、施工组织设计承诺书。</w:t>
      </w:r>
    </w:p>
    <w:p>
      <w:pPr>
        <w:pStyle w:val="17"/>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43.5 对公开开标的投标人进行电脑随机排序，并编制序号，现场随机抽取进入第二阶段评标的投标人起点序号。</w:t>
      </w:r>
    </w:p>
    <w:p>
      <w:pPr>
        <w:pStyle w:val="17"/>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43.6投标报价以数字和文字两种方式表述的，应宣读文字表述的投标报价。</w:t>
      </w:r>
    </w:p>
    <w:p>
      <w:pPr>
        <w:pStyle w:val="17"/>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43.7招标人对开标过程进行记录，并存档备查。</w:t>
      </w:r>
    </w:p>
    <w:p>
      <w:pPr>
        <w:pStyle w:val="17"/>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43.8招标人将上述符合要求的投标文件，送至评标委员会进行评审。</w:t>
      </w:r>
    </w:p>
    <w:p>
      <w:pPr>
        <w:pStyle w:val="17"/>
        <w:tabs>
          <w:tab w:val="left" w:pos="7380"/>
        </w:tabs>
        <w:spacing w:after="0" w:line="360" w:lineRule="auto"/>
        <w:ind w:firstLine="525" w:firstLineChars="218"/>
        <w:rPr>
          <w:rFonts w:hint="eastAsia" w:ascii="宋体" w:hAnsi="宋体"/>
          <w:b/>
          <w:strike/>
          <w:dstrike w:val="0"/>
          <w:color w:val="auto"/>
          <w:sz w:val="24"/>
          <w:szCs w:val="24"/>
          <w:highlight w:val="none"/>
        </w:rPr>
      </w:pPr>
      <w:r>
        <w:rPr>
          <w:rFonts w:hint="eastAsia" w:ascii="宋体" w:hAnsi="宋体"/>
          <w:b/>
          <w:strike/>
          <w:dstrike w:val="0"/>
          <w:color w:val="auto"/>
          <w:sz w:val="24"/>
          <w:szCs w:val="24"/>
          <w:highlight w:val="none"/>
        </w:rPr>
        <w:t>44.资格审查及评标细则</w:t>
      </w:r>
    </w:p>
    <w:p>
      <w:pPr>
        <w:pStyle w:val="17"/>
        <w:tabs>
          <w:tab w:val="left" w:pos="7380"/>
        </w:tabs>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44.1资格审查及评标均由招标人依法组建的评标委员会负责。</w:t>
      </w:r>
    </w:p>
    <w:p>
      <w:pPr>
        <w:pStyle w:val="17"/>
        <w:tabs>
          <w:tab w:val="left" w:pos="7380"/>
        </w:tabs>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44.2评标委员会的组成：资格审查及投标文件的评审由评标委员会负责。</w:t>
      </w:r>
    </w:p>
    <w:p>
      <w:pPr>
        <w:pStyle w:val="17"/>
        <w:tabs>
          <w:tab w:val="left" w:pos="7380"/>
        </w:tabs>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44.3资格审查、否决性条款审查</w:t>
      </w:r>
    </w:p>
    <w:p>
      <w:pPr>
        <w:pStyle w:val="17"/>
        <w:tabs>
          <w:tab w:val="left" w:pos="7380"/>
        </w:tabs>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44.3.1评标委员会按资格审查的标准对所有递交投标文件的投标人进行审查，如资格审查合格的投标人不足3个时，应重新招标。</w:t>
      </w:r>
    </w:p>
    <w:p>
      <w:pPr>
        <w:pStyle w:val="17"/>
        <w:tabs>
          <w:tab w:val="left" w:pos="7380"/>
        </w:tabs>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44.3.2如通过否决性条款审查的投标人少于3个时，应重新招标。</w:t>
      </w:r>
    </w:p>
    <w:p>
      <w:pPr>
        <w:pStyle w:val="17"/>
        <w:tabs>
          <w:tab w:val="left" w:pos="7380"/>
        </w:tabs>
        <w:spacing w:after="0" w:line="360" w:lineRule="auto"/>
        <w:ind w:firstLine="525" w:firstLineChars="218"/>
        <w:rPr>
          <w:rFonts w:hint="eastAsia" w:ascii="宋体" w:hAnsi="宋体"/>
          <w:b/>
          <w:strike/>
          <w:dstrike w:val="0"/>
          <w:color w:val="auto"/>
          <w:sz w:val="24"/>
          <w:szCs w:val="24"/>
          <w:highlight w:val="none"/>
        </w:rPr>
      </w:pPr>
      <w:r>
        <w:rPr>
          <w:rFonts w:hint="eastAsia" w:ascii="宋体" w:hAnsi="宋体"/>
          <w:b/>
          <w:strike/>
          <w:dstrike w:val="0"/>
          <w:color w:val="auto"/>
          <w:sz w:val="24"/>
          <w:szCs w:val="24"/>
          <w:highlight w:val="none"/>
        </w:rPr>
        <w:t>45.投标人资格审查</w:t>
      </w:r>
    </w:p>
    <w:p>
      <w:pPr>
        <w:pStyle w:val="17"/>
        <w:tabs>
          <w:tab w:val="left" w:pos="7380"/>
        </w:tabs>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45.1资格审查采用电子化审查方式进行，评标委员会利用计算机系统对投标人递交的资格审查文件进行独立评审。</w:t>
      </w:r>
    </w:p>
    <w:p>
      <w:pPr>
        <w:pStyle w:val="17"/>
        <w:tabs>
          <w:tab w:val="left" w:pos="7380"/>
        </w:tabs>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45.2《资格审查表》中序号2-5项（除广东省建筑施工企业管理人员安全生产考核信息系统安全生产管理人员证书信息的打印页、《信息公开证明》打印页外）评审内容的信息取自投标人在广州公共资源交易中心企业库、广州公共资源交易中心城市园林绿化企业工程业绩库中的资料。评标委员会对该部分内容的审查，以开标当天中午12时在广州公共资源交易中心企业库、广州公共资源交易中心城市园林绿化企业工程业绩库中的资料为依据。</w:t>
      </w:r>
    </w:p>
    <w:p>
      <w:pPr>
        <w:pStyle w:val="17"/>
        <w:tabs>
          <w:tab w:val="left" w:pos="7380"/>
        </w:tabs>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45.3资格审查文件中全部符合《资格审查表》中情形的，为资格审查合格。否则为资格审查不合格，经评标委员会认定后，其投标文件不进入下一轮评审。如评标委员会成员的评审意见不一致时，可公开要求投标人进行澄清，并记录及由评标委员会、作出澄清的投标人签字确认，以评标委员会过半数成员的意见作为评标委员会对该情形的认定结论。</w:t>
      </w:r>
    </w:p>
    <w:p>
      <w:pPr>
        <w:pStyle w:val="17"/>
        <w:tabs>
          <w:tab w:val="left" w:pos="7380"/>
        </w:tabs>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45.4汇总资格审查情况，编写资格审查报告。</w:t>
      </w:r>
    </w:p>
    <w:p>
      <w:pPr>
        <w:pStyle w:val="17"/>
        <w:tabs>
          <w:tab w:val="left" w:pos="7380"/>
        </w:tabs>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45.5资格审查不合格及存在42.4条款情形的投标文件不参加评标，不参与评标参考价的计算。</w:t>
      </w:r>
    </w:p>
    <w:p>
      <w:pPr>
        <w:pStyle w:val="17"/>
        <w:tabs>
          <w:tab w:val="left" w:pos="7380"/>
        </w:tabs>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45.6资格审查时，投标企业名称已经工商变更的，但企业及个人的资料未完成企业名称变更，仍然承认其有效；投标企业未及时办理变更手续的，招标人或招标代理机构应通报发证部门。</w:t>
      </w:r>
    </w:p>
    <w:p>
      <w:pPr>
        <w:pStyle w:val="17"/>
        <w:tabs>
          <w:tab w:val="left" w:pos="7380"/>
        </w:tabs>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特别声明：资审合格后，投标人的资格发生变化而不满足投标人资格条件，在发出中标通知书前，资格问题仍未解决的，招标人将取消其中标资格。</w:t>
      </w:r>
    </w:p>
    <w:p>
      <w:pPr>
        <w:pStyle w:val="17"/>
        <w:tabs>
          <w:tab w:val="left" w:pos="7380"/>
        </w:tabs>
        <w:spacing w:after="0" w:line="360" w:lineRule="auto"/>
        <w:ind w:firstLine="0"/>
        <w:rPr>
          <w:rFonts w:hint="eastAsia" w:ascii="宋体" w:hAnsi="宋体"/>
          <w:b/>
          <w:strike/>
          <w:dstrike w:val="0"/>
          <w:color w:val="auto"/>
          <w:sz w:val="24"/>
          <w:szCs w:val="24"/>
          <w:highlight w:val="none"/>
        </w:rPr>
      </w:pPr>
      <w:r>
        <w:rPr>
          <w:rFonts w:hint="eastAsia" w:ascii="宋体" w:hAnsi="宋体"/>
          <w:strike/>
          <w:dstrike w:val="0"/>
          <w:color w:val="auto"/>
          <w:sz w:val="24"/>
          <w:szCs w:val="24"/>
          <w:highlight w:val="none"/>
        </w:rPr>
        <w:t xml:space="preserve">   </w:t>
      </w:r>
      <w:r>
        <w:rPr>
          <w:rFonts w:hint="eastAsia" w:ascii="宋体" w:hAnsi="宋体"/>
          <w:b/>
          <w:strike/>
          <w:dstrike w:val="0"/>
          <w:color w:val="auto"/>
          <w:sz w:val="24"/>
          <w:szCs w:val="24"/>
          <w:highlight w:val="none"/>
        </w:rPr>
        <w:t xml:space="preserve"> 46.第一阶段评标程序</w:t>
      </w:r>
    </w:p>
    <w:p>
      <w:pPr>
        <w:snapToGrid w:val="0"/>
        <w:spacing w:line="360" w:lineRule="auto"/>
        <w:ind w:firstLine="523" w:firstLineChars="218"/>
        <w:rPr>
          <w:rFonts w:hint="eastAsia" w:ascii="宋体" w:hAnsi="宋体" w:eastAsia="宋体"/>
          <w:strike/>
          <w:dstrike w:val="0"/>
          <w:color w:val="auto"/>
          <w:sz w:val="24"/>
          <w:szCs w:val="24"/>
          <w:highlight w:val="none"/>
        </w:rPr>
      </w:pPr>
      <w:r>
        <w:rPr>
          <w:rFonts w:hint="eastAsia" w:ascii="宋体" w:hAnsi="宋体" w:eastAsia="宋体"/>
          <w:strike/>
          <w:dstrike w:val="0"/>
          <w:color w:val="auto"/>
          <w:sz w:val="24"/>
          <w:szCs w:val="24"/>
          <w:highlight w:val="none"/>
        </w:rPr>
        <w:t>资格审查合格的投标人大于等于3家小于等于12家的，不进行第一阶段评标，全部进入第二评标阶段。</w:t>
      </w:r>
    </w:p>
    <w:p>
      <w:pPr>
        <w:pStyle w:val="17"/>
        <w:tabs>
          <w:tab w:val="left" w:pos="7380"/>
        </w:tabs>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46.1计算第一阶段投标人的报价得分</w:t>
      </w:r>
    </w:p>
    <w:p>
      <w:pPr>
        <w:pStyle w:val="17"/>
        <w:tabs>
          <w:tab w:val="left" w:pos="7380"/>
        </w:tabs>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46.1.1在通过资格审查的投标人中确定第一阶段评标参考价。</w:t>
      </w:r>
    </w:p>
    <w:p>
      <w:pPr>
        <w:pStyle w:val="17"/>
        <w:tabs>
          <w:tab w:val="left" w:pos="7380"/>
        </w:tabs>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46.1.2若位于[最高投标限价×80%，最高投标限价]区间的投标报价大于等于1个少于等于4个时，则取全部位于[最高投标限价×80%，最高投标限价]区间内的报价计算算术平均值，该算术平均值为第一评标阶段参考价。</w:t>
      </w:r>
    </w:p>
    <w:p>
      <w:pPr>
        <w:pStyle w:val="17"/>
        <w:tabs>
          <w:tab w:val="left" w:pos="7380"/>
        </w:tabs>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46.1.3 若位于[最高投标限价×80%，最高投标限价]区间的投标报价大于4个时，将区间内的投标人报价进行由低到高排序。按顺序计算每一报价与下一报价的绝对差值为该报价（相对报价低者）的报价差，最后一名报价的报价差记为0，按报价差由高到低的顺序进行排序，按顺序取前三名的报价计算平均值为第一阶段评标参考价（若出现投标报价的报价差相同时，所有涉及计算该报价差的投标报价均不参与评标参考价的计算。剔除以上投标报价后，可参与计算的投标人不足三名的，则取剩余所有的报价计算平均值为第一阶段评标参考价。剔除以上报价后，无可参与计算的投标人的，招标失败。）。评标委员会应对报价或报价差相同的投标文件进行报价分析，确定是否串标，并及时向监督机构报告。</w:t>
      </w:r>
    </w:p>
    <w:p>
      <w:pPr>
        <w:pStyle w:val="17"/>
        <w:tabs>
          <w:tab w:val="left" w:pos="7380"/>
        </w:tabs>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46.1.4若没有报价位于[最高投标限价×80%，最高投标限价]区间的，招标人应重新招标。</w:t>
      </w:r>
    </w:p>
    <w:p>
      <w:pPr>
        <w:pStyle w:val="17"/>
        <w:tabs>
          <w:tab w:val="left" w:pos="7380"/>
        </w:tabs>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46.2投标报价以数字和文字两种方式表述的，取文字表述的投标报价进行计算。</w:t>
      </w:r>
    </w:p>
    <w:p>
      <w:pPr>
        <w:pStyle w:val="17"/>
        <w:tabs>
          <w:tab w:val="left" w:pos="7380"/>
        </w:tabs>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46.3投标人的投标报价、投标报价平均值、第一阶段评标参考价均精确到“分”。</w:t>
      </w:r>
    </w:p>
    <w:p>
      <w:pPr>
        <w:pStyle w:val="17"/>
        <w:tabs>
          <w:tab w:val="left" w:pos="7380"/>
        </w:tabs>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46.4当报价等于第一阶段评标参考价时得100分，报价每高于评标参考价1%，扣1.5分；每低于评标参考价1%，扣1分，扣至0分为止，得分按四舍五入的原则保留两位小数。</w:t>
      </w:r>
    </w:p>
    <w:p>
      <w:pPr>
        <w:pStyle w:val="17"/>
        <w:tabs>
          <w:tab w:val="left" w:pos="7380"/>
        </w:tabs>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46.5计算投标人的业绩得分。</w:t>
      </w:r>
    </w:p>
    <w:p>
      <w:pPr>
        <w:pStyle w:val="17"/>
        <w:tabs>
          <w:tab w:val="left" w:pos="7380"/>
        </w:tabs>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46.6计算投标人第一阶段的总得分（满分为100分）</w:t>
      </w:r>
    </w:p>
    <w:p>
      <w:pPr>
        <w:pStyle w:val="17"/>
        <w:tabs>
          <w:tab w:val="left" w:pos="7380"/>
        </w:tabs>
        <w:spacing w:after="0" w:line="360" w:lineRule="auto"/>
        <w:ind w:left="479" w:leftChars="228" w:firstLine="40" w:firstLineChars="17"/>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46.6.1权重分配：业绩得分3分，报价得分权重</w:t>
      </w:r>
      <w:r>
        <w:rPr>
          <w:rFonts w:hint="eastAsia" w:ascii="宋体" w:hAnsi="宋体"/>
          <w:strike/>
          <w:dstrike w:val="0"/>
          <w:color w:val="auto"/>
          <w:sz w:val="24"/>
          <w:szCs w:val="24"/>
          <w:highlight w:val="none"/>
          <w:u w:val="single"/>
        </w:rPr>
        <w:t xml:space="preserve">   </w:t>
      </w:r>
      <w:r>
        <w:rPr>
          <w:rFonts w:hint="eastAsia" w:ascii="宋体" w:hAnsi="宋体"/>
          <w:strike/>
          <w:dstrike w:val="0"/>
          <w:color w:val="auto"/>
          <w:sz w:val="24"/>
          <w:szCs w:val="24"/>
          <w:highlight w:val="none"/>
        </w:rPr>
        <w:t>%，诚信综合评价得分权重</w:t>
      </w:r>
      <w:r>
        <w:rPr>
          <w:rFonts w:hint="eastAsia" w:ascii="宋体" w:hAnsi="宋体"/>
          <w:strike/>
          <w:dstrike w:val="0"/>
          <w:color w:val="auto"/>
          <w:sz w:val="24"/>
          <w:szCs w:val="24"/>
          <w:highlight w:val="none"/>
          <w:u w:val="single"/>
        </w:rPr>
        <w:t xml:space="preserve">   </w:t>
      </w:r>
      <w:r>
        <w:rPr>
          <w:rFonts w:hint="eastAsia" w:ascii="宋体" w:hAnsi="宋体"/>
          <w:strike/>
          <w:dstrike w:val="0"/>
          <w:color w:val="auto"/>
          <w:sz w:val="24"/>
          <w:szCs w:val="24"/>
          <w:highlight w:val="none"/>
        </w:rPr>
        <w:t>%。注：诚信综合评价得分权重占0-10%，报价得分权重=100-业绩得分-诚信综合评价</w:t>
      </w:r>
    </w:p>
    <w:p>
      <w:pPr>
        <w:pStyle w:val="17"/>
        <w:tabs>
          <w:tab w:val="left" w:pos="7380"/>
        </w:tabs>
        <w:spacing w:after="0" w:line="360" w:lineRule="auto"/>
        <w:ind w:firstLine="0"/>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得分权重。企业诚信综合评价得分，以开标当天广州公共资源交易中心网站上公布的广州市园林绿化企业诚信综合评价体系得分为准。</w:t>
      </w:r>
    </w:p>
    <w:p>
      <w:pPr>
        <w:pStyle w:val="17"/>
        <w:tabs>
          <w:tab w:val="left" w:pos="7380"/>
        </w:tabs>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46.6.2投标人第一阶段评标总得分=报价得分×报价得分权重+业绩得分+诚信综合评价得分×诚信综合评价得分权重。</w:t>
      </w:r>
    </w:p>
    <w:p>
      <w:pPr>
        <w:pStyle w:val="17"/>
        <w:tabs>
          <w:tab w:val="left" w:pos="7380"/>
        </w:tabs>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46.6.3按照投标人总得分从高至低依次进行排序，总得分相同的以业绩分高的排前，仍相同的再以诚信综合得分高的排前。</w:t>
      </w:r>
    </w:p>
    <w:p>
      <w:pPr>
        <w:pStyle w:val="17"/>
        <w:tabs>
          <w:tab w:val="left" w:pos="7380"/>
        </w:tabs>
        <w:spacing w:after="0" w:line="360" w:lineRule="auto"/>
        <w:ind w:firstLine="523" w:firstLineChars="218"/>
        <w:rPr>
          <w:rFonts w:ascii="宋体" w:hAnsi="宋体"/>
          <w:strike/>
          <w:dstrike w:val="0"/>
          <w:color w:val="auto"/>
          <w:sz w:val="24"/>
          <w:szCs w:val="24"/>
          <w:highlight w:val="none"/>
        </w:rPr>
      </w:pPr>
      <w:r>
        <w:rPr>
          <w:rFonts w:hint="eastAsia" w:ascii="宋体" w:hAnsi="宋体"/>
          <w:strike/>
          <w:dstrike w:val="0"/>
          <w:color w:val="auto"/>
          <w:sz w:val="24"/>
          <w:szCs w:val="24"/>
          <w:highlight w:val="none"/>
        </w:rPr>
        <w:t>46.6.4第一阶段总得分由高至低排序确定后，选取中间分数。当投标家数N为偶数时，排在第</w:t>
      </w:r>
      <w:r>
        <w:rPr>
          <w:rFonts w:hint="eastAsia" w:ascii="宋体" w:hAnsi="宋体"/>
          <w:strike/>
          <w:dstrike w:val="0"/>
          <w:color w:val="auto"/>
          <w:position w:val="-24"/>
          <w:sz w:val="24"/>
          <w:szCs w:val="24"/>
          <w:highlight w:val="none"/>
        </w:rPr>
        <w:object>
          <v:shape id="_x0000_i1025" o:spt="75" type="#_x0000_t75" style="height:31pt;width:16pt;" o:ole="t" filled="f" o:preferrelative="t" stroked="f" coordsize="21600,21600">
            <v:path/>
            <v:fill on="f" focussize="0,0"/>
            <v:stroke on="f"/>
            <v:imagedata r:id="rId11" embosscolor="#FFFFFF" o:title=""/>
            <o:lock v:ext="edit" grouping="f" rotation="f" text="f" aspectratio="t"/>
            <w10:wrap type="none"/>
            <w10:anchorlock/>
          </v:shape>
          <o:OLEObject Type="Embed" ProgID="Equation.KSEE3" ShapeID="_x0000_i1025" DrawAspect="Content" ObjectID="_1468075725" r:id="rId10">
            <o:LockedField>false</o:LockedField>
          </o:OLEObject>
        </w:object>
      </w:r>
      <w:r>
        <w:rPr>
          <w:rFonts w:hint="eastAsia" w:ascii="宋体" w:hAnsi="宋体"/>
          <w:strike/>
          <w:dstrike w:val="0"/>
          <w:color w:val="auto"/>
          <w:sz w:val="24"/>
          <w:szCs w:val="24"/>
          <w:highlight w:val="none"/>
        </w:rPr>
        <w:t>位的分数为中间分数，当</w:t>
      </w:r>
      <w:r>
        <w:rPr>
          <w:rFonts w:hint="eastAsia" w:ascii="宋体" w:hAnsi="宋体"/>
          <w:strike/>
          <w:dstrike w:val="0"/>
          <w:color w:val="auto"/>
          <w:position w:val="-24"/>
          <w:sz w:val="24"/>
          <w:szCs w:val="24"/>
          <w:highlight w:val="none"/>
        </w:rPr>
        <w:object>
          <v:shape id="_x0000_i1026" o:spt="75" type="#_x0000_t75" style="height:31pt;width:16pt;" o:ole="t" filled="f" o:preferrelative="t" stroked="f" coordsize="21600,21600">
            <v:path/>
            <v:fill on="f" focussize="0,0"/>
            <v:stroke on="f"/>
            <v:imagedata r:id="rId11" embosscolor="#FFFFFF" o:title=""/>
            <o:lock v:ext="edit" grouping="f" rotation="f" text="f" aspectratio="t"/>
            <w10:wrap type="none"/>
            <w10:anchorlock/>
          </v:shape>
          <o:OLEObject Type="Embed" ProgID="Equation.KSEE3" ShapeID="_x0000_i1026" DrawAspect="Content" ObjectID="_1468075726" r:id="rId12">
            <o:LockedField>false</o:LockedField>
          </o:OLEObject>
        </w:object>
      </w:r>
      <w:r>
        <w:rPr>
          <w:rFonts w:hint="eastAsia" w:ascii="宋体" w:hAnsi="宋体"/>
          <w:strike/>
          <w:dstrike w:val="0"/>
          <w:color w:val="auto"/>
          <w:sz w:val="24"/>
          <w:szCs w:val="24"/>
          <w:highlight w:val="none"/>
        </w:rPr>
        <w:t>≥100时，排在第100位的分数为中间分数；投标家数为奇数时，排在第</w:t>
      </w:r>
      <w:r>
        <w:rPr>
          <w:rFonts w:hint="eastAsia" w:ascii="宋体" w:hAnsi="宋体"/>
          <w:strike/>
          <w:dstrike w:val="0"/>
          <w:color w:val="auto"/>
          <w:position w:val="-24"/>
          <w:sz w:val="24"/>
          <w:szCs w:val="24"/>
          <w:highlight w:val="none"/>
        </w:rPr>
        <w:object>
          <v:shape id="_x0000_i1027" o:spt="75" type="#_x0000_t75" style="height:31pt;width:31pt;" o:ole="t" filled="f" o:preferrelative="t" stroked="f" coordsize="21600,21600">
            <v:path/>
            <v:fill on="f" focussize="0,0"/>
            <v:stroke on="f"/>
            <v:imagedata r:id="rId14" embosscolor="#FFFFFF" o:title=""/>
            <o:lock v:ext="edit" grouping="f" rotation="f" text="f" aspectratio="t"/>
            <w10:wrap type="none"/>
            <w10:anchorlock/>
          </v:shape>
          <o:OLEObject Type="Embed" ProgID="Equation.KSEE3" ShapeID="_x0000_i1027" DrawAspect="Content" ObjectID="_1468075727" r:id="rId13">
            <o:LockedField>false</o:LockedField>
          </o:OLEObject>
        </w:object>
      </w:r>
      <w:r>
        <w:rPr>
          <w:rFonts w:hint="eastAsia" w:ascii="宋体" w:hAnsi="宋体"/>
          <w:strike/>
          <w:dstrike w:val="0"/>
          <w:color w:val="auto"/>
          <w:sz w:val="24"/>
          <w:szCs w:val="24"/>
          <w:highlight w:val="none"/>
        </w:rPr>
        <w:t>位的分数为中间分数，当</w:t>
      </w:r>
      <w:r>
        <w:rPr>
          <w:rFonts w:hint="eastAsia" w:ascii="宋体" w:hAnsi="宋体"/>
          <w:strike/>
          <w:dstrike w:val="0"/>
          <w:color w:val="auto"/>
          <w:position w:val="-24"/>
          <w:sz w:val="24"/>
          <w:szCs w:val="24"/>
          <w:highlight w:val="none"/>
        </w:rPr>
        <w:object>
          <v:shape id="_x0000_i1028" o:spt="75" type="#_x0000_t75" style="height:31pt;width:31pt;" o:ole="t" filled="f" o:preferrelative="t" stroked="f" coordsize="21600,21600">
            <v:path/>
            <v:fill on="f" focussize="0,0"/>
            <v:stroke on="f"/>
            <v:imagedata r:id="rId14" embosscolor="#FFFFFF" o:title=""/>
            <o:lock v:ext="edit" grouping="f" rotation="f" text="f" aspectratio="t"/>
            <w10:wrap type="none"/>
            <w10:anchorlock/>
          </v:shape>
          <o:OLEObject Type="Embed" ProgID="Equation.KSEE3" ShapeID="_x0000_i1028" DrawAspect="Content" ObjectID="_1468075728" r:id="rId15">
            <o:LockedField>false</o:LockedField>
          </o:OLEObject>
        </w:object>
      </w:r>
      <w:r>
        <w:rPr>
          <w:rFonts w:hint="eastAsia" w:ascii="宋体" w:hAnsi="宋体"/>
          <w:strike/>
          <w:dstrike w:val="0"/>
          <w:color w:val="auto"/>
          <w:sz w:val="24"/>
          <w:szCs w:val="24"/>
          <w:highlight w:val="none"/>
        </w:rPr>
        <w:t>大于等于100时，取排在第100位的分数为中间分数。</w:t>
      </w:r>
    </w:p>
    <w:p>
      <w:pPr>
        <w:pStyle w:val="17"/>
        <w:tabs>
          <w:tab w:val="left" w:pos="7380"/>
        </w:tabs>
        <w:spacing w:after="0" w:line="360" w:lineRule="auto"/>
        <w:ind w:firstLine="525" w:firstLineChars="218"/>
        <w:rPr>
          <w:rFonts w:hint="eastAsia" w:ascii="宋体" w:hAnsi="宋体"/>
          <w:b/>
          <w:strike/>
          <w:dstrike w:val="0"/>
          <w:color w:val="auto"/>
          <w:sz w:val="24"/>
          <w:szCs w:val="24"/>
          <w:highlight w:val="none"/>
        </w:rPr>
      </w:pPr>
      <w:r>
        <w:rPr>
          <w:rFonts w:hint="eastAsia" w:ascii="宋体" w:hAnsi="宋体"/>
          <w:b/>
          <w:strike/>
          <w:dstrike w:val="0"/>
          <w:color w:val="auto"/>
          <w:sz w:val="24"/>
          <w:szCs w:val="24"/>
          <w:highlight w:val="none"/>
        </w:rPr>
        <w:t>47.确定进入第二阶段评标的投标人</w:t>
      </w:r>
    </w:p>
    <w:p>
      <w:pPr>
        <w:snapToGrid w:val="0"/>
        <w:spacing w:line="360" w:lineRule="auto"/>
        <w:ind w:firstLine="523" w:firstLineChars="218"/>
        <w:rPr>
          <w:rFonts w:hint="eastAsia" w:ascii="宋体" w:hAnsi="宋体" w:eastAsia="宋体"/>
          <w:strike/>
          <w:dstrike w:val="0"/>
          <w:color w:val="auto"/>
          <w:sz w:val="24"/>
          <w:szCs w:val="24"/>
          <w:highlight w:val="none"/>
        </w:rPr>
      </w:pPr>
      <w:r>
        <w:rPr>
          <w:rFonts w:hint="eastAsia" w:ascii="宋体" w:hAnsi="宋体" w:eastAsia="宋体"/>
          <w:strike/>
          <w:dstrike w:val="0"/>
          <w:color w:val="auto"/>
          <w:sz w:val="24"/>
          <w:szCs w:val="24"/>
          <w:highlight w:val="none"/>
        </w:rPr>
        <w:t>47.1资格审查合格的投标人大于等于3家小于等于12家的，全部进入第二评标阶段。</w:t>
      </w:r>
    </w:p>
    <w:p>
      <w:pPr>
        <w:snapToGrid w:val="0"/>
        <w:spacing w:line="360" w:lineRule="auto"/>
        <w:ind w:firstLine="523" w:firstLineChars="218"/>
        <w:rPr>
          <w:rFonts w:hint="eastAsia" w:ascii="宋体" w:hAnsi="宋体" w:eastAsia="宋体"/>
          <w:strike/>
          <w:dstrike w:val="0"/>
          <w:color w:val="auto"/>
          <w:sz w:val="24"/>
          <w:szCs w:val="24"/>
          <w:highlight w:val="none"/>
        </w:rPr>
      </w:pPr>
      <w:r>
        <w:rPr>
          <w:rFonts w:hint="eastAsia" w:ascii="宋体" w:hAnsi="宋体" w:eastAsia="宋体"/>
          <w:strike/>
          <w:dstrike w:val="0"/>
          <w:color w:val="auto"/>
          <w:sz w:val="24"/>
          <w:szCs w:val="24"/>
          <w:highlight w:val="none"/>
        </w:rPr>
        <w:t>47.2当资格审查合格的投标人大于12家时，从42.7确定的第二阶段评标的投标人起点序号开始，顺序依次选取12家高于或等于中间分数的投标人（至最大序号不够12家时按序号循环）进入第二阶段评标。</w:t>
      </w:r>
    </w:p>
    <w:p>
      <w:pPr>
        <w:snapToGrid w:val="0"/>
        <w:spacing w:line="360" w:lineRule="auto"/>
        <w:ind w:firstLine="523" w:firstLineChars="218"/>
        <w:rPr>
          <w:rFonts w:hint="eastAsia" w:ascii="宋体" w:hAnsi="宋体" w:eastAsia="宋体"/>
          <w:strike/>
          <w:dstrike w:val="0"/>
          <w:color w:val="auto"/>
          <w:sz w:val="24"/>
          <w:szCs w:val="24"/>
          <w:highlight w:val="none"/>
        </w:rPr>
      </w:pPr>
      <w:r>
        <w:rPr>
          <w:rFonts w:hint="eastAsia" w:ascii="宋体" w:hAnsi="宋体" w:eastAsia="宋体"/>
          <w:strike/>
          <w:dstrike w:val="0"/>
          <w:color w:val="auto"/>
          <w:sz w:val="24"/>
          <w:szCs w:val="24"/>
          <w:highlight w:val="none"/>
        </w:rPr>
        <w:t>高于或等于中间分数的单位不超过12家的，按第一阶段评标分数高低补足至12家，其余的按第一阶段评标分数高低依次作为备选单位。</w:t>
      </w:r>
    </w:p>
    <w:p>
      <w:pPr>
        <w:snapToGrid w:val="0"/>
        <w:spacing w:line="360" w:lineRule="auto"/>
        <w:ind w:firstLine="523" w:firstLineChars="218"/>
        <w:rPr>
          <w:rFonts w:hint="eastAsia" w:ascii="宋体" w:hAnsi="宋体" w:eastAsia="宋体"/>
          <w:strike/>
          <w:dstrike w:val="0"/>
          <w:color w:val="auto"/>
          <w:sz w:val="24"/>
          <w:szCs w:val="24"/>
          <w:highlight w:val="none"/>
        </w:rPr>
      </w:pPr>
      <w:r>
        <w:rPr>
          <w:rFonts w:hint="eastAsia" w:ascii="宋体" w:hAnsi="宋体" w:eastAsia="宋体"/>
          <w:strike/>
          <w:dstrike w:val="0"/>
          <w:color w:val="auto"/>
          <w:sz w:val="24"/>
          <w:szCs w:val="24"/>
          <w:highlight w:val="none"/>
        </w:rPr>
        <w:t>高于或等于中间分数的投标人大于12家的，取完12家后，继续按原顺序先取大于等于中间分数的依次作为备选单位，选取完大于等于中间分数的投标人后，再按第一阶段评标分数高低次序作为备选单位。</w:t>
      </w:r>
    </w:p>
    <w:p>
      <w:pPr>
        <w:pStyle w:val="17"/>
        <w:tabs>
          <w:tab w:val="left" w:pos="7380"/>
        </w:tabs>
        <w:spacing w:after="0" w:line="360" w:lineRule="auto"/>
        <w:ind w:firstLine="525" w:firstLineChars="218"/>
        <w:rPr>
          <w:rFonts w:hint="eastAsia" w:ascii="宋体" w:hAnsi="宋体"/>
          <w:b/>
          <w:strike/>
          <w:dstrike w:val="0"/>
          <w:color w:val="auto"/>
          <w:sz w:val="24"/>
          <w:szCs w:val="24"/>
          <w:highlight w:val="none"/>
        </w:rPr>
      </w:pPr>
      <w:r>
        <w:rPr>
          <w:rFonts w:hint="eastAsia" w:ascii="宋体" w:hAnsi="宋体"/>
          <w:b/>
          <w:strike/>
          <w:dstrike w:val="0"/>
          <w:color w:val="auto"/>
          <w:sz w:val="24"/>
          <w:szCs w:val="24"/>
          <w:highlight w:val="none"/>
        </w:rPr>
        <w:t>48.第二阶段评标阶段</w:t>
      </w:r>
    </w:p>
    <w:p>
      <w:pPr>
        <w:pStyle w:val="17"/>
        <w:tabs>
          <w:tab w:val="left" w:pos="7380"/>
        </w:tabs>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48.1投标文件否决性条款审查</w:t>
      </w:r>
    </w:p>
    <w:p>
      <w:pPr>
        <w:pStyle w:val="17"/>
        <w:tabs>
          <w:tab w:val="left" w:pos="7380"/>
        </w:tabs>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48.1.1对进入第二阶段评标阶段的投标人进行否决性条款审查，包括串通投标情形的核查、澄清及认定（如有）。投标文件中出现《投标文件否决性条款审查表》中任何一种情形的，评标委员会应否决其投标。如评标委员会成员的评审意见不一致时，以评标委员会过半数成员的意见作为评标委员会对该情形的认定结论。资格审查合格的单位大于12家时，当有单位不通过否决性条款的按备选单位的顺序依次递补，直至补足12家后按47.2条程序进行后续评标；全部资格审查合格单位依次递补后仍然不足12家的，按47.2条程序进行后续评标。</w:t>
      </w:r>
    </w:p>
    <w:p>
      <w:pPr>
        <w:pStyle w:val="17"/>
        <w:tabs>
          <w:tab w:val="left" w:pos="7380"/>
        </w:tabs>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如投标文件评审过程中，投标文件属于串通投标情形之一的（见《投标人串通投标评审表》），</w:t>
      </w:r>
      <w:r>
        <w:rPr>
          <w:rFonts w:ascii="宋体" w:hAnsi="宋体"/>
          <w:strike/>
          <w:dstrike w:val="0"/>
          <w:color w:val="auto"/>
          <w:sz w:val="24"/>
          <w:szCs w:val="24"/>
          <w:highlight w:val="none"/>
        </w:rPr>
        <w:t>评标委员会</w:t>
      </w:r>
      <w:r>
        <w:rPr>
          <w:rFonts w:hint="eastAsia" w:ascii="宋体" w:hAnsi="宋体"/>
          <w:strike/>
          <w:dstrike w:val="0"/>
          <w:color w:val="auto"/>
          <w:sz w:val="24"/>
          <w:szCs w:val="24"/>
          <w:highlight w:val="none"/>
        </w:rPr>
        <w:t>应参考投标人的澄清，按招标文件评标办法中《投标人串通投标评审表》的规定进行评审。</w:t>
      </w:r>
    </w:p>
    <w:p>
      <w:pPr>
        <w:pStyle w:val="17"/>
        <w:tabs>
          <w:tab w:val="left" w:pos="7380"/>
        </w:tabs>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48.1.2投标报价算术复核。评标委员会将对进行否决性条款审查的投标文件投标报价按照就低不就高的原则进行算术复核，具体标准如下：</w:t>
      </w:r>
    </w:p>
    <w:p>
      <w:pPr>
        <w:pStyle w:val="17"/>
        <w:tabs>
          <w:tab w:val="left" w:pos="7380"/>
        </w:tabs>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48.1.2.1数字表述的金额和用文字表述的金额不一致时，应以文字表述的金额为准。</w:t>
      </w:r>
    </w:p>
    <w:p>
      <w:pPr>
        <w:pStyle w:val="17"/>
        <w:tabs>
          <w:tab w:val="left" w:pos="7380"/>
        </w:tabs>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48.1.2.2经算术复核的投标人报价与其投标报价不一致时，按就低不就高原则确定其最终报价。</w:t>
      </w:r>
    </w:p>
    <w:p>
      <w:pPr>
        <w:pStyle w:val="17"/>
        <w:tabs>
          <w:tab w:val="left" w:pos="7380"/>
        </w:tabs>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48.1.2.3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pStyle w:val="17"/>
        <w:tabs>
          <w:tab w:val="left" w:pos="7380"/>
        </w:tabs>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48.1.2.4当合价、金额累加错误时，按就低不就高原则，如果累加修正值小于原累加值，则按累加修正值；如果累加修正值大于原累加值，则按原累加值。</w:t>
      </w:r>
    </w:p>
    <w:p>
      <w:pPr>
        <w:pStyle w:val="17"/>
        <w:tabs>
          <w:tab w:val="left" w:pos="7380"/>
        </w:tabs>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48.1.2.5如果投标人的有关规费、所有暂列金额、暂估价等未按招标文件规定的金额填写的，由评标委员会按照招标文件规定的金额进行修正。</w:t>
      </w:r>
    </w:p>
    <w:p>
      <w:pPr>
        <w:pStyle w:val="17"/>
        <w:tabs>
          <w:tab w:val="left" w:pos="7380"/>
        </w:tabs>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48.1.2.6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pStyle w:val="17"/>
        <w:tabs>
          <w:tab w:val="left" w:pos="7380"/>
        </w:tabs>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48.1.2.7按就低不就高原则，当修正后报价小于原报价，总价按修正后报价；当修正后报价大于原报价，总价按原报价，并在签订合同时载明在结算价中扣除修正报价与原报价的差额。</w:t>
      </w:r>
    </w:p>
    <w:p>
      <w:pPr>
        <w:pStyle w:val="17"/>
        <w:tabs>
          <w:tab w:val="left" w:pos="7380"/>
        </w:tabs>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48.1.2.8按上述修正错误的原则及方法调整或修正投标文件的投标报价，调整后的投标报价对投标人起约束作用。如果投标人不接受修正后的报价，则取消其投标资格，并且其投标保证金也将不予退还。以上修正不影响修正前按步骤确定的投标人排序。</w:t>
      </w:r>
    </w:p>
    <w:p>
      <w:pPr>
        <w:pStyle w:val="17"/>
        <w:tabs>
          <w:tab w:val="left" w:pos="7380"/>
        </w:tabs>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48.1.2.9在评标过程中，评标委员会发现投标人的报价明显低于其他投标报价或者在设有成本警示价时明显低于成本警示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pStyle w:val="17"/>
        <w:tabs>
          <w:tab w:val="left" w:pos="7380"/>
        </w:tabs>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48.2计算通过否决性条款审查的投标人的投标报价（投标报价是指算术复核后的报价）算术平均值，按42.3抽取的计算第二阶段评标参考价的下浮率，计算评标参考价。当报价等于评标参考价时得100分，报价每高于评标参考价1%，扣1.5分；每低于评标参考价1%，扣1分，扣至0分为止，得分按四舍五入的原则保留两位小数。投标人的投标报价、投标报价平均值、评标参考价均精确到“分”。</w:t>
      </w:r>
    </w:p>
    <w:p>
      <w:pPr>
        <w:pStyle w:val="17"/>
        <w:tabs>
          <w:tab w:val="left" w:pos="7380"/>
        </w:tabs>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48.3评标委员会按照投标人报价得分从高到低排列先后次序。报价得分相同的投标文件，投标报价低的单位排序靠前；报价得分与投标报价均相同的投标文件，以诚信综合评价排名靠前的排前；如仍存在相同情况，则对具有相同情况的投标人，按中标候选人数量规定，由评标委员会采用随机抽取方式，确定中标候选人的排序。</w:t>
      </w:r>
    </w:p>
    <w:p>
      <w:pPr>
        <w:pStyle w:val="17"/>
        <w:tabs>
          <w:tab w:val="left" w:pos="7380"/>
        </w:tabs>
        <w:spacing w:after="0" w:line="360" w:lineRule="auto"/>
        <w:ind w:firstLine="523" w:firstLineChars="218"/>
        <w:rPr>
          <w:rFonts w:hint="eastAsia" w:ascii="宋体" w:hAnsi="宋体"/>
          <w:strike/>
          <w:dstrike w:val="0"/>
          <w:color w:val="auto"/>
          <w:sz w:val="24"/>
          <w:szCs w:val="24"/>
          <w:highlight w:val="none"/>
        </w:rPr>
      </w:pPr>
      <w:r>
        <w:rPr>
          <w:rFonts w:hint="eastAsia" w:ascii="宋体" w:hAnsi="宋体"/>
          <w:strike/>
          <w:dstrike w:val="0"/>
          <w:color w:val="auto"/>
          <w:sz w:val="24"/>
          <w:szCs w:val="24"/>
          <w:highlight w:val="none"/>
        </w:rPr>
        <w:t>48.4评标结束后，评标委员会按照第41条要求向招标人推荐中标候选人，并编制评标报告。评标报告由评标委员会全体签名，对评标结论有异议的评标委员会成员可以书面阐述其不同意见和理由。评标委员会在评标报告提交后随即解散，评标过程中使用的文件、表格以及其他资料应当及时归还招标人（或招标代理）。</w:t>
      </w:r>
    </w:p>
    <w:p>
      <w:pPr>
        <w:pStyle w:val="17"/>
        <w:tabs>
          <w:tab w:val="left" w:pos="7380"/>
        </w:tabs>
        <w:spacing w:after="0" w:line="360" w:lineRule="auto"/>
        <w:ind w:firstLine="523" w:firstLineChars="218"/>
        <w:rPr>
          <w:rFonts w:hint="eastAsia" w:ascii="宋体" w:hAnsi="宋体"/>
          <w:color w:val="auto"/>
          <w:sz w:val="24"/>
          <w:szCs w:val="24"/>
          <w:highlight w:val="none"/>
        </w:rPr>
      </w:pPr>
      <w:r>
        <w:rPr>
          <w:rFonts w:hint="eastAsia" w:ascii="宋体" w:hAnsi="宋体"/>
          <w:strike/>
          <w:dstrike w:val="0"/>
          <w:color w:val="auto"/>
          <w:sz w:val="24"/>
          <w:szCs w:val="24"/>
          <w:highlight w:val="none"/>
        </w:rPr>
        <w:t>48.5资格审查合格的投标申请人或通过否决定性条款审查的投标人少于3个的，应修正招标方案，重新招标（当N个标段同时招标且不允许兼中时，资格审查合格的投标申请人或有效投标人少于N+2个的，应修正招标方案，重新招标）。</w:t>
      </w:r>
    </w:p>
    <w:p>
      <w:pPr>
        <w:pStyle w:val="17"/>
        <w:tabs>
          <w:tab w:val="left" w:pos="7380"/>
        </w:tabs>
        <w:spacing w:after="0" w:line="360" w:lineRule="auto"/>
        <w:ind w:firstLine="523" w:firstLineChars="218"/>
        <w:rPr>
          <w:rFonts w:hint="eastAsia" w:ascii="宋体" w:hAnsi="宋体"/>
          <w:color w:val="auto"/>
          <w:sz w:val="24"/>
          <w:szCs w:val="24"/>
          <w:highlight w:val="none"/>
        </w:rPr>
      </w:pPr>
    </w:p>
    <w:p>
      <w:pPr>
        <w:pStyle w:val="6"/>
        <w:spacing w:before="120"/>
        <w:rPr>
          <w:rFonts w:hint="eastAsia" w:ascii="宋体" w:eastAsia="宋体"/>
          <w:color w:val="auto"/>
          <w:highlight w:val="none"/>
        </w:rPr>
      </w:pPr>
      <w:bookmarkStart w:id="184" w:name="_可选办法二_综合评分法"/>
      <w:bookmarkEnd w:id="184"/>
      <w:bookmarkStart w:id="185" w:name="_Toc22091"/>
      <w:bookmarkStart w:id="186" w:name="_Toc22847"/>
      <w:bookmarkStart w:id="187" w:name="_Toc278"/>
      <w:bookmarkStart w:id="188" w:name="_Toc20077"/>
      <w:bookmarkStart w:id="189" w:name="_Toc23249"/>
      <w:bookmarkStart w:id="190" w:name="_Toc3304"/>
      <w:bookmarkStart w:id="191" w:name="_Toc16088"/>
      <w:bookmarkStart w:id="192" w:name="_Toc25194"/>
      <w:bookmarkStart w:id="193" w:name="_Toc19120"/>
      <w:r>
        <w:rPr>
          <w:rFonts w:hint="eastAsia" w:ascii="宋体" w:eastAsia="宋体"/>
          <w:color w:val="auto"/>
          <w:highlight w:val="none"/>
        </w:rPr>
        <w:t>可选办法二 综合评分法</w:t>
      </w:r>
      <w:bookmarkEnd w:id="185"/>
      <w:bookmarkEnd w:id="186"/>
      <w:bookmarkEnd w:id="187"/>
      <w:bookmarkEnd w:id="188"/>
      <w:bookmarkEnd w:id="189"/>
      <w:bookmarkEnd w:id="190"/>
      <w:bookmarkEnd w:id="191"/>
      <w:bookmarkEnd w:id="192"/>
      <w:bookmarkEnd w:id="193"/>
    </w:p>
    <w:p>
      <w:pPr>
        <w:snapToGrid w:val="0"/>
        <w:spacing w:line="360" w:lineRule="auto"/>
        <w:ind w:firstLine="525" w:firstLineChars="218"/>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42.开标和评标程序</w:t>
      </w:r>
    </w:p>
    <w:p>
      <w:pPr>
        <w:pStyle w:val="17"/>
        <w:tabs>
          <w:tab w:val="left" w:pos="7380"/>
        </w:tabs>
        <w:spacing w:after="0" w:line="360" w:lineRule="auto"/>
        <w:ind w:firstLine="523" w:firstLineChars="218"/>
        <w:rPr>
          <w:rFonts w:hint="eastAsia" w:ascii="宋体" w:hAnsi="宋体"/>
          <w:color w:val="auto"/>
          <w:sz w:val="24"/>
          <w:szCs w:val="24"/>
          <w:highlight w:val="none"/>
        </w:rPr>
      </w:pPr>
      <w:r>
        <w:rPr>
          <w:rFonts w:hint="eastAsia" w:ascii="宋体" w:hAnsi="宋体"/>
          <w:color w:val="auto"/>
          <w:sz w:val="24"/>
          <w:szCs w:val="24"/>
          <w:highlight w:val="none"/>
        </w:rPr>
        <w:t>42.1投标人在递交投标文件截止时间到达后的1小时内，使用制作该投标文件的机构业务数字证书对其投标文件进行解密。</w:t>
      </w:r>
    </w:p>
    <w:p>
      <w:pPr>
        <w:pStyle w:val="17"/>
        <w:tabs>
          <w:tab w:val="left" w:pos="7380"/>
        </w:tabs>
        <w:spacing w:after="0" w:line="360" w:lineRule="auto"/>
        <w:ind w:firstLine="523" w:firstLineChars="218"/>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42.2公布投标人名单，将显示出所有投标人信息及投标人投标文件递交情况以及解密情况。</w:t>
      </w:r>
    </w:p>
    <w:p>
      <w:pPr>
        <w:pStyle w:val="17"/>
        <w:tabs>
          <w:tab w:val="left" w:pos="7380"/>
        </w:tabs>
        <w:spacing w:after="0" w:line="360" w:lineRule="auto"/>
        <w:ind w:firstLine="523" w:firstLineChars="218"/>
        <w:rPr>
          <w:rFonts w:ascii="宋体" w:hAnsi="宋体"/>
          <w:color w:val="auto"/>
          <w:sz w:val="24"/>
          <w:szCs w:val="24"/>
          <w:highlight w:val="none"/>
          <w:u w:val="thick"/>
        </w:rPr>
      </w:pPr>
      <w:r>
        <w:rPr>
          <w:rFonts w:hint="eastAsia" w:ascii="宋体" w:hAnsi="宋体"/>
          <w:color w:val="auto"/>
          <w:sz w:val="24"/>
          <w:szCs w:val="24"/>
          <w:highlight w:val="none"/>
        </w:rPr>
        <w:t>42.3随机抽取确定该工程计算评标参考价的下浮率X，从0.5%、1%、1.5%、2%、2.5%、3%、3.5%中抽取其中之一。</w:t>
      </w:r>
    </w:p>
    <w:p>
      <w:pPr>
        <w:snapToGrid w:val="0"/>
        <w:spacing w:line="360" w:lineRule="auto"/>
        <w:ind w:firstLine="523" w:firstLineChars="218"/>
        <w:rPr>
          <w:rFonts w:hint="eastAsia" w:ascii="宋体" w:hAnsi="宋体" w:eastAsia="宋体" w:cs="仿宋_GB2312"/>
          <w:color w:val="auto"/>
          <w:sz w:val="24"/>
          <w:szCs w:val="24"/>
          <w:highlight w:val="none"/>
        </w:rPr>
      </w:pPr>
      <w:r>
        <w:rPr>
          <w:rFonts w:hint="eastAsia" w:ascii="宋体" w:hAnsi="宋体" w:eastAsia="宋体"/>
          <w:color w:val="auto"/>
          <w:sz w:val="24"/>
          <w:szCs w:val="24"/>
          <w:highlight w:val="none"/>
        </w:rPr>
        <w:t>42.4</w:t>
      </w:r>
      <w:r>
        <w:rPr>
          <w:rFonts w:hint="eastAsia" w:ascii="宋体" w:hAnsi="宋体" w:eastAsia="宋体" w:cs="仿宋_GB2312"/>
          <w:color w:val="auto"/>
          <w:sz w:val="24"/>
          <w:szCs w:val="24"/>
          <w:highlight w:val="none"/>
        </w:rPr>
        <w:t>开标时，出现下列情形之一的投标人，不参与资格审查和评标，</w:t>
      </w:r>
      <w:r>
        <w:rPr>
          <w:rFonts w:hint="eastAsia" w:ascii="宋体" w:hAnsi="宋体" w:eastAsia="宋体"/>
          <w:color w:val="auto"/>
          <w:sz w:val="24"/>
          <w:szCs w:val="24"/>
          <w:highlight w:val="none"/>
        </w:rPr>
        <w:t>其投标文件作无效处理</w:t>
      </w:r>
      <w:r>
        <w:rPr>
          <w:rFonts w:hint="eastAsia" w:ascii="宋体" w:hAnsi="宋体" w:eastAsia="宋体" w:cs="仿宋_GB2312"/>
          <w:color w:val="auto"/>
          <w:sz w:val="24"/>
          <w:szCs w:val="24"/>
          <w:highlight w:val="none"/>
        </w:rPr>
        <w:t>：</w:t>
      </w:r>
    </w:p>
    <w:p>
      <w:pPr>
        <w:snapToGrid w:val="0"/>
        <w:spacing w:line="360" w:lineRule="auto"/>
        <w:ind w:firstLine="523" w:firstLineChars="218"/>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42.4.1未成功递交或因投标人原因未成功导入投标文件的；</w:t>
      </w:r>
    </w:p>
    <w:p>
      <w:pPr>
        <w:snapToGrid w:val="0"/>
        <w:spacing w:line="360" w:lineRule="auto"/>
        <w:ind w:firstLine="523" w:firstLineChars="218"/>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42.4.2因投标人原因造成投标文件未解密的；</w:t>
      </w:r>
    </w:p>
    <w:p>
      <w:pPr>
        <w:snapToGrid w:val="0"/>
        <w:spacing w:line="360" w:lineRule="auto"/>
        <w:ind w:firstLine="523" w:firstLineChars="218"/>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42.4.3</w:t>
      </w:r>
      <w:r>
        <w:rPr>
          <w:rFonts w:hint="eastAsia" w:ascii="宋体" w:hAnsi="宋体" w:eastAsia="宋体"/>
          <w:color w:val="auto"/>
          <w:sz w:val="24"/>
          <w:szCs w:val="24"/>
          <w:highlight w:val="none"/>
        </w:rPr>
        <w:t>投标人未按要求递交投标保证金的</w:t>
      </w:r>
      <w:r>
        <w:rPr>
          <w:rFonts w:hint="eastAsia" w:ascii="宋体" w:hAnsi="宋体" w:eastAsia="宋体" w:cs="仿宋_GB2312"/>
          <w:color w:val="auto"/>
          <w:sz w:val="24"/>
          <w:szCs w:val="24"/>
          <w:highlight w:val="none"/>
        </w:rPr>
        <w:t>；</w:t>
      </w:r>
    </w:p>
    <w:p>
      <w:pPr>
        <w:snapToGrid w:val="0"/>
        <w:spacing w:line="360" w:lineRule="auto"/>
        <w:ind w:firstLine="523" w:firstLineChars="218"/>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42.4.4两个（含两个）以上的投标人制作投标文件电脑机器特征码一致的；</w:t>
      </w:r>
    </w:p>
    <w:p>
      <w:pPr>
        <w:snapToGrid w:val="0"/>
        <w:spacing w:line="360" w:lineRule="auto"/>
        <w:ind w:firstLine="523" w:firstLineChars="218"/>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42.4.5项目负责人和安全员为同一人的。</w:t>
      </w:r>
    </w:p>
    <w:p>
      <w:pP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s="仿宋_GB2312"/>
          <w:color w:val="auto"/>
          <w:sz w:val="24"/>
          <w:szCs w:val="24"/>
          <w:highlight w:val="none"/>
        </w:rPr>
        <w:t>42.5招标人使用</w:t>
      </w:r>
      <w:r>
        <w:rPr>
          <w:rFonts w:hint="eastAsia" w:ascii="宋体" w:hAnsi="宋体" w:eastAsia="宋体"/>
          <w:color w:val="auto"/>
          <w:sz w:val="24"/>
          <w:szCs w:val="24"/>
          <w:highlight w:val="none"/>
        </w:rPr>
        <w:t>制作该招标文件的机构业务数字证书</w:t>
      </w:r>
      <w:r>
        <w:rPr>
          <w:rFonts w:hint="eastAsia" w:ascii="宋体" w:hAnsi="宋体" w:eastAsia="宋体" w:cs="仿宋_GB2312"/>
          <w:color w:val="auto"/>
          <w:sz w:val="24"/>
          <w:szCs w:val="24"/>
          <w:highlight w:val="none"/>
        </w:rPr>
        <w:t>对已完成投标人解密的电子投标文件进行招标人解密。</w:t>
      </w:r>
    </w:p>
    <w:p>
      <w:pP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42.6将所有解密成功的电子投标文件导入系统并公开开标。技术部分（施工组织方案）文件开标时不得开启，在评标时由评标系统随机编号后开启，交由评标委员会进行评审。</w:t>
      </w:r>
    </w:p>
    <w:p>
      <w:pPr>
        <w:pStyle w:val="17"/>
        <w:tabs>
          <w:tab w:val="left" w:pos="7380"/>
        </w:tabs>
        <w:spacing w:after="0" w:line="360" w:lineRule="auto"/>
        <w:ind w:firstLine="523" w:firstLineChars="218"/>
        <w:rPr>
          <w:rFonts w:hint="eastAsia" w:ascii="宋体" w:hAnsi="宋体"/>
          <w:color w:val="auto"/>
          <w:sz w:val="24"/>
          <w:szCs w:val="24"/>
          <w:highlight w:val="none"/>
        </w:rPr>
      </w:pPr>
      <w:r>
        <w:rPr>
          <w:rFonts w:hint="eastAsia" w:ascii="宋体" w:hAnsi="宋体"/>
          <w:color w:val="auto"/>
          <w:sz w:val="24"/>
          <w:szCs w:val="24"/>
          <w:highlight w:val="none"/>
        </w:rPr>
        <w:t>42.7由评标委员会对所有已公开开标的投标人进行资格审查。</w:t>
      </w:r>
    </w:p>
    <w:p>
      <w:pPr>
        <w:pStyle w:val="17"/>
        <w:tabs>
          <w:tab w:val="left" w:pos="7380"/>
        </w:tabs>
        <w:spacing w:after="0" w:line="360" w:lineRule="auto"/>
        <w:ind w:firstLine="523" w:firstLineChars="218"/>
        <w:rPr>
          <w:rFonts w:hint="eastAsia" w:ascii="宋体" w:hAnsi="宋体"/>
          <w:color w:val="auto"/>
          <w:sz w:val="24"/>
          <w:szCs w:val="24"/>
          <w:highlight w:val="none"/>
        </w:rPr>
      </w:pPr>
      <w:r>
        <w:rPr>
          <w:rFonts w:hint="eastAsia" w:ascii="宋体" w:hAnsi="宋体"/>
          <w:color w:val="auto"/>
          <w:sz w:val="24"/>
          <w:szCs w:val="24"/>
          <w:highlight w:val="none"/>
        </w:rPr>
        <w:t>42.8投标文件否决性条款审查（含投标报价算术复核）。</w:t>
      </w:r>
    </w:p>
    <w:p>
      <w:pPr>
        <w:pStyle w:val="17"/>
        <w:tabs>
          <w:tab w:val="left" w:pos="7380"/>
        </w:tabs>
        <w:spacing w:after="0" w:line="360" w:lineRule="auto"/>
        <w:ind w:firstLine="523" w:firstLineChars="218"/>
        <w:rPr>
          <w:rFonts w:hint="eastAsia" w:ascii="宋体" w:hAnsi="宋体"/>
          <w:color w:val="auto"/>
          <w:sz w:val="24"/>
          <w:szCs w:val="24"/>
          <w:highlight w:val="none"/>
        </w:rPr>
      </w:pPr>
      <w:r>
        <w:rPr>
          <w:rFonts w:hint="eastAsia" w:ascii="宋体" w:hAnsi="宋体"/>
          <w:color w:val="auto"/>
          <w:sz w:val="24"/>
          <w:szCs w:val="24"/>
          <w:highlight w:val="none"/>
        </w:rPr>
        <w:t>42.9对通过否决性条款审查的投标文件进行技术部分（施工组织方案）文件审查评分（暗标）。</w:t>
      </w:r>
    </w:p>
    <w:p>
      <w:pPr>
        <w:pStyle w:val="17"/>
        <w:tabs>
          <w:tab w:val="left" w:pos="7380"/>
        </w:tabs>
        <w:spacing w:after="0" w:line="360" w:lineRule="auto"/>
        <w:ind w:firstLine="523" w:firstLineChars="218"/>
        <w:rPr>
          <w:rFonts w:hint="eastAsia" w:ascii="宋体" w:hAnsi="宋体"/>
          <w:color w:val="auto"/>
          <w:sz w:val="24"/>
          <w:szCs w:val="24"/>
          <w:highlight w:val="none"/>
        </w:rPr>
      </w:pPr>
      <w:r>
        <w:rPr>
          <w:rFonts w:hint="eastAsia" w:ascii="宋体" w:hAnsi="宋体"/>
          <w:color w:val="auto"/>
          <w:sz w:val="24"/>
          <w:szCs w:val="24"/>
          <w:highlight w:val="none"/>
        </w:rPr>
        <w:t>42.10揭晓技术部分（施工组织方案）文件评审结果。</w:t>
      </w:r>
    </w:p>
    <w:p>
      <w:pPr>
        <w:pStyle w:val="17"/>
        <w:tabs>
          <w:tab w:val="left" w:pos="7380"/>
        </w:tabs>
        <w:spacing w:after="0" w:line="360" w:lineRule="auto"/>
        <w:ind w:firstLine="523" w:firstLineChars="218"/>
        <w:rPr>
          <w:rFonts w:ascii="宋体" w:hAnsi="宋体"/>
          <w:color w:val="auto"/>
          <w:sz w:val="24"/>
          <w:szCs w:val="24"/>
          <w:highlight w:val="none"/>
        </w:rPr>
      </w:pPr>
      <w:r>
        <w:rPr>
          <w:rFonts w:hint="eastAsia" w:ascii="宋体" w:hAnsi="宋体"/>
          <w:color w:val="auto"/>
          <w:sz w:val="24"/>
          <w:szCs w:val="24"/>
          <w:highlight w:val="none"/>
        </w:rPr>
        <w:t>42.11对通过否决性条款审查的投标文件进行技术部分技术部分（项目实施能力）文件审查评分。</w:t>
      </w:r>
    </w:p>
    <w:p>
      <w:pPr>
        <w:pStyle w:val="17"/>
        <w:tabs>
          <w:tab w:val="left" w:pos="7380"/>
        </w:tabs>
        <w:spacing w:after="0" w:line="360" w:lineRule="auto"/>
        <w:ind w:firstLine="523" w:firstLineChars="218"/>
        <w:rPr>
          <w:rFonts w:hint="eastAsia" w:ascii="宋体" w:hAnsi="宋体"/>
          <w:color w:val="auto"/>
          <w:sz w:val="24"/>
          <w:szCs w:val="24"/>
          <w:highlight w:val="none"/>
        </w:rPr>
      </w:pPr>
      <w:r>
        <w:rPr>
          <w:rFonts w:hint="eastAsia" w:ascii="宋体" w:hAnsi="宋体"/>
          <w:color w:val="auto"/>
          <w:sz w:val="24"/>
          <w:szCs w:val="24"/>
          <w:highlight w:val="none"/>
        </w:rPr>
        <w:t>42.12对通过否决性条款审查的投标文件的投标报价进行评分。</w:t>
      </w:r>
    </w:p>
    <w:p>
      <w:pPr>
        <w:pStyle w:val="17"/>
        <w:tabs>
          <w:tab w:val="left" w:pos="7380"/>
        </w:tabs>
        <w:spacing w:after="0" w:line="360" w:lineRule="auto"/>
        <w:ind w:firstLine="523" w:firstLineChars="218"/>
        <w:rPr>
          <w:rFonts w:ascii="宋体" w:hAnsi="宋体"/>
          <w:color w:val="auto"/>
          <w:sz w:val="24"/>
          <w:szCs w:val="24"/>
          <w:highlight w:val="none"/>
        </w:rPr>
      </w:pPr>
      <w:r>
        <w:rPr>
          <w:rFonts w:hint="eastAsia" w:ascii="宋体" w:hAnsi="宋体"/>
          <w:color w:val="auto"/>
          <w:sz w:val="24"/>
          <w:szCs w:val="24"/>
          <w:highlight w:val="none"/>
        </w:rPr>
        <w:t>42.13按照“综合得分=技术部分（施工组织方案）得分×技术部分（施工组织方案）得分权重+技术部分（项目实施能力）得分×技术部分（项目实施能力）得分权重+报价得分×报价得分权重+诚信综合评价排名得分×诚信综合评价排名得分权重”的公式，计算各有效投标文件的综合得分，并按照综合得分高低排序。</w:t>
      </w:r>
    </w:p>
    <w:p>
      <w:pPr>
        <w:pStyle w:val="17"/>
        <w:tabs>
          <w:tab w:val="left" w:pos="7380"/>
        </w:tabs>
        <w:spacing w:after="0" w:line="360" w:lineRule="auto"/>
        <w:ind w:firstLine="523" w:firstLineChars="218"/>
        <w:rPr>
          <w:rFonts w:hint="eastAsia" w:ascii="宋体" w:hAnsi="宋体"/>
          <w:color w:val="auto"/>
          <w:sz w:val="24"/>
          <w:szCs w:val="24"/>
          <w:highlight w:val="none"/>
        </w:rPr>
      </w:pPr>
      <w:r>
        <w:rPr>
          <w:rFonts w:hint="eastAsia" w:ascii="宋体" w:hAnsi="宋体"/>
          <w:color w:val="auto"/>
          <w:sz w:val="24"/>
          <w:szCs w:val="24"/>
          <w:highlight w:val="none"/>
        </w:rPr>
        <w:t>42.14评标委员会向招标人推荐中标候选人名单，并递交资格审查报告及评标报告。</w:t>
      </w:r>
    </w:p>
    <w:p>
      <w:pPr>
        <w:snapToGrid w:val="0"/>
        <w:spacing w:line="360" w:lineRule="auto"/>
        <w:ind w:firstLine="525" w:firstLineChars="218"/>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43.开标细则</w:t>
      </w:r>
    </w:p>
    <w:p>
      <w:pP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43.1开标由招标人或其委托的招标代理机构主持；</w:t>
      </w:r>
    </w:p>
    <w:p>
      <w:pPr>
        <w:pStyle w:val="17"/>
        <w:spacing w:after="0" w:line="360" w:lineRule="auto"/>
        <w:ind w:firstLine="523" w:firstLineChars="218"/>
        <w:rPr>
          <w:rFonts w:hint="eastAsia" w:ascii="宋体" w:hAnsi="宋体"/>
          <w:color w:val="auto"/>
          <w:sz w:val="24"/>
          <w:szCs w:val="24"/>
          <w:highlight w:val="none"/>
        </w:rPr>
      </w:pPr>
      <w:r>
        <w:rPr>
          <w:rFonts w:hint="eastAsia" w:ascii="宋体" w:hAnsi="宋体"/>
          <w:color w:val="auto"/>
          <w:sz w:val="24"/>
          <w:szCs w:val="24"/>
          <w:highlight w:val="none"/>
        </w:rPr>
        <w:t>43.2由招标人或其推选的代表检查投标文件的投标人解密情况，也可以由招标人委托的公证机构检查并公证，</w:t>
      </w:r>
      <w:r>
        <w:rPr>
          <w:rFonts w:hint="eastAsia" w:ascii="宋体" w:hAnsi="宋体" w:eastAsia="宋体" w:cs="宋体"/>
          <w:color w:val="auto"/>
          <w:sz w:val="24"/>
          <w:szCs w:val="28"/>
          <w:highlight w:val="none"/>
        </w:rPr>
        <w:t>之后由招标人</w:t>
      </w:r>
      <w:r>
        <w:rPr>
          <w:rFonts w:hint="eastAsia" w:ascii="宋体" w:hAnsi="宋体" w:eastAsia="宋体" w:cs="宋体"/>
          <w:color w:val="auto"/>
          <w:sz w:val="24"/>
          <w:szCs w:val="28"/>
          <w:highlight w:val="none"/>
          <w:u w:val="single"/>
        </w:rPr>
        <w:t>或招标代理</w:t>
      </w:r>
      <w:r>
        <w:rPr>
          <w:rFonts w:hint="eastAsia" w:ascii="宋体" w:hAnsi="宋体" w:eastAsia="宋体" w:cs="宋体"/>
          <w:color w:val="auto"/>
          <w:sz w:val="24"/>
          <w:szCs w:val="28"/>
          <w:highlight w:val="none"/>
        </w:rPr>
        <w:t>对全部投标文件进行解密。</w:t>
      </w:r>
    </w:p>
    <w:p>
      <w:pP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43.3细则</w:t>
      </w:r>
    </w:p>
    <w:p>
      <w:pP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43.3.1递交投标文件截止时间前，各投标人将投标文件完整上传并保存在广州公共资源交易中心电子评标系统。</w:t>
      </w:r>
    </w:p>
    <w:p>
      <w:pPr>
        <w:pStyle w:val="17"/>
        <w:spacing w:after="0" w:line="360" w:lineRule="auto"/>
        <w:ind w:firstLine="523" w:firstLineChars="218"/>
        <w:rPr>
          <w:rFonts w:hint="eastAsia" w:ascii="宋体" w:hAnsi="宋体"/>
          <w:color w:val="auto"/>
          <w:sz w:val="24"/>
          <w:szCs w:val="24"/>
          <w:highlight w:val="none"/>
        </w:rPr>
      </w:pPr>
      <w:r>
        <w:rPr>
          <w:rFonts w:hint="eastAsia" w:ascii="宋体" w:hAnsi="宋体"/>
          <w:color w:val="auto"/>
          <w:kern w:val="44"/>
          <w:sz w:val="24"/>
          <w:szCs w:val="24"/>
          <w:highlight w:val="none"/>
        </w:rPr>
        <w:t>43.3.2投标人自行决定是否参加开标会。</w:t>
      </w:r>
      <w:r>
        <w:rPr>
          <w:rFonts w:hint="eastAsia" w:ascii="宋体" w:hAnsi="宋体"/>
          <w:color w:val="auto"/>
          <w:sz w:val="24"/>
          <w:szCs w:val="24"/>
          <w:highlight w:val="none"/>
        </w:rPr>
        <w:t>若投标人对开标过程有异议，应在开标现场提出，投标人代表提出异议时须出示本人身份证原件。招标人应当当场作出答复，并制作记录。</w:t>
      </w:r>
    </w:p>
    <w:p>
      <w:pPr>
        <w:pStyle w:val="17"/>
        <w:spacing w:after="0" w:line="360" w:lineRule="auto"/>
        <w:ind w:firstLine="523" w:firstLineChars="218"/>
        <w:rPr>
          <w:rFonts w:hint="eastAsia" w:ascii="宋体" w:hAnsi="宋体"/>
          <w:color w:val="auto"/>
          <w:sz w:val="24"/>
          <w:szCs w:val="24"/>
          <w:highlight w:val="none"/>
        </w:rPr>
      </w:pPr>
      <w:r>
        <w:rPr>
          <w:rFonts w:hint="eastAsia" w:ascii="宋体" w:hAnsi="宋体"/>
          <w:color w:val="auto"/>
          <w:kern w:val="44"/>
          <w:sz w:val="24"/>
          <w:szCs w:val="24"/>
          <w:highlight w:val="none"/>
        </w:rPr>
        <w:t>43.4</w:t>
      </w:r>
      <w:r>
        <w:rPr>
          <w:rFonts w:hint="eastAsia" w:ascii="宋体" w:hAnsi="宋体"/>
          <w:color w:val="auto"/>
          <w:sz w:val="24"/>
          <w:szCs w:val="24"/>
          <w:highlight w:val="none"/>
        </w:rPr>
        <w:t>开标前，首先由招标人或招标代理机构按42.3规定,现场随机抽取确定该工程计算评标参考价的下浮率X。招标人或招标代理机构在开标时，公布以下所有内容：a、投标人名称；b、电子投标文件解密情况；c、电子投标文件的递交情况；d、法定代表人证明及授权委托；</w:t>
      </w:r>
      <w:r>
        <w:rPr>
          <w:rFonts w:hint="eastAsia" w:ascii="宋体" w:hAnsi="宋体"/>
          <w:strike/>
          <w:dstrike w:val="0"/>
          <w:color w:val="auto"/>
          <w:sz w:val="24"/>
          <w:szCs w:val="24"/>
          <w:highlight w:val="none"/>
        </w:rPr>
        <w:t>e、投标保证金；</w:t>
      </w:r>
      <w:r>
        <w:rPr>
          <w:rFonts w:hint="eastAsia" w:ascii="宋体" w:hAnsi="宋体"/>
          <w:color w:val="auto"/>
          <w:sz w:val="24"/>
          <w:szCs w:val="24"/>
          <w:highlight w:val="none"/>
        </w:rPr>
        <w:t>f、投标报价；g、人工费；h、绿色施工安全防护措施费；i、工期；j、质量标准；k、施工组织设计承诺书</w:t>
      </w:r>
      <w:r>
        <w:rPr>
          <w:rFonts w:hint="eastAsia" w:ascii="宋体" w:hAnsi="宋体" w:eastAsia="宋体" w:cs="宋体"/>
          <w:color w:val="auto"/>
          <w:sz w:val="24"/>
          <w:szCs w:val="28"/>
          <w:highlight w:val="none"/>
        </w:rPr>
        <w:t>；</w:t>
      </w:r>
      <w:r>
        <w:rPr>
          <w:rFonts w:hint="eastAsia" w:ascii="宋体" w:hAnsi="宋体" w:eastAsia="宋体" w:cs="宋体"/>
          <w:color w:val="auto"/>
          <w:sz w:val="24"/>
          <w:szCs w:val="28"/>
          <w:highlight w:val="none"/>
          <w:u w:val="none"/>
        </w:rPr>
        <w:t>l、项目负责人；m、安全员</w:t>
      </w:r>
      <w:r>
        <w:rPr>
          <w:rFonts w:hint="eastAsia" w:ascii="宋体" w:hAnsi="宋体"/>
          <w:color w:val="auto"/>
          <w:sz w:val="24"/>
          <w:szCs w:val="24"/>
          <w:highlight w:val="none"/>
        </w:rPr>
        <w:t>。</w:t>
      </w:r>
    </w:p>
    <w:p>
      <w:pPr>
        <w:pStyle w:val="17"/>
        <w:spacing w:after="0" w:line="360" w:lineRule="auto"/>
        <w:ind w:firstLine="523" w:firstLineChars="218"/>
        <w:rPr>
          <w:rFonts w:hint="eastAsia" w:ascii="宋体" w:hAnsi="宋体"/>
          <w:color w:val="auto"/>
          <w:sz w:val="24"/>
          <w:szCs w:val="24"/>
          <w:highlight w:val="none"/>
        </w:rPr>
      </w:pPr>
      <w:r>
        <w:rPr>
          <w:rFonts w:hint="eastAsia" w:ascii="宋体" w:hAnsi="宋体"/>
          <w:color w:val="auto"/>
          <w:sz w:val="24"/>
          <w:szCs w:val="24"/>
          <w:highlight w:val="none"/>
        </w:rPr>
        <w:t>43.5 投标报价以数字和文字两种方式表述的，应宣读文字表述的投标报价。</w:t>
      </w:r>
    </w:p>
    <w:p>
      <w:pPr>
        <w:pStyle w:val="17"/>
        <w:spacing w:after="0" w:line="360" w:lineRule="auto"/>
        <w:ind w:firstLine="523" w:firstLineChars="218"/>
        <w:rPr>
          <w:rFonts w:hint="eastAsia" w:ascii="宋体" w:hAnsi="宋体"/>
          <w:color w:val="auto"/>
          <w:sz w:val="24"/>
          <w:szCs w:val="24"/>
          <w:highlight w:val="none"/>
        </w:rPr>
      </w:pPr>
      <w:r>
        <w:rPr>
          <w:rFonts w:hint="eastAsia" w:ascii="宋体" w:hAnsi="宋体"/>
          <w:color w:val="auto"/>
          <w:sz w:val="24"/>
          <w:szCs w:val="24"/>
          <w:highlight w:val="none"/>
        </w:rPr>
        <w:t>43.6招标人对开标过程进行记录，并存档备查。</w:t>
      </w:r>
    </w:p>
    <w:p>
      <w:pPr>
        <w:pStyle w:val="17"/>
        <w:spacing w:after="0" w:line="360" w:lineRule="auto"/>
        <w:ind w:firstLine="523" w:firstLineChars="218"/>
        <w:rPr>
          <w:rFonts w:hint="eastAsia" w:ascii="宋体" w:hAnsi="宋体"/>
          <w:color w:val="auto"/>
          <w:sz w:val="24"/>
          <w:szCs w:val="24"/>
          <w:highlight w:val="none"/>
        </w:rPr>
      </w:pPr>
      <w:r>
        <w:rPr>
          <w:rFonts w:hint="eastAsia" w:ascii="宋体" w:hAnsi="宋体"/>
          <w:color w:val="auto"/>
          <w:sz w:val="24"/>
          <w:szCs w:val="24"/>
          <w:highlight w:val="none"/>
        </w:rPr>
        <w:t>43.7招标人将上述符合要求的投标文件，送至评标委员会进行评审。</w:t>
      </w:r>
    </w:p>
    <w:p>
      <w:pPr>
        <w:pStyle w:val="17"/>
        <w:tabs>
          <w:tab w:val="left" w:pos="7380"/>
        </w:tabs>
        <w:spacing w:after="0" w:line="360" w:lineRule="auto"/>
        <w:ind w:firstLine="525" w:firstLineChars="218"/>
        <w:rPr>
          <w:rFonts w:hint="eastAsia" w:ascii="宋体" w:hAnsi="宋体"/>
          <w:b/>
          <w:color w:val="auto"/>
          <w:sz w:val="24"/>
          <w:szCs w:val="24"/>
          <w:highlight w:val="none"/>
        </w:rPr>
      </w:pPr>
      <w:r>
        <w:rPr>
          <w:rFonts w:hint="eastAsia" w:ascii="宋体" w:hAnsi="宋体"/>
          <w:b/>
          <w:color w:val="auto"/>
          <w:sz w:val="24"/>
          <w:szCs w:val="24"/>
          <w:highlight w:val="none"/>
        </w:rPr>
        <w:t>44.资格审查及评标细则</w:t>
      </w:r>
    </w:p>
    <w:p>
      <w:pPr>
        <w:pStyle w:val="17"/>
        <w:tabs>
          <w:tab w:val="left" w:pos="7380"/>
        </w:tabs>
        <w:spacing w:after="0" w:line="360" w:lineRule="auto"/>
        <w:ind w:firstLine="523" w:firstLineChars="218"/>
        <w:rPr>
          <w:rFonts w:hint="eastAsia" w:ascii="宋体" w:hAnsi="宋体"/>
          <w:color w:val="auto"/>
          <w:sz w:val="24"/>
          <w:szCs w:val="24"/>
          <w:highlight w:val="none"/>
        </w:rPr>
      </w:pPr>
      <w:r>
        <w:rPr>
          <w:rFonts w:hint="eastAsia" w:ascii="宋体" w:hAnsi="宋体"/>
          <w:color w:val="auto"/>
          <w:sz w:val="24"/>
          <w:szCs w:val="24"/>
          <w:highlight w:val="none"/>
        </w:rPr>
        <w:t>44.1资格审查及评标均由招标人依法组建的评标委员会负责。</w:t>
      </w:r>
    </w:p>
    <w:p>
      <w:pPr>
        <w:pStyle w:val="17"/>
        <w:tabs>
          <w:tab w:val="left" w:pos="7380"/>
        </w:tabs>
        <w:spacing w:after="0" w:line="360" w:lineRule="auto"/>
        <w:ind w:firstLine="523" w:firstLineChars="218"/>
        <w:rPr>
          <w:rFonts w:hint="eastAsia" w:ascii="宋体" w:hAnsi="宋体"/>
          <w:color w:val="auto"/>
          <w:sz w:val="24"/>
          <w:szCs w:val="24"/>
          <w:highlight w:val="none"/>
        </w:rPr>
      </w:pPr>
      <w:r>
        <w:rPr>
          <w:rFonts w:hint="eastAsia" w:ascii="宋体" w:hAnsi="宋体"/>
          <w:color w:val="auto"/>
          <w:sz w:val="24"/>
          <w:szCs w:val="24"/>
          <w:highlight w:val="none"/>
        </w:rPr>
        <w:t>44.2评标委员会的组成：资格审查及投标文件的评审由评标委员会负责。</w:t>
      </w:r>
    </w:p>
    <w:p>
      <w:pPr>
        <w:pStyle w:val="17"/>
        <w:tabs>
          <w:tab w:val="left" w:pos="7380"/>
        </w:tabs>
        <w:spacing w:after="0" w:line="360" w:lineRule="auto"/>
        <w:ind w:firstLine="523" w:firstLineChars="218"/>
        <w:rPr>
          <w:rFonts w:hint="eastAsia" w:ascii="宋体" w:hAnsi="宋体"/>
          <w:color w:val="auto"/>
          <w:sz w:val="24"/>
          <w:szCs w:val="24"/>
          <w:highlight w:val="none"/>
        </w:rPr>
      </w:pPr>
      <w:r>
        <w:rPr>
          <w:rFonts w:hint="eastAsia" w:ascii="宋体" w:hAnsi="宋体"/>
          <w:color w:val="auto"/>
          <w:sz w:val="24"/>
          <w:szCs w:val="24"/>
          <w:highlight w:val="none"/>
        </w:rPr>
        <w:t>44.3资格审查、否决性条款审查</w:t>
      </w:r>
    </w:p>
    <w:p>
      <w:pPr>
        <w:pStyle w:val="17"/>
        <w:tabs>
          <w:tab w:val="left" w:pos="7380"/>
        </w:tabs>
        <w:spacing w:after="0" w:line="360" w:lineRule="auto"/>
        <w:ind w:firstLine="523" w:firstLineChars="218"/>
        <w:rPr>
          <w:rFonts w:hint="eastAsia" w:ascii="宋体" w:hAnsi="宋体"/>
          <w:color w:val="auto"/>
          <w:sz w:val="24"/>
          <w:szCs w:val="24"/>
          <w:highlight w:val="none"/>
        </w:rPr>
      </w:pPr>
      <w:r>
        <w:rPr>
          <w:rFonts w:hint="eastAsia" w:ascii="宋体" w:hAnsi="宋体"/>
          <w:color w:val="auto"/>
          <w:sz w:val="24"/>
          <w:szCs w:val="24"/>
          <w:highlight w:val="none"/>
        </w:rPr>
        <w:t>44.3.1评标委员会按资格审查的标准对所有递交投标文件的投标人进行审查，如资格审查合格的投标人不足3个时，应重新招标。</w:t>
      </w:r>
    </w:p>
    <w:p>
      <w:pPr>
        <w:pStyle w:val="17"/>
        <w:tabs>
          <w:tab w:val="left" w:pos="7380"/>
        </w:tabs>
        <w:spacing w:after="0" w:line="360" w:lineRule="auto"/>
        <w:ind w:firstLine="523" w:firstLineChars="218"/>
        <w:rPr>
          <w:rFonts w:hint="eastAsia" w:ascii="宋体" w:hAnsi="宋体"/>
          <w:color w:val="auto"/>
          <w:sz w:val="24"/>
          <w:szCs w:val="24"/>
          <w:highlight w:val="none"/>
        </w:rPr>
      </w:pPr>
      <w:r>
        <w:rPr>
          <w:rFonts w:hint="eastAsia" w:ascii="宋体" w:hAnsi="宋体"/>
          <w:color w:val="auto"/>
          <w:sz w:val="24"/>
          <w:szCs w:val="24"/>
          <w:highlight w:val="none"/>
        </w:rPr>
        <w:t>44.3.2如通过否决性条款审查的投标人少于3个时，应重新招标。</w:t>
      </w:r>
    </w:p>
    <w:p>
      <w:pPr>
        <w:pStyle w:val="17"/>
        <w:tabs>
          <w:tab w:val="left" w:pos="7380"/>
        </w:tabs>
        <w:spacing w:after="0" w:line="360" w:lineRule="auto"/>
        <w:ind w:firstLine="525" w:firstLineChars="218"/>
        <w:rPr>
          <w:rFonts w:hint="eastAsia" w:ascii="宋体" w:hAnsi="宋体"/>
          <w:b/>
          <w:color w:val="auto"/>
          <w:sz w:val="24"/>
          <w:szCs w:val="24"/>
          <w:highlight w:val="none"/>
        </w:rPr>
      </w:pPr>
      <w:r>
        <w:rPr>
          <w:rFonts w:hint="eastAsia" w:ascii="宋体" w:hAnsi="宋体"/>
          <w:b/>
          <w:color w:val="auto"/>
          <w:sz w:val="24"/>
          <w:szCs w:val="24"/>
          <w:highlight w:val="none"/>
        </w:rPr>
        <w:t>45.投标人资格审查</w:t>
      </w:r>
    </w:p>
    <w:p>
      <w:pPr>
        <w:pStyle w:val="17"/>
        <w:tabs>
          <w:tab w:val="left" w:pos="7380"/>
        </w:tabs>
        <w:spacing w:after="0" w:line="360" w:lineRule="auto"/>
        <w:ind w:firstLine="523" w:firstLineChars="218"/>
        <w:rPr>
          <w:rFonts w:hint="eastAsia" w:ascii="宋体" w:hAnsi="宋体"/>
          <w:color w:val="auto"/>
          <w:sz w:val="24"/>
          <w:szCs w:val="24"/>
          <w:highlight w:val="none"/>
        </w:rPr>
      </w:pPr>
      <w:r>
        <w:rPr>
          <w:rFonts w:hint="eastAsia" w:ascii="宋体" w:hAnsi="宋体"/>
          <w:color w:val="auto"/>
          <w:sz w:val="24"/>
          <w:szCs w:val="24"/>
          <w:highlight w:val="none"/>
        </w:rPr>
        <w:t>45.1资格审查采用电子化审查方式进行，评标委员会利用计算机系统对投标人递交的资格审查文件进行独立评审。</w:t>
      </w:r>
    </w:p>
    <w:p>
      <w:pPr>
        <w:pStyle w:val="17"/>
        <w:tabs>
          <w:tab w:val="left" w:pos="7380"/>
        </w:tabs>
        <w:spacing w:after="0" w:line="360" w:lineRule="auto"/>
        <w:ind w:firstLine="523" w:firstLineChars="218"/>
        <w:rPr>
          <w:rFonts w:hint="eastAsia" w:ascii="宋体" w:hAnsi="宋体"/>
          <w:color w:val="auto"/>
          <w:sz w:val="24"/>
          <w:szCs w:val="24"/>
          <w:highlight w:val="none"/>
        </w:rPr>
      </w:pPr>
      <w:r>
        <w:rPr>
          <w:rFonts w:hint="eastAsia" w:ascii="宋体" w:hAnsi="宋体"/>
          <w:color w:val="auto"/>
          <w:sz w:val="24"/>
          <w:szCs w:val="24"/>
          <w:highlight w:val="none"/>
        </w:rPr>
        <w:t>45.2《资格审查表》中序号2-5项（除广东省建筑施工企业管理人员安全生产考核信息系统安全生产管理人员证书信息的打印页、《信息公开证明》打印页外）评审内容的信息取自投标人在广州公共资源交易中心企业库、广州公共资源交易中心城市园林绿化企业工程业绩库中的资料。评标委员会对该部分内容的审查，以开标当天中午12时在广州公共资源交易中心企业库、广州公共资源交易中心城市园林绿化企业工程业绩库中的资料为依据。</w:t>
      </w:r>
    </w:p>
    <w:p>
      <w:pPr>
        <w:pStyle w:val="17"/>
        <w:tabs>
          <w:tab w:val="left" w:pos="7380"/>
        </w:tabs>
        <w:spacing w:after="0" w:line="360" w:lineRule="auto"/>
        <w:ind w:firstLine="523" w:firstLineChars="218"/>
        <w:rPr>
          <w:rFonts w:hint="eastAsia" w:ascii="宋体" w:hAnsi="宋体"/>
          <w:color w:val="auto"/>
          <w:sz w:val="24"/>
          <w:szCs w:val="24"/>
          <w:highlight w:val="none"/>
        </w:rPr>
      </w:pPr>
      <w:r>
        <w:rPr>
          <w:rFonts w:hint="eastAsia" w:ascii="宋体" w:hAnsi="宋体"/>
          <w:color w:val="auto"/>
          <w:sz w:val="24"/>
          <w:szCs w:val="24"/>
          <w:highlight w:val="none"/>
        </w:rPr>
        <w:t>45.3资格审查文件中全部符合《资格审查表》中情形的，为资格审查合格。否则为资格审查不合格，经评标委员会认定后，其投标文件不进入下一轮评审。如评标委员会成员的评审意见不一致时，可公开要求投标人进行澄清，并记录及由评标委员会、作出澄清的投标人签字确认，以评标委员会过半数成员的意见作为评标委员会对该情形的认定结论。</w:t>
      </w:r>
    </w:p>
    <w:p>
      <w:pPr>
        <w:pStyle w:val="17"/>
        <w:tabs>
          <w:tab w:val="left" w:pos="7380"/>
        </w:tabs>
        <w:spacing w:after="0" w:line="360" w:lineRule="auto"/>
        <w:ind w:firstLine="523" w:firstLineChars="218"/>
        <w:rPr>
          <w:rFonts w:hint="eastAsia" w:ascii="宋体" w:hAnsi="宋体"/>
          <w:color w:val="auto"/>
          <w:sz w:val="24"/>
          <w:szCs w:val="24"/>
          <w:highlight w:val="none"/>
        </w:rPr>
      </w:pPr>
      <w:r>
        <w:rPr>
          <w:rFonts w:hint="eastAsia" w:ascii="宋体" w:hAnsi="宋体"/>
          <w:color w:val="auto"/>
          <w:sz w:val="24"/>
          <w:szCs w:val="24"/>
          <w:highlight w:val="none"/>
        </w:rPr>
        <w:t>45.4汇总资格审查情况，编写资格审查报告。</w:t>
      </w:r>
    </w:p>
    <w:p>
      <w:pPr>
        <w:pStyle w:val="17"/>
        <w:tabs>
          <w:tab w:val="left" w:pos="7380"/>
        </w:tabs>
        <w:spacing w:after="0" w:line="360" w:lineRule="auto"/>
        <w:ind w:firstLine="523" w:firstLineChars="218"/>
        <w:rPr>
          <w:rFonts w:hint="eastAsia" w:ascii="宋体" w:hAnsi="宋体"/>
          <w:color w:val="auto"/>
          <w:sz w:val="24"/>
          <w:szCs w:val="24"/>
          <w:highlight w:val="none"/>
        </w:rPr>
      </w:pPr>
      <w:r>
        <w:rPr>
          <w:rFonts w:hint="eastAsia" w:ascii="宋体" w:hAnsi="宋体"/>
          <w:color w:val="auto"/>
          <w:sz w:val="24"/>
          <w:szCs w:val="24"/>
          <w:highlight w:val="none"/>
        </w:rPr>
        <w:t>45.5资格审查不合格及存在42.4条款情形的投标文件不参加评标，不参与评标参考价的计算。</w:t>
      </w:r>
    </w:p>
    <w:p>
      <w:pPr>
        <w:pStyle w:val="17"/>
        <w:tabs>
          <w:tab w:val="left" w:pos="7380"/>
        </w:tabs>
        <w:spacing w:after="0" w:line="360" w:lineRule="auto"/>
        <w:ind w:firstLine="523" w:firstLineChars="218"/>
        <w:rPr>
          <w:rFonts w:hint="eastAsia" w:ascii="宋体" w:hAnsi="宋体"/>
          <w:color w:val="auto"/>
          <w:sz w:val="24"/>
          <w:szCs w:val="24"/>
          <w:highlight w:val="none"/>
        </w:rPr>
      </w:pPr>
      <w:r>
        <w:rPr>
          <w:rFonts w:hint="eastAsia" w:ascii="宋体" w:hAnsi="宋体"/>
          <w:color w:val="auto"/>
          <w:sz w:val="24"/>
          <w:szCs w:val="24"/>
          <w:highlight w:val="none"/>
        </w:rPr>
        <w:t>45.6资格审查时，投标企业名称已经工商变更的，但企业及个人的资料未完成企业名称变更，仍然承认其有效；投标企业未及时办理变更手续的，招标人或招标代理机构应通报发证部门。</w:t>
      </w:r>
    </w:p>
    <w:p>
      <w:pPr>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特别声明：资审合格后，投标人的资格发生变化而不满足投标人资格条件，在发出中标通知书前，资格问题仍未解决的，招标人将取消其中标资格。</w:t>
      </w:r>
    </w:p>
    <w:p>
      <w:pPr>
        <w:spacing w:line="360" w:lineRule="auto"/>
        <w:ind w:firstLine="525" w:firstLineChars="218"/>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46.评标细则</w:t>
      </w:r>
    </w:p>
    <w:p>
      <w:pPr>
        <w:pStyle w:val="17"/>
        <w:tabs>
          <w:tab w:val="left" w:pos="7380"/>
        </w:tabs>
        <w:ind w:firstLine="523" w:firstLineChars="218"/>
        <w:rPr>
          <w:rFonts w:hint="eastAsia" w:ascii="宋体" w:hAnsi="宋体"/>
          <w:color w:val="auto"/>
          <w:sz w:val="24"/>
          <w:szCs w:val="24"/>
          <w:highlight w:val="none"/>
        </w:rPr>
      </w:pPr>
      <w:r>
        <w:rPr>
          <w:rFonts w:hint="eastAsia" w:ascii="宋体" w:hAnsi="宋体"/>
          <w:color w:val="auto"/>
          <w:sz w:val="24"/>
          <w:szCs w:val="24"/>
          <w:highlight w:val="none"/>
        </w:rPr>
        <w:t>46.1投标文件否决性条款审查</w:t>
      </w:r>
    </w:p>
    <w:p>
      <w:pPr>
        <w:pStyle w:val="17"/>
        <w:tabs>
          <w:tab w:val="left" w:pos="7380"/>
        </w:tabs>
        <w:spacing w:after="0" w:line="360" w:lineRule="auto"/>
        <w:ind w:firstLine="523" w:firstLineChars="218"/>
        <w:rPr>
          <w:rFonts w:hint="eastAsia" w:ascii="宋体" w:hAnsi="宋体"/>
          <w:color w:val="auto"/>
          <w:sz w:val="24"/>
          <w:szCs w:val="24"/>
          <w:highlight w:val="none"/>
        </w:rPr>
      </w:pPr>
      <w:r>
        <w:rPr>
          <w:rFonts w:hint="eastAsia" w:ascii="宋体" w:hAnsi="宋体"/>
          <w:color w:val="auto"/>
          <w:sz w:val="24"/>
          <w:szCs w:val="24"/>
          <w:highlight w:val="none"/>
        </w:rPr>
        <w:t>46.1.1投标报价算术复核。评标委员会将对进行否决性条款审查的投标文件投标报价按照就低不就高的原则进行算术复核，具体标准如下：</w:t>
      </w:r>
    </w:p>
    <w:p>
      <w:pPr>
        <w:pStyle w:val="17"/>
        <w:tabs>
          <w:tab w:val="left" w:pos="7380"/>
        </w:tabs>
        <w:spacing w:after="0" w:line="360" w:lineRule="auto"/>
        <w:ind w:firstLine="523" w:firstLineChars="218"/>
        <w:rPr>
          <w:rFonts w:hint="eastAsia" w:ascii="宋体" w:hAnsi="宋体"/>
          <w:color w:val="auto"/>
          <w:sz w:val="24"/>
          <w:szCs w:val="24"/>
          <w:highlight w:val="none"/>
        </w:rPr>
      </w:pPr>
      <w:r>
        <w:rPr>
          <w:rFonts w:hint="eastAsia" w:ascii="宋体" w:hAnsi="宋体"/>
          <w:color w:val="auto"/>
          <w:sz w:val="24"/>
          <w:szCs w:val="24"/>
          <w:highlight w:val="none"/>
        </w:rPr>
        <w:t>46.1.1.1数字表述的金额和用文字表述的金额不一致时，应以文字表述的金额为准。</w:t>
      </w:r>
    </w:p>
    <w:p>
      <w:pPr>
        <w:pStyle w:val="17"/>
        <w:tabs>
          <w:tab w:val="left" w:pos="7380"/>
        </w:tabs>
        <w:spacing w:after="0" w:line="360" w:lineRule="auto"/>
        <w:ind w:firstLine="523" w:firstLineChars="218"/>
        <w:rPr>
          <w:rFonts w:hint="eastAsia" w:ascii="宋体" w:hAnsi="宋体"/>
          <w:color w:val="auto"/>
          <w:sz w:val="24"/>
          <w:szCs w:val="24"/>
          <w:highlight w:val="none"/>
        </w:rPr>
      </w:pPr>
      <w:r>
        <w:rPr>
          <w:rFonts w:hint="eastAsia" w:ascii="宋体" w:hAnsi="宋体"/>
          <w:color w:val="auto"/>
          <w:sz w:val="24"/>
          <w:szCs w:val="24"/>
          <w:highlight w:val="none"/>
        </w:rPr>
        <w:t>46.1.1.2经算术复核的投标人报价与其投标报价不一致时，按就低不就高原则确定其最终报价。</w:t>
      </w:r>
    </w:p>
    <w:p>
      <w:pPr>
        <w:pStyle w:val="17"/>
        <w:tabs>
          <w:tab w:val="left" w:pos="7380"/>
        </w:tabs>
        <w:spacing w:after="0" w:line="360" w:lineRule="auto"/>
        <w:ind w:firstLine="523" w:firstLineChars="218"/>
        <w:rPr>
          <w:rFonts w:hint="eastAsia" w:ascii="宋体" w:hAnsi="宋体"/>
          <w:color w:val="auto"/>
          <w:sz w:val="24"/>
          <w:szCs w:val="24"/>
          <w:highlight w:val="none"/>
        </w:rPr>
      </w:pPr>
      <w:r>
        <w:rPr>
          <w:rFonts w:hint="eastAsia" w:ascii="宋体" w:hAnsi="宋体"/>
          <w:color w:val="auto"/>
          <w:sz w:val="24"/>
          <w:szCs w:val="24"/>
          <w:highlight w:val="none"/>
        </w:rPr>
        <w:t>46.1.1.3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pStyle w:val="17"/>
        <w:tabs>
          <w:tab w:val="left" w:pos="7380"/>
        </w:tabs>
        <w:spacing w:after="0" w:line="360" w:lineRule="auto"/>
        <w:ind w:firstLine="523" w:firstLineChars="218"/>
        <w:rPr>
          <w:rFonts w:hint="eastAsia" w:ascii="宋体" w:hAnsi="宋体"/>
          <w:color w:val="auto"/>
          <w:sz w:val="24"/>
          <w:szCs w:val="24"/>
          <w:highlight w:val="none"/>
        </w:rPr>
      </w:pPr>
      <w:r>
        <w:rPr>
          <w:rFonts w:hint="eastAsia" w:ascii="宋体" w:hAnsi="宋体"/>
          <w:color w:val="auto"/>
          <w:sz w:val="24"/>
          <w:szCs w:val="24"/>
          <w:highlight w:val="none"/>
        </w:rPr>
        <w:t>46.1.1.4当合价、金额累加错误时，按就低不就高原则，如果累加修正值小于原累加值，则按累加修正值；如果累加修正值大于原累加值，则按原累加值。</w:t>
      </w:r>
    </w:p>
    <w:p>
      <w:pPr>
        <w:pStyle w:val="17"/>
        <w:tabs>
          <w:tab w:val="left" w:pos="7380"/>
        </w:tabs>
        <w:spacing w:after="0" w:line="360" w:lineRule="auto"/>
        <w:ind w:firstLine="523" w:firstLineChars="218"/>
        <w:rPr>
          <w:rFonts w:hint="eastAsia" w:ascii="宋体" w:hAnsi="宋体"/>
          <w:color w:val="auto"/>
          <w:sz w:val="24"/>
          <w:szCs w:val="24"/>
          <w:highlight w:val="none"/>
        </w:rPr>
      </w:pPr>
      <w:r>
        <w:rPr>
          <w:rFonts w:hint="eastAsia" w:ascii="宋体" w:hAnsi="宋体"/>
          <w:color w:val="auto"/>
          <w:sz w:val="24"/>
          <w:szCs w:val="24"/>
          <w:highlight w:val="none"/>
        </w:rPr>
        <w:t>46.1.1.5如果投标人的有关规费、所有暂列金额、暂估价等未按招标文件规定的金额填写的，由评标委员会按照招标文件规定的金额进行修正。</w:t>
      </w:r>
    </w:p>
    <w:p>
      <w:pPr>
        <w:pStyle w:val="17"/>
        <w:tabs>
          <w:tab w:val="left" w:pos="7380"/>
        </w:tabs>
        <w:spacing w:after="0" w:line="360" w:lineRule="auto"/>
        <w:ind w:firstLine="523" w:firstLineChars="218"/>
        <w:rPr>
          <w:rFonts w:hint="eastAsia" w:ascii="宋体" w:hAnsi="宋体"/>
          <w:color w:val="auto"/>
          <w:sz w:val="24"/>
          <w:szCs w:val="24"/>
          <w:highlight w:val="none"/>
        </w:rPr>
      </w:pPr>
      <w:r>
        <w:rPr>
          <w:rFonts w:hint="eastAsia" w:ascii="宋体" w:hAnsi="宋体"/>
          <w:color w:val="auto"/>
          <w:sz w:val="24"/>
          <w:szCs w:val="24"/>
          <w:highlight w:val="none"/>
        </w:rPr>
        <w:t>46.1.1.6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pStyle w:val="17"/>
        <w:tabs>
          <w:tab w:val="left" w:pos="7380"/>
        </w:tabs>
        <w:spacing w:after="0" w:line="360" w:lineRule="auto"/>
        <w:ind w:firstLine="523" w:firstLineChars="218"/>
        <w:rPr>
          <w:rFonts w:hint="eastAsia" w:ascii="宋体" w:hAnsi="宋体"/>
          <w:color w:val="auto"/>
          <w:sz w:val="24"/>
          <w:szCs w:val="24"/>
          <w:highlight w:val="none"/>
        </w:rPr>
      </w:pPr>
      <w:r>
        <w:rPr>
          <w:rFonts w:hint="eastAsia" w:ascii="宋体" w:hAnsi="宋体"/>
          <w:color w:val="auto"/>
          <w:sz w:val="24"/>
          <w:szCs w:val="24"/>
          <w:highlight w:val="none"/>
        </w:rPr>
        <w:t>46.1.1.7按就低不就高原则，当修正后报价小于原报价，总价按修正后报价；当修正后报价大于原报价，总价按原报价，并在签订合同时载明在结算价中扣除修正报价与原报价的差额。</w:t>
      </w:r>
    </w:p>
    <w:p>
      <w:pPr>
        <w:pStyle w:val="17"/>
        <w:tabs>
          <w:tab w:val="left" w:pos="7380"/>
        </w:tabs>
        <w:spacing w:after="0" w:line="360" w:lineRule="auto"/>
        <w:ind w:firstLine="523" w:firstLineChars="218"/>
        <w:rPr>
          <w:rFonts w:hint="eastAsia" w:ascii="宋体" w:hAnsi="宋体"/>
          <w:color w:val="auto"/>
          <w:sz w:val="24"/>
          <w:szCs w:val="24"/>
          <w:highlight w:val="none"/>
        </w:rPr>
      </w:pPr>
      <w:r>
        <w:rPr>
          <w:rFonts w:hint="eastAsia" w:ascii="宋体" w:hAnsi="宋体"/>
          <w:color w:val="auto"/>
          <w:sz w:val="24"/>
          <w:szCs w:val="24"/>
          <w:highlight w:val="none"/>
        </w:rPr>
        <w:t>46.1.1.8</w:t>
      </w:r>
      <w:r>
        <w:rPr>
          <w:rFonts w:hint="eastAsia" w:ascii="宋体" w:hAnsi="宋体"/>
          <w:color w:val="auto"/>
          <w:sz w:val="24"/>
          <w:szCs w:val="24"/>
          <w:highlight w:val="none"/>
          <w:u w:val="single"/>
        </w:rPr>
        <w:t>按上述修正错误的原则及方法调整或修正投标文件的投标报价，调整后的投标报价对投标人起约束作用。如果投标人不接受修正后的报价，则取消其投标资格。</w:t>
      </w:r>
      <w:r>
        <w:rPr>
          <w:rFonts w:hint="eastAsia" w:ascii="宋体" w:hAnsi="宋体"/>
          <w:color w:val="auto"/>
          <w:sz w:val="24"/>
          <w:szCs w:val="24"/>
          <w:highlight w:val="none"/>
        </w:rPr>
        <w:t>以上修正不影响修正前按步骤确定的投标人排序。</w:t>
      </w:r>
    </w:p>
    <w:p>
      <w:pPr>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46.1.2在评标过程中，评标委员会发现投标人的报价明显低于其他投标报价或者在设有成本警示价时明显低于成本警示价，使得其投标报价可能低于其个别成本的，应当要求该投标人作出书面说明并提供相关证明材料。投标人不能合理说明或者不能提供相关证明材料的，由评标委员会认定该投标人低于成本报价竞标，应当否决其投标。</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46.1.3对资格审查合格的投标人进行否决性条款审查，包括串通投标情形的核查、澄清及认定（如有）。投标文件中出现《投标文件否决性条款审查表》中任何一种情形的，评标委员会应否决其投标。如评标委员会成员的评审意见不一致时，以评标委员会过半数成员的意见作为评标委员会对该情形的认定结论。</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如投标文件评审过程中，投标文件属于串通投标情形之一的（见《投标人串通投标评审表》），</w:t>
      </w:r>
      <w:r>
        <w:rPr>
          <w:rFonts w:ascii="宋体" w:hAnsi="宋体" w:eastAsia="宋体"/>
          <w:color w:val="auto"/>
          <w:sz w:val="24"/>
          <w:szCs w:val="24"/>
          <w:highlight w:val="none"/>
        </w:rPr>
        <w:t>评标委员会</w:t>
      </w:r>
      <w:r>
        <w:rPr>
          <w:rFonts w:hint="eastAsia" w:ascii="宋体" w:hAnsi="宋体" w:eastAsia="宋体"/>
          <w:color w:val="auto"/>
          <w:sz w:val="24"/>
          <w:szCs w:val="24"/>
          <w:highlight w:val="none"/>
        </w:rPr>
        <w:t>应参考投标人的澄清，按招标文件评标办法中《投标人串通投标评审表》的规定进行评审。</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46.2技术部分（施工组织方案）否决性审查：对投标文件否决性条款审查合格的投标人进行技术部分（施工组织方案）否决性审查。投标文件中出现《技术部分（施工组织方案）文件否决性条款审查表》中任何一种情形的，评标委员会应否决其投标。如评标委员会成员的评审意见不一致时，以评标委员会过半数成员的意见作为评标委员会对该情形的认定结论。</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46.3技术部分（施工组织方案）审查评分：评标委员会按照《技术部分（施工组织方案）审查评分表》的标准，对通过否决性条款审查的投标文件进行技术部分（施工组织方案）审查，评出技术部分（施工组织方案）得分。</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46.4在评标委员会全体成员均完成暗标评审和汇总后，由评标委员会确定投标人与暗标编号的对应关系，并在技术部分（施工组织方案）标号确认表上签字确认。</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46.5技术部分（项目实施能力）审查评分：评标委员会按照《技术部分（项目实施能力）审查评分表》的标准，对通过否决性条款审查的投标文件进行详细审查，评出技术部分（项目实施能力）得分。</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46.6对通过否决性条款审查的投标人的投标报价进行评分</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46.6.1以通过否决性条款审查的投标人中，随机抽取一半数量（四舍五入取整数）的投标报价，取其算术平均值下浮X作为评标参考价。（例：通过否决性条款审查的投标人的报价为3家，随机抽取2家投标人报价的算术平均值下浮X作为评标参考价。）</w:t>
      </w:r>
    </w:p>
    <w:p>
      <w:pP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46.6.2当报价等于评标参考价时得100分，报价每高于评标参考价1%，扣1.5分，每低于评标参考价1%，扣1分，扣至0分为止，得出报价得分，得分按四舍五入的原则保留两位小数。</w:t>
      </w:r>
    </w:p>
    <w:p>
      <w:pPr>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46.7计算通过否决性条款审查的投标人综合得分</w:t>
      </w:r>
    </w:p>
    <w:p>
      <w:pPr>
        <w:spacing w:line="360" w:lineRule="auto"/>
        <w:ind w:firstLine="523" w:firstLineChars="218"/>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46.7.1权重分配：技术部分（施工组织方案）得分权重</w:t>
      </w:r>
      <w:r>
        <w:rPr>
          <w:rFonts w:hint="eastAsia" w:ascii="宋体" w:hAnsi="宋体" w:eastAsia="宋体"/>
          <w:color w:val="auto"/>
          <w:sz w:val="24"/>
          <w:szCs w:val="24"/>
          <w:highlight w:val="none"/>
          <w:u w:val="single"/>
          <w:lang w:val="en-US" w:eastAsia="zh-CN"/>
        </w:rPr>
        <w:t>5</w:t>
      </w:r>
      <w:r>
        <w:rPr>
          <w:rFonts w:hint="eastAsia" w:ascii="宋体" w:hAnsi="宋体" w:eastAsia="宋体"/>
          <w:color w:val="auto"/>
          <w:sz w:val="24"/>
          <w:szCs w:val="24"/>
          <w:highlight w:val="none"/>
          <w:u w:val="single"/>
        </w:rPr>
        <w:t>%，技术部分（项目实施能力）得分权重</w:t>
      </w:r>
      <w:r>
        <w:rPr>
          <w:rFonts w:hint="eastAsia" w:ascii="宋体" w:hAnsi="宋体" w:eastAsia="宋体"/>
          <w:color w:val="auto"/>
          <w:sz w:val="24"/>
          <w:szCs w:val="24"/>
          <w:highlight w:val="none"/>
          <w:u w:val="single"/>
          <w:lang w:val="en-US" w:eastAsia="zh-CN"/>
        </w:rPr>
        <w:t>15</w:t>
      </w:r>
      <w:r>
        <w:rPr>
          <w:rFonts w:hint="eastAsia" w:ascii="宋体" w:hAnsi="宋体" w:eastAsia="宋体"/>
          <w:color w:val="auto"/>
          <w:sz w:val="24"/>
          <w:szCs w:val="24"/>
          <w:highlight w:val="none"/>
          <w:u w:val="single"/>
        </w:rPr>
        <w:t>%，报价得分权重</w:t>
      </w:r>
      <w:r>
        <w:rPr>
          <w:rFonts w:hint="eastAsia" w:ascii="宋体" w:hAnsi="宋体" w:eastAsia="宋体"/>
          <w:color w:val="auto"/>
          <w:sz w:val="24"/>
          <w:szCs w:val="24"/>
          <w:highlight w:val="none"/>
          <w:u w:val="single"/>
          <w:lang w:val="en-US" w:eastAsia="zh-CN"/>
        </w:rPr>
        <w:t>80</w:t>
      </w:r>
      <w:r>
        <w:rPr>
          <w:rFonts w:hint="eastAsia" w:ascii="宋体" w:hAnsi="宋体" w:eastAsia="宋体"/>
          <w:color w:val="auto"/>
          <w:sz w:val="24"/>
          <w:szCs w:val="24"/>
          <w:highlight w:val="none"/>
          <w:u w:val="single"/>
        </w:rPr>
        <w:t>%，诚信综合评价得分权重</w:t>
      </w:r>
      <w:r>
        <w:rPr>
          <w:rFonts w:hint="eastAsia" w:ascii="宋体" w:hAnsi="宋体" w:eastAsia="宋体"/>
          <w:color w:val="auto"/>
          <w:sz w:val="24"/>
          <w:szCs w:val="24"/>
          <w:highlight w:val="none"/>
          <w:u w:val="single"/>
          <w:lang w:val="en-US" w:eastAsia="zh-CN"/>
        </w:rPr>
        <w:t>0</w:t>
      </w:r>
      <w:r>
        <w:rPr>
          <w:rFonts w:hint="eastAsia" w:ascii="宋体" w:hAnsi="宋体" w:eastAsia="宋体"/>
          <w:color w:val="auto"/>
          <w:sz w:val="24"/>
          <w:szCs w:val="24"/>
          <w:highlight w:val="none"/>
          <w:u w:val="single"/>
        </w:rPr>
        <w:t>%。</w:t>
      </w:r>
    </w:p>
    <w:p>
      <w:pPr>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特殊性工程、复杂和大型工程，技术部分（施工组织方案）得分权重不少于10%，报价得分权重不少于60%，诚信综合评价得分权重占0%-25%；其他工程，技术部分（施工组织方案）得分权重不少于5%，报价得分权重不少于80%，诚信综合评价得分权重占0-10%。技术部分（项目实施能力）权重=100-技术部分（施工组织方案）得分权重-报价得分权重-诚信综合评价得分权重。企业诚信综合评价得分，以开标当天广州公共资源交易中心网站上公布的广州市园林绿化企业诚信综合评价体系得分为准。</w:t>
      </w:r>
    </w:p>
    <w:p>
      <w:pPr>
        <w:spacing w:line="360" w:lineRule="auto"/>
        <w:ind w:firstLine="523" w:firstLineChars="218"/>
        <w:rPr>
          <w:rFonts w:ascii="宋体" w:hAnsi="宋体" w:eastAsia="宋体"/>
          <w:color w:val="auto"/>
          <w:sz w:val="24"/>
          <w:szCs w:val="24"/>
          <w:highlight w:val="none"/>
        </w:rPr>
      </w:pPr>
      <w:r>
        <w:rPr>
          <w:rFonts w:hint="eastAsia" w:ascii="宋体" w:hAnsi="宋体" w:eastAsia="宋体"/>
          <w:color w:val="auto"/>
          <w:sz w:val="24"/>
          <w:szCs w:val="24"/>
          <w:highlight w:val="none"/>
        </w:rPr>
        <w:t>46.7.2投标人综合得分=技术部分（施工组织方案）得分×技术部分（施工组织方案）得分权重+技术部分（项目实施能力）得分×技术部分（项目实施能力）得分权重+报价得分×报价得分权重+诚信综合评价排名得分×诚信综合评价排名得分权重。投标人综合得分、技术部分（施工组织方案）得分、技术部分（项目实施能力）得分、报价得分和诚信综合评价排名得分满分为100分。</w:t>
      </w:r>
    </w:p>
    <w:p>
      <w:pPr>
        <w:snapToGrid w:val="0"/>
        <w:spacing w:line="360" w:lineRule="auto"/>
        <w:ind w:firstLine="523" w:firstLineChars="218"/>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46.8评标委员会按照各有效投标人的综合得分从高到低排列先后次序。综合得分相同的，以诚信综合评价排名靠前的排前；如仍存在相同情况，则对具有相同情况的投标人，按中标候选人数量规定，由评标委员会采用随机抽取方式，确定中标候选人的排序。</w:t>
      </w:r>
    </w:p>
    <w:p>
      <w:pPr>
        <w:pStyle w:val="17"/>
        <w:tabs>
          <w:tab w:val="left" w:pos="7380"/>
        </w:tabs>
        <w:spacing w:after="0" w:line="360" w:lineRule="auto"/>
        <w:ind w:firstLine="523" w:firstLineChars="218"/>
        <w:rPr>
          <w:rFonts w:hint="eastAsia" w:ascii="宋体" w:hAnsi="宋体"/>
          <w:color w:val="auto"/>
          <w:sz w:val="24"/>
          <w:szCs w:val="24"/>
          <w:highlight w:val="none"/>
        </w:rPr>
      </w:pPr>
      <w:r>
        <w:rPr>
          <w:rFonts w:hint="eastAsia" w:ascii="宋体" w:hAnsi="宋体"/>
          <w:color w:val="auto"/>
          <w:sz w:val="24"/>
          <w:szCs w:val="24"/>
          <w:highlight w:val="none"/>
        </w:rPr>
        <w:t>46.9评标结束后，评标委员会按照第41条要求向招标人推荐中标候选人，并编制评标报告。评标报告由评标委员会全体签名，对评标结论有异议的评标委员会成员可以书面阐述其不同意见和理由。评标委员会在评标报告提交后随即解散，评标过程中使用的文件、表格以及其他资料应当及时归还招标人（或招标代理）。</w:t>
      </w:r>
    </w:p>
    <w:p>
      <w:pPr>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46.10资格审查合格的投标申请人或通过否决定性条款审查的投标人少于3个的，应修正招标方案，重新招标（当N个标段同时招标且不允许兼中时，资格审查合格的投标申请人或有效投标人少于N+2个的，应修正招标方案，重新招标）。</w:t>
      </w:r>
    </w:p>
    <w:p>
      <w:pPr>
        <w:spacing w:line="360" w:lineRule="auto"/>
        <w:ind w:firstLine="523" w:firstLineChars="218"/>
        <w:rPr>
          <w:rFonts w:hint="eastAsia" w:ascii="宋体" w:hAnsi="宋体" w:eastAsia="宋体"/>
          <w:color w:val="auto"/>
          <w:sz w:val="24"/>
          <w:szCs w:val="24"/>
          <w:highlight w:val="none"/>
        </w:rPr>
        <w:sectPr>
          <w:footerReference r:id="rId5" w:type="default"/>
          <w:endnotePr>
            <w:numFmt w:val="decimal"/>
          </w:endnotePr>
          <w:pgSz w:w="11850" w:h="16783"/>
          <w:pgMar w:top="1417" w:right="1418" w:bottom="1417" w:left="1418" w:header="851" w:footer="907" w:gutter="0"/>
          <w:pgNumType w:fmt="decimal"/>
          <w:cols w:space="720" w:num="1"/>
        </w:sectPr>
      </w:pPr>
    </w:p>
    <w:p>
      <w:pPr>
        <w:spacing w:line="360" w:lineRule="auto"/>
        <w:outlineLvl w:val="2"/>
        <w:rPr>
          <w:rFonts w:ascii="宋体" w:hAnsi="宋体" w:eastAsia="宋体"/>
          <w:color w:val="auto"/>
          <w:sz w:val="24"/>
          <w:szCs w:val="24"/>
          <w:highlight w:val="none"/>
        </w:rPr>
      </w:pPr>
      <w:bookmarkStart w:id="194" w:name="_Toc10355"/>
      <w:bookmarkStart w:id="195" w:name="_Toc21426"/>
      <w:r>
        <w:rPr>
          <w:rFonts w:hint="eastAsia" w:ascii="宋体" w:hAnsi="宋体" w:eastAsia="宋体"/>
          <w:color w:val="auto"/>
          <w:sz w:val="24"/>
          <w:szCs w:val="24"/>
          <w:highlight w:val="none"/>
        </w:rPr>
        <w:t>附件1</w:t>
      </w:r>
      <w:bookmarkEnd w:id="194"/>
      <w:bookmarkEnd w:id="195"/>
    </w:p>
    <w:p>
      <w:pPr>
        <w:ind w:right="-437" w:rightChars="-208"/>
        <w:jc w:val="center"/>
        <w:rPr>
          <w:rFonts w:hint="eastAsia" w:ascii="宋体" w:hAnsi="宋体" w:eastAsia="宋体"/>
          <w:b/>
          <w:color w:val="auto"/>
          <w:sz w:val="32"/>
          <w:szCs w:val="32"/>
          <w:highlight w:val="none"/>
        </w:rPr>
      </w:pPr>
      <w:r>
        <w:rPr>
          <w:rFonts w:hint="eastAsia" w:ascii="宋体" w:hAnsi="宋体" w:eastAsia="宋体"/>
          <w:b/>
          <w:color w:val="auto"/>
          <w:sz w:val="32"/>
          <w:szCs w:val="32"/>
          <w:highlight w:val="none"/>
        </w:rPr>
        <w:t>开标记录表</w:t>
      </w:r>
    </w:p>
    <w:p>
      <w:pPr>
        <w:jc w:val="center"/>
        <w:rPr>
          <w:rFonts w:hint="eastAsia" w:ascii="宋体" w:hAnsi="宋体" w:eastAsia="宋体"/>
          <w:b/>
          <w:color w:val="auto"/>
          <w:szCs w:val="21"/>
          <w:highlight w:val="none"/>
        </w:rPr>
      </w:pPr>
    </w:p>
    <w:p>
      <w:pPr>
        <w:rPr>
          <w:rFonts w:hint="eastAsia" w:ascii="宋体" w:hAnsi="宋体" w:eastAsia="宋体"/>
          <w:color w:val="auto"/>
          <w:szCs w:val="21"/>
          <w:highlight w:val="none"/>
        </w:rPr>
      </w:pPr>
      <w:r>
        <w:rPr>
          <w:rFonts w:hint="eastAsia" w:ascii="宋体" w:hAnsi="宋体" w:eastAsia="宋体"/>
          <w:color w:val="auto"/>
          <w:szCs w:val="21"/>
          <w:highlight w:val="none"/>
        </w:rPr>
        <w:t>开标地点：                                                                        开标时间：   年   月   日   时   分</w:t>
      </w:r>
    </w:p>
    <w:p>
      <w:pPr>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评标参考价下浮点数：   %                                                          最高投标限价：          （元）</w:t>
      </w:r>
    </w:p>
    <w:p>
      <w:pPr>
        <w:spacing w:line="360" w:lineRule="auto"/>
        <w:rPr>
          <w:rFonts w:hint="eastAsia" w:ascii="宋体" w:hAnsi="宋体" w:eastAsia="宋体"/>
          <w:color w:val="auto"/>
          <w:szCs w:val="21"/>
          <w:highlight w:val="none"/>
        </w:rPr>
      </w:pPr>
    </w:p>
    <w:tbl>
      <w:tblPr>
        <w:tblStyle w:val="18"/>
        <w:tblW w:w="14904" w:type="dxa"/>
        <w:tblInd w:w="0" w:type="dxa"/>
        <w:tblLayout w:type="fixed"/>
        <w:tblCellMar>
          <w:top w:w="0" w:type="dxa"/>
          <w:left w:w="0" w:type="dxa"/>
          <w:bottom w:w="0" w:type="dxa"/>
          <w:right w:w="0" w:type="dxa"/>
        </w:tblCellMar>
      </w:tblPr>
      <w:tblGrid>
        <w:gridCol w:w="706"/>
        <w:gridCol w:w="803"/>
        <w:gridCol w:w="1101"/>
        <w:gridCol w:w="870"/>
        <w:gridCol w:w="870"/>
        <w:gridCol w:w="769"/>
        <w:gridCol w:w="803"/>
        <w:gridCol w:w="627"/>
        <w:gridCol w:w="611"/>
        <w:gridCol w:w="767"/>
        <w:gridCol w:w="855"/>
        <w:gridCol w:w="1116"/>
        <w:gridCol w:w="768"/>
        <w:gridCol w:w="785"/>
        <w:gridCol w:w="942"/>
        <w:gridCol w:w="784"/>
        <w:gridCol w:w="768"/>
        <w:gridCol w:w="959"/>
      </w:tblGrid>
      <w:tr>
        <w:tblPrEx>
          <w:tblCellMar>
            <w:top w:w="0" w:type="dxa"/>
            <w:left w:w="0" w:type="dxa"/>
            <w:bottom w:w="0" w:type="dxa"/>
            <w:right w:w="0" w:type="dxa"/>
          </w:tblCellMar>
        </w:tblPrEx>
        <w:trPr>
          <w:trHeight w:val="780" w:hRule="atLeast"/>
        </w:trPr>
        <w:tc>
          <w:tcPr>
            <w:tcW w:w="70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80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投标人名称</w:t>
            </w:r>
          </w:p>
        </w:tc>
        <w:tc>
          <w:tcPr>
            <w:tcW w:w="11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投标文件是否解密</w:t>
            </w:r>
          </w:p>
        </w:tc>
        <w:tc>
          <w:tcPr>
            <w:tcW w:w="8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电子标书递交是否成功</w:t>
            </w:r>
          </w:p>
        </w:tc>
        <w:tc>
          <w:tcPr>
            <w:tcW w:w="8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法定代表人证明书及授权委托书</w:t>
            </w:r>
          </w:p>
        </w:tc>
        <w:tc>
          <w:tcPr>
            <w:tcW w:w="76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项目负责人</w:t>
            </w:r>
          </w:p>
        </w:tc>
        <w:tc>
          <w:tcPr>
            <w:tcW w:w="80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专职安全员</w:t>
            </w:r>
          </w:p>
        </w:tc>
        <w:tc>
          <w:tcPr>
            <w:tcW w:w="123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strike/>
                <w:dstrike w:val="0"/>
                <w:color w:val="auto"/>
                <w:kern w:val="0"/>
                <w:szCs w:val="21"/>
                <w:highlight w:val="none"/>
                <w:lang w:bidi="ar"/>
              </w:rPr>
              <w:t>投标保证金（元）</w:t>
            </w:r>
          </w:p>
        </w:tc>
        <w:tc>
          <w:tcPr>
            <w:tcW w:w="7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投标总报价（元）</w:t>
            </w:r>
          </w:p>
        </w:tc>
        <w:tc>
          <w:tcPr>
            <w:tcW w:w="8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其中：人工费（元）</w:t>
            </w:r>
          </w:p>
        </w:tc>
        <w:tc>
          <w:tcPr>
            <w:tcW w:w="111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其中：绿色施工安全防护措施费（元）</w:t>
            </w:r>
          </w:p>
        </w:tc>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总工期</w:t>
            </w:r>
          </w:p>
        </w:tc>
        <w:tc>
          <w:tcPr>
            <w:tcW w:w="78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工程质量标准</w:t>
            </w:r>
          </w:p>
        </w:tc>
        <w:tc>
          <w:tcPr>
            <w:tcW w:w="9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施工组织设计承诺书</w:t>
            </w:r>
          </w:p>
        </w:tc>
        <w:tc>
          <w:tcPr>
            <w:tcW w:w="78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是否有效投标</w:t>
            </w:r>
          </w:p>
        </w:tc>
        <w:tc>
          <w:tcPr>
            <w:tcW w:w="76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无效原因</w:t>
            </w:r>
          </w:p>
        </w:tc>
        <w:tc>
          <w:tcPr>
            <w:tcW w:w="95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投标人签名确认</w:t>
            </w:r>
          </w:p>
        </w:tc>
      </w:tr>
      <w:tr>
        <w:tblPrEx>
          <w:tblCellMar>
            <w:top w:w="0" w:type="dxa"/>
            <w:left w:w="0" w:type="dxa"/>
            <w:bottom w:w="0" w:type="dxa"/>
            <w:right w:w="0" w:type="dxa"/>
          </w:tblCellMar>
        </w:tblPrEx>
        <w:trPr>
          <w:trHeight w:val="1020" w:hRule="atLeast"/>
        </w:trPr>
        <w:tc>
          <w:tcPr>
            <w:tcW w:w="7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0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trike/>
                <w:dstrike w:val="0"/>
                <w:color w:val="auto"/>
                <w:szCs w:val="21"/>
                <w:highlight w:val="none"/>
              </w:rPr>
            </w:pPr>
            <w:r>
              <w:rPr>
                <w:rFonts w:hint="eastAsia" w:ascii="宋体" w:hAnsi="宋体" w:eastAsia="宋体" w:cs="宋体"/>
                <w:strike/>
                <w:dstrike w:val="0"/>
                <w:color w:val="auto"/>
                <w:kern w:val="0"/>
                <w:szCs w:val="21"/>
                <w:highlight w:val="none"/>
                <w:lang w:bidi="ar"/>
              </w:rPr>
              <w:t>缴纳方式</w:t>
            </w: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trike/>
                <w:dstrike w:val="0"/>
                <w:color w:val="auto"/>
                <w:szCs w:val="21"/>
                <w:highlight w:val="none"/>
              </w:rPr>
            </w:pPr>
            <w:r>
              <w:rPr>
                <w:rFonts w:hint="eastAsia" w:ascii="宋体" w:hAnsi="宋体" w:eastAsia="宋体" w:cs="宋体"/>
                <w:strike/>
                <w:dstrike w:val="0"/>
                <w:color w:val="auto"/>
                <w:kern w:val="0"/>
                <w:szCs w:val="21"/>
                <w:highlight w:val="none"/>
                <w:lang w:bidi="ar"/>
              </w:rPr>
              <w:t>金额</w:t>
            </w:r>
          </w:p>
        </w:tc>
        <w:tc>
          <w:tcPr>
            <w:tcW w:w="7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1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8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6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5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tblPrEx>
          <w:tblCellMar>
            <w:top w:w="0" w:type="dxa"/>
            <w:left w:w="0" w:type="dxa"/>
            <w:bottom w:w="0" w:type="dxa"/>
            <w:right w:w="0" w:type="dxa"/>
          </w:tblCellMar>
        </w:tblPrEx>
        <w:trPr>
          <w:trHeight w:val="285" w:hRule="atLeast"/>
        </w:trPr>
        <w:tc>
          <w:tcPr>
            <w:tcW w:w="7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11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7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9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bl>
    <w:p>
      <w:pPr>
        <w:rPr>
          <w:rFonts w:hint="eastAsia" w:ascii="宋体" w:hAnsi="宋体" w:eastAsia="宋体"/>
          <w:color w:val="auto"/>
          <w:szCs w:val="21"/>
          <w:highlight w:val="none"/>
        </w:rPr>
      </w:pPr>
    </w:p>
    <w:p>
      <w:pPr>
        <w:rPr>
          <w:rFonts w:hint="eastAsia" w:ascii="宋体" w:hAnsi="宋体" w:eastAsia="宋体"/>
          <w:color w:val="auto"/>
          <w:szCs w:val="21"/>
          <w:highlight w:val="none"/>
        </w:rPr>
      </w:pPr>
      <w:r>
        <w:rPr>
          <w:rFonts w:hint="eastAsia" w:ascii="宋体" w:hAnsi="宋体" w:eastAsia="宋体"/>
          <w:color w:val="auto"/>
          <w:szCs w:val="21"/>
          <w:highlight w:val="none"/>
        </w:rPr>
        <w:t>注：本表部分信息源自《广州园林绿化工程施工招标投标书》。</w:t>
      </w:r>
    </w:p>
    <w:p>
      <w:pPr>
        <w:rPr>
          <w:rFonts w:hint="eastAsia" w:ascii="宋体" w:hAnsi="宋体" w:eastAsia="宋体"/>
          <w:color w:val="auto"/>
          <w:sz w:val="24"/>
          <w:highlight w:val="none"/>
        </w:rPr>
      </w:pPr>
    </w:p>
    <w:p>
      <w:pPr>
        <w:rPr>
          <w:rFonts w:hint="eastAsia" w:ascii="宋体" w:hAnsi="宋体" w:eastAsia="宋体"/>
          <w:color w:val="auto"/>
          <w:sz w:val="24"/>
          <w:highlight w:val="none"/>
        </w:rPr>
      </w:pPr>
    </w:p>
    <w:p>
      <w:pPr>
        <w:rPr>
          <w:rFonts w:hint="eastAsia" w:ascii="宋体" w:hAnsi="宋体" w:eastAsia="宋体"/>
          <w:color w:val="auto"/>
          <w:szCs w:val="21"/>
          <w:highlight w:val="none"/>
        </w:rPr>
      </w:pPr>
      <w:r>
        <w:rPr>
          <w:rFonts w:hint="eastAsia" w:ascii="宋体" w:hAnsi="宋体" w:eastAsia="宋体"/>
          <w:color w:val="auto"/>
          <w:szCs w:val="21"/>
          <w:highlight w:val="none"/>
        </w:rPr>
        <w:t xml:space="preserve">招标人代表：                                                       招标代理机构代表： </w:t>
      </w:r>
    </w:p>
    <w:p>
      <w:pPr>
        <w:pStyle w:val="17"/>
        <w:tabs>
          <w:tab w:val="left" w:pos="7380"/>
        </w:tabs>
        <w:spacing w:after="0" w:line="360" w:lineRule="auto"/>
        <w:ind w:firstLine="0"/>
        <w:rPr>
          <w:rFonts w:hint="eastAsia" w:ascii="宋体" w:hAnsi="宋体"/>
          <w:color w:val="auto"/>
          <w:szCs w:val="21"/>
          <w:highlight w:val="none"/>
        </w:rPr>
      </w:pPr>
    </w:p>
    <w:p>
      <w:pPr>
        <w:pStyle w:val="17"/>
        <w:tabs>
          <w:tab w:val="left" w:pos="7380"/>
        </w:tabs>
        <w:spacing w:after="0" w:line="360" w:lineRule="auto"/>
        <w:ind w:firstLine="0"/>
        <w:rPr>
          <w:rFonts w:hint="eastAsia" w:ascii="宋体" w:hAnsi="宋体"/>
          <w:color w:val="auto"/>
          <w:szCs w:val="21"/>
          <w:highlight w:val="none"/>
        </w:rPr>
      </w:pPr>
    </w:p>
    <w:p>
      <w:pPr>
        <w:pStyle w:val="17"/>
        <w:tabs>
          <w:tab w:val="left" w:pos="7380"/>
        </w:tabs>
        <w:spacing w:after="0" w:line="360" w:lineRule="auto"/>
        <w:ind w:firstLine="0"/>
        <w:rPr>
          <w:rFonts w:hint="eastAsia" w:ascii="宋体" w:hAnsi="宋体"/>
          <w:color w:val="auto"/>
          <w:szCs w:val="21"/>
          <w:highlight w:val="none"/>
        </w:rPr>
      </w:pPr>
    </w:p>
    <w:p>
      <w:pPr>
        <w:pStyle w:val="17"/>
        <w:tabs>
          <w:tab w:val="left" w:pos="7380"/>
        </w:tabs>
        <w:spacing w:after="0" w:line="360" w:lineRule="auto"/>
        <w:ind w:firstLine="0"/>
        <w:rPr>
          <w:rFonts w:hint="eastAsia" w:ascii="宋体" w:hAnsi="宋体"/>
          <w:color w:val="auto"/>
          <w:szCs w:val="21"/>
          <w:highlight w:val="none"/>
        </w:rPr>
      </w:pPr>
    </w:p>
    <w:p>
      <w:pPr>
        <w:pStyle w:val="17"/>
        <w:tabs>
          <w:tab w:val="left" w:pos="7380"/>
        </w:tabs>
        <w:spacing w:after="0" w:line="360" w:lineRule="auto"/>
        <w:ind w:firstLine="0"/>
        <w:rPr>
          <w:rFonts w:hint="eastAsia" w:ascii="宋体" w:hAnsi="宋体"/>
          <w:color w:val="auto"/>
          <w:szCs w:val="21"/>
          <w:highlight w:val="none"/>
        </w:rPr>
      </w:pPr>
    </w:p>
    <w:p>
      <w:pPr>
        <w:pStyle w:val="17"/>
        <w:tabs>
          <w:tab w:val="left" w:pos="7380"/>
        </w:tabs>
        <w:spacing w:after="0" w:line="360" w:lineRule="auto"/>
        <w:ind w:firstLine="0"/>
        <w:rPr>
          <w:rFonts w:hint="eastAsia" w:ascii="宋体" w:hAnsi="宋体"/>
          <w:color w:val="auto"/>
          <w:szCs w:val="21"/>
          <w:highlight w:val="none"/>
        </w:rPr>
      </w:pPr>
    </w:p>
    <w:p>
      <w:pPr>
        <w:spacing w:line="360" w:lineRule="auto"/>
        <w:outlineLvl w:val="2"/>
        <w:rPr>
          <w:rFonts w:ascii="宋体" w:hAnsi="宋体" w:eastAsia="宋体"/>
          <w:color w:val="auto"/>
          <w:sz w:val="24"/>
          <w:szCs w:val="24"/>
          <w:highlight w:val="none"/>
        </w:rPr>
      </w:pPr>
      <w:bookmarkStart w:id="196" w:name="_Toc18570"/>
      <w:bookmarkStart w:id="197" w:name="_Toc24778"/>
      <w:r>
        <w:rPr>
          <w:rFonts w:hint="eastAsia" w:ascii="宋体" w:hAnsi="宋体" w:eastAsia="宋体"/>
          <w:color w:val="auto"/>
          <w:sz w:val="24"/>
          <w:szCs w:val="24"/>
          <w:highlight w:val="none"/>
        </w:rPr>
        <w:br w:type="page"/>
      </w:r>
      <w:r>
        <w:rPr>
          <w:rFonts w:hint="eastAsia" w:ascii="宋体" w:hAnsi="宋体" w:eastAsia="宋体"/>
          <w:color w:val="auto"/>
          <w:sz w:val="24"/>
          <w:szCs w:val="24"/>
          <w:highlight w:val="none"/>
        </w:rPr>
        <w:t>附件2</w:t>
      </w:r>
      <w:bookmarkEnd w:id="196"/>
      <w:bookmarkEnd w:id="197"/>
    </w:p>
    <w:p>
      <w:pPr>
        <w:spacing w:line="360" w:lineRule="auto"/>
        <w:jc w:val="center"/>
        <w:rPr>
          <w:rFonts w:hint="eastAsia" w:ascii="宋体" w:hAnsi="宋体" w:eastAsia="宋体"/>
          <w:b/>
          <w:color w:val="auto"/>
          <w:sz w:val="30"/>
          <w:szCs w:val="30"/>
          <w:highlight w:val="none"/>
        </w:rPr>
      </w:pPr>
      <w:r>
        <w:rPr>
          <w:rFonts w:hint="eastAsia" w:ascii="宋体" w:hAnsi="宋体" w:eastAsia="宋体"/>
          <w:b/>
          <w:color w:val="auto"/>
          <w:sz w:val="30"/>
          <w:szCs w:val="30"/>
          <w:highlight w:val="none"/>
        </w:rPr>
        <w:t>资格审查表</w:t>
      </w:r>
    </w:p>
    <w:p>
      <w:pPr>
        <w:spacing w:line="360" w:lineRule="auto"/>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工程名称：</w:t>
      </w:r>
    </w:p>
    <w:tbl>
      <w:tblPr>
        <w:tblStyle w:val="18"/>
        <w:tblW w:w="0" w:type="auto"/>
        <w:tblInd w:w="-72" w:type="dxa"/>
        <w:tblLayout w:type="fixed"/>
        <w:tblCellMar>
          <w:top w:w="0" w:type="dxa"/>
          <w:left w:w="108" w:type="dxa"/>
          <w:bottom w:w="0" w:type="dxa"/>
          <w:right w:w="108" w:type="dxa"/>
        </w:tblCellMar>
      </w:tblPr>
      <w:tblGrid>
        <w:gridCol w:w="540"/>
        <w:gridCol w:w="7200"/>
        <w:gridCol w:w="1440"/>
        <w:gridCol w:w="1440"/>
        <w:gridCol w:w="1440"/>
        <w:gridCol w:w="1440"/>
        <w:gridCol w:w="1440"/>
      </w:tblGrid>
      <w:tr>
        <w:tblPrEx>
          <w:tblCellMar>
            <w:top w:w="0" w:type="dxa"/>
            <w:left w:w="108" w:type="dxa"/>
            <w:bottom w:w="0" w:type="dxa"/>
            <w:right w:w="108" w:type="dxa"/>
          </w:tblCellMar>
        </w:tblPrEx>
        <w:trPr>
          <w:trHeight w:val="679"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b/>
                <w:color w:val="auto"/>
                <w:szCs w:val="21"/>
                <w:highlight w:val="none"/>
              </w:rPr>
            </w:pPr>
            <w:r>
              <w:rPr>
                <w:rFonts w:hint="eastAsia" w:ascii="宋体" w:hAnsi="宋体" w:eastAsia="宋体"/>
                <w:b/>
                <w:color w:val="auto"/>
                <w:szCs w:val="21"/>
                <w:highlight w:val="none"/>
              </w:rPr>
              <w:t>序号</w:t>
            </w:r>
          </w:p>
        </w:tc>
        <w:tc>
          <w:tcPr>
            <w:tcW w:w="7200"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b/>
                <w:color w:val="auto"/>
                <w:szCs w:val="21"/>
                <w:highlight w:val="none"/>
              </w:rPr>
            </w:pPr>
            <w:r>
              <w:rPr>
                <w:rFonts w:hint="eastAsia" w:ascii="宋体" w:hAnsi="宋体" w:eastAsia="宋体"/>
                <w:b/>
                <w:color w:val="auto"/>
                <w:szCs w:val="21"/>
                <w:highlight w:val="none"/>
              </w:rPr>
              <w:t xml:space="preserve">                                            投标人</w:t>
            </w:r>
          </w:p>
          <w:p>
            <w:pPr>
              <w:keepNext w:val="0"/>
              <w:keepLines w:val="0"/>
              <w:suppressLineNumbers w:val="0"/>
              <w:spacing w:before="0" w:beforeAutospacing="0" w:after="0" w:afterAutospacing="0"/>
              <w:ind w:left="0" w:right="0" w:firstLine="211" w:firstLineChars="100"/>
              <w:rPr>
                <w:rFonts w:hint="default" w:ascii="宋体" w:hAnsi="宋体" w:eastAsia="宋体"/>
                <w:b/>
                <w:color w:val="auto"/>
                <w:szCs w:val="21"/>
                <w:highlight w:val="none"/>
              </w:rPr>
            </w:pPr>
            <w:r>
              <w:rPr>
                <w:rFonts w:hint="eastAsia" w:ascii="宋体" w:hAnsi="宋体" w:eastAsia="宋体"/>
                <w:b/>
                <w:color w:val="auto"/>
                <w:szCs w:val="21"/>
                <w:highlight w:val="none"/>
              </w:rPr>
              <w:t>评审内容</w:t>
            </w: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tblPrEx>
          <w:tblCellMar>
            <w:top w:w="0" w:type="dxa"/>
            <w:left w:w="108" w:type="dxa"/>
            <w:bottom w:w="0" w:type="dxa"/>
            <w:right w:w="108" w:type="dxa"/>
          </w:tblCellMar>
        </w:tblPrEx>
        <w:trPr>
          <w:trHeight w:val="57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1</w:t>
            </w:r>
          </w:p>
        </w:tc>
        <w:tc>
          <w:tcPr>
            <w:tcW w:w="7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宋体" w:hAnsi="宋体" w:eastAsia="宋体"/>
                <w:color w:val="auto"/>
                <w:szCs w:val="21"/>
                <w:highlight w:val="none"/>
              </w:rPr>
            </w:pPr>
            <w:r>
              <w:rPr>
                <w:rFonts w:hint="eastAsia" w:ascii="宋体" w:hAnsi="宋体" w:eastAsia="宋体"/>
                <w:color w:val="auto"/>
                <w:szCs w:val="21"/>
                <w:highlight w:val="none"/>
              </w:rPr>
              <w:t>投标文件中有法定代表人证明书，如投标文件为委托代理人签署应同时附上法定代表人证明书和法定代表人授权书。</w:t>
            </w: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tblPrEx>
          <w:tblCellMar>
            <w:top w:w="0" w:type="dxa"/>
            <w:left w:w="108" w:type="dxa"/>
            <w:bottom w:w="0" w:type="dxa"/>
            <w:right w:w="108" w:type="dxa"/>
          </w:tblCellMar>
        </w:tblPrEx>
        <w:trPr>
          <w:trHeight w:val="41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2</w:t>
            </w:r>
          </w:p>
        </w:tc>
        <w:tc>
          <w:tcPr>
            <w:tcW w:w="7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投标人持有工商行政管理部门核发的营业执照满足公告要求。</w:t>
            </w: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tblPrEx>
          <w:tblCellMar>
            <w:top w:w="0" w:type="dxa"/>
            <w:left w:w="108" w:type="dxa"/>
            <w:bottom w:w="0" w:type="dxa"/>
            <w:right w:w="108" w:type="dxa"/>
          </w:tblCellMar>
        </w:tblPrEx>
        <w:trPr>
          <w:trHeight w:val="410"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3</w:t>
            </w:r>
          </w:p>
        </w:tc>
        <w:tc>
          <w:tcPr>
            <w:tcW w:w="7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宋体" w:hAnsi="宋体" w:eastAsia="宋体"/>
                <w:color w:val="auto"/>
                <w:szCs w:val="21"/>
                <w:highlight w:val="none"/>
              </w:rPr>
            </w:pPr>
            <w:r>
              <w:rPr>
                <w:rFonts w:hint="eastAsia" w:ascii="宋体" w:hAnsi="宋体" w:eastAsia="宋体"/>
                <w:color w:val="auto"/>
                <w:szCs w:val="21"/>
                <w:highlight w:val="none"/>
              </w:rPr>
              <w:t>投标人拟担任本工程项目负责人的专业和资格满足公告要求。</w:t>
            </w: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tblPrEx>
          <w:tblCellMar>
            <w:top w:w="0" w:type="dxa"/>
            <w:left w:w="108" w:type="dxa"/>
            <w:bottom w:w="0" w:type="dxa"/>
            <w:right w:w="108" w:type="dxa"/>
          </w:tblCellMar>
        </w:tblPrEx>
        <w:trPr>
          <w:trHeight w:val="393"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4</w:t>
            </w:r>
          </w:p>
        </w:tc>
        <w:tc>
          <w:tcPr>
            <w:tcW w:w="7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投标人完成过质量合格的类似工程业绩及其资料满足公告要求。</w:t>
            </w: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tblPrEx>
          <w:tblCellMar>
            <w:top w:w="0" w:type="dxa"/>
            <w:left w:w="108" w:type="dxa"/>
            <w:bottom w:w="0" w:type="dxa"/>
            <w:right w:w="108" w:type="dxa"/>
          </w:tblCellMar>
        </w:tblPrEx>
        <w:trPr>
          <w:trHeight w:val="662"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5</w:t>
            </w:r>
          </w:p>
        </w:tc>
        <w:tc>
          <w:tcPr>
            <w:tcW w:w="7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olor w:val="auto"/>
                <w:szCs w:val="21"/>
                <w:highlight w:val="none"/>
              </w:rPr>
            </w:pPr>
            <w:r>
              <w:rPr>
                <w:rFonts w:hint="eastAsia" w:ascii="宋体" w:hAnsi="宋体" w:eastAsia="宋体"/>
                <w:color w:val="auto"/>
                <w:szCs w:val="21"/>
                <w:highlight w:val="none"/>
              </w:rPr>
              <w:t>专职安全员须具有在有效期内的安全生产考核合格证书（C类）或建筑施工企业专职安全生产管理人员安全生产考核合格证书（C3）。</w:t>
            </w: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tblPrEx>
          <w:tblCellMar>
            <w:top w:w="0" w:type="dxa"/>
            <w:left w:w="108" w:type="dxa"/>
            <w:bottom w:w="0" w:type="dxa"/>
            <w:right w:w="108" w:type="dxa"/>
          </w:tblCellMar>
        </w:tblPrEx>
        <w:trPr>
          <w:trHeight w:val="458"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6</w:t>
            </w:r>
          </w:p>
        </w:tc>
        <w:tc>
          <w:tcPr>
            <w:tcW w:w="7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olor w:val="auto"/>
                <w:szCs w:val="21"/>
                <w:highlight w:val="none"/>
              </w:rPr>
            </w:pPr>
            <w:r>
              <w:rPr>
                <w:rFonts w:hint="eastAsia" w:ascii="宋体" w:hAnsi="宋体" w:eastAsia="宋体"/>
                <w:color w:val="auto"/>
                <w:szCs w:val="21"/>
                <w:highlight w:val="none"/>
              </w:rPr>
              <w:t>投标人按规定的格式及内容要求签署《投标人声明》。</w:t>
            </w: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tblPrEx>
          <w:tblCellMar>
            <w:top w:w="0" w:type="dxa"/>
            <w:left w:w="108" w:type="dxa"/>
            <w:bottom w:w="0" w:type="dxa"/>
            <w:right w:w="108" w:type="dxa"/>
          </w:tblCellMar>
        </w:tblPrEx>
        <w:trPr>
          <w:trHeight w:val="458"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7</w:t>
            </w:r>
          </w:p>
        </w:tc>
        <w:tc>
          <w:tcPr>
            <w:tcW w:w="7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olor w:val="auto"/>
                <w:szCs w:val="21"/>
                <w:highlight w:val="none"/>
              </w:rPr>
            </w:pPr>
            <w:r>
              <w:rPr>
                <w:rFonts w:hint="eastAsia" w:ascii="宋体" w:hAnsi="宋体" w:eastAsia="宋体"/>
                <w:color w:val="auto"/>
                <w:szCs w:val="21"/>
                <w:highlight w:val="none"/>
                <w:u w:val="single"/>
              </w:rPr>
              <w:t>关于联合体投标：本项目不接受联合体投标。</w:t>
            </w: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tblPrEx>
          <w:tblCellMar>
            <w:top w:w="0" w:type="dxa"/>
            <w:left w:w="108" w:type="dxa"/>
            <w:bottom w:w="0" w:type="dxa"/>
            <w:right w:w="108" w:type="dxa"/>
          </w:tblCellMar>
        </w:tblPrEx>
        <w:trPr>
          <w:trHeight w:val="1103"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8</w:t>
            </w:r>
          </w:p>
        </w:tc>
        <w:tc>
          <w:tcPr>
            <w:tcW w:w="7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olor w:val="auto"/>
                <w:szCs w:val="21"/>
                <w:highlight w:val="none"/>
                <w:lang w:eastAsia="zh-CN"/>
              </w:rPr>
            </w:pPr>
            <w:r>
              <w:rPr>
                <w:rFonts w:hint="eastAsia" w:ascii="宋体" w:hAnsi="宋体" w:eastAsia="宋体"/>
                <w:color w:val="auto"/>
                <w:szCs w:val="21"/>
                <w:highlight w:val="none"/>
                <w:u w:val="single"/>
              </w:rPr>
              <w:t>未被列入国家、省、市失信联合惩戒名单</w:t>
            </w:r>
            <w:r>
              <w:rPr>
                <w:rFonts w:hint="eastAsia" w:ascii="宋体" w:hAnsi="宋体" w:eastAsia="宋体"/>
                <w:color w:val="auto"/>
                <w:szCs w:val="21"/>
                <w:highlight w:val="none"/>
                <w:u w:val="single"/>
                <w:lang w:eastAsia="zh-CN"/>
              </w:rPr>
              <w:t>，</w:t>
            </w:r>
            <w:r>
              <w:rPr>
                <w:rFonts w:hint="eastAsia" w:ascii="宋体" w:hAnsi="宋体" w:eastAsia="宋体" w:cs="宋体"/>
                <w:color w:val="auto"/>
                <w:szCs w:val="21"/>
                <w:highlight w:val="none"/>
                <w:u w:val="single"/>
              </w:rPr>
              <w:t>或未因失信行为被本项目所在地行政主管部门作出限制参与工程建设项目投标的决定</w:t>
            </w:r>
            <w:r>
              <w:rPr>
                <w:rFonts w:hint="eastAsia" w:ascii="宋体" w:hAnsi="宋体" w:eastAsia="宋体" w:cs="宋体"/>
                <w:color w:val="auto"/>
                <w:szCs w:val="21"/>
                <w:highlight w:val="none"/>
                <w:u w:val="single"/>
                <w:lang w:eastAsia="zh-CN"/>
              </w:rPr>
              <w:t>（</w:t>
            </w:r>
            <w:r>
              <w:rPr>
                <w:rFonts w:hint="eastAsia" w:ascii="宋体" w:hAnsi="宋体" w:eastAsia="宋体"/>
                <w:color w:val="auto"/>
                <w:szCs w:val="21"/>
                <w:highlight w:val="none"/>
                <w:u w:val="single"/>
              </w:rPr>
              <w:t>投标人</w:t>
            </w:r>
            <w:r>
              <w:rPr>
                <w:rFonts w:hint="eastAsia" w:ascii="宋体" w:hAnsi="宋体" w:eastAsia="宋体"/>
                <w:color w:val="auto"/>
                <w:szCs w:val="21"/>
                <w:highlight w:val="none"/>
                <w:u w:val="single"/>
                <w:lang w:eastAsia="zh-CN"/>
              </w:rPr>
              <w:t>在</w:t>
            </w:r>
            <w:r>
              <w:rPr>
                <w:rFonts w:hint="eastAsia" w:ascii="宋体" w:hAnsi="宋体" w:eastAsia="宋体"/>
                <w:color w:val="auto"/>
                <w:szCs w:val="21"/>
                <w:highlight w:val="none"/>
                <w:u w:val="single"/>
              </w:rPr>
              <w:t>《投标人声明》</w:t>
            </w:r>
            <w:r>
              <w:rPr>
                <w:rFonts w:hint="eastAsia" w:ascii="宋体" w:hAnsi="宋体" w:eastAsia="宋体"/>
                <w:color w:val="auto"/>
                <w:szCs w:val="21"/>
                <w:highlight w:val="none"/>
                <w:u w:val="single"/>
                <w:lang w:eastAsia="zh-CN"/>
              </w:rPr>
              <w:t>中进行相关声明</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w:t>
            </w: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bl>
    <w:p>
      <w:pPr>
        <w:ind w:left="630" w:hanging="630" w:hangingChars="300"/>
        <w:rPr>
          <w:rFonts w:ascii="宋体" w:hAnsi="宋体" w:eastAsia="宋体"/>
          <w:color w:val="auto"/>
          <w:szCs w:val="21"/>
          <w:highlight w:val="none"/>
        </w:rPr>
      </w:pPr>
      <w:r>
        <w:rPr>
          <w:rFonts w:hint="eastAsia" w:ascii="宋体" w:hAnsi="宋体" w:eastAsia="宋体"/>
          <w:color w:val="auto"/>
          <w:szCs w:val="21"/>
          <w:highlight w:val="none"/>
        </w:rPr>
        <w:t>注：1.本表评审内容的信息取自投标申请人在广州公共资源交易</w:t>
      </w:r>
      <w:r>
        <w:rPr>
          <w:rFonts w:hint="eastAsia" w:ascii="宋体" w:hAnsi="宋体" w:eastAsia="宋体"/>
          <w:color w:val="auto"/>
          <w:szCs w:val="21"/>
          <w:highlight w:val="none"/>
          <w:lang w:eastAsia="zh-CN"/>
        </w:rPr>
        <w:t>平台</w:t>
      </w:r>
      <w:r>
        <w:rPr>
          <w:rFonts w:hint="eastAsia" w:ascii="宋体" w:hAnsi="宋体" w:eastAsia="宋体"/>
          <w:color w:val="auto"/>
          <w:szCs w:val="21"/>
          <w:highlight w:val="none"/>
        </w:rPr>
        <w:t>企业库、城市园林绿化企业工程业绩库登记的信息，投标申请人在广州公共资源交易</w:t>
      </w:r>
      <w:r>
        <w:rPr>
          <w:rFonts w:hint="eastAsia" w:ascii="宋体" w:hAnsi="宋体" w:eastAsia="宋体"/>
          <w:color w:val="auto"/>
          <w:szCs w:val="21"/>
          <w:highlight w:val="none"/>
          <w:lang w:eastAsia="zh-CN"/>
        </w:rPr>
        <w:t>平台</w:t>
      </w:r>
      <w:r>
        <w:rPr>
          <w:rFonts w:hint="eastAsia" w:ascii="宋体" w:hAnsi="宋体" w:eastAsia="宋体"/>
          <w:color w:val="auto"/>
          <w:szCs w:val="21"/>
          <w:highlight w:val="none"/>
        </w:rPr>
        <w:t>企业库、城市园林绿化企业工程业绩库登记的信息将视为其递交资格审查文件的一部分。评标委员会对该部分内容的审查，以开标当天中午12时在广州公共资源交易</w:t>
      </w:r>
      <w:r>
        <w:rPr>
          <w:rFonts w:hint="eastAsia" w:ascii="宋体" w:hAnsi="宋体" w:eastAsia="宋体"/>
          <w:color w:val="auto"/>
          <w:szCs w:val="21"/>
          <w:highlight w:val="none"/>
          <w:lang w:eastAsia="zh-CN"/>
        </w:rPr>
        <w:t>平台</w:t>
      </w:r>
      <w:r>
        <w:rPr>
          <w:rFonts w:hint="eastAsia" w:ascii="宋体" w:hAnsi="宋体" w:eastAsia="宋体"/>
          <w:color w:val="auto"/>
          <w:szCs w:val="21"/>
          <w:highlight w:val="none"/>
        </w:rPr>
        <w:t>企业库、城市园林绿化企业工程业绩库记录的信息为依据。</w:t>
      </w:r>
    </w:p>
    <w:p>
      <w:pPr>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2.使用GZYLZB202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-1招标文件范本，与范本内容不同之处均以下划线标明。</w:t>
      </w:r>
    </w:p>
    <w:p>
      <w:pPr>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3.凡不满足《资格审查表》中任何一项情形，结论均为无效，否则视为有效。</w:t>
      </w:r>
    </w:p>
    <w:p>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4.如对本表中某种情形的评审意见不一致时，以评标委员会过半数成员的意见作为评标委员会对该情形的认定结论。</w:t>
      </w:r>
    </w:p>
    <w:p>
      <w:pPr>
        <w:ind w:firstLine="420" w:firstLineChars="200"/>
        <w:rPr>
          <w:rFonts w:hint="eastAsia" w:ascii="宋体" w:hAnsi="宋体" w:eastAsia="宋体"/>
          <w:color w:val="auto"/>
          <w:szCs w:val="21"/>
          <w:highlight w:val="none"/>
        </w:rPr>
      </w:pPr>
    </w:p>
    <w:p>
      <w:pPr>
        <w:pStyle w:val="17"/>
        <w:tabs>
          <w:tab w:val="left" w:pos="7380"/>
        </w:tabs>
        <w:spacing w:after="0" w:line="360" w:lineRule="auto"/>
        <w:ind w:firstLine="0"/>
        <w:rPr>
          <w:rFonts w:hint="eastAsia" w:ascii="宋体" w:hAnsi="宋体"/>
          <w:b/>
          <w:color w:val="auto"/>
          <w:szCs w:val="21"/>
          <w:highlight w:val="none"/>
        </w:rPr>
      </w:pPr>
      <w:r>
        <w:rPr>
          <w:rFonts w:hint="eastAsia" w:ascii="宋体" w:hAnsi="宋体"/>
          <w:b/>
          <w:color w:val="auto"/>
          <w:szCs w:val="21"/>
          <w:highlight w:val="none"/>
        </w:rPr>
        <w:t xml:space="preserve">评委签名：  </w:t>
      </w:r>
      <w:r>
        <w:rPr>
          <w:rFonts w:hint="eastAsia" w:ascii="宋体" w:hAnsi="宋体"/>
          <w:color w:val="auto"/>
          <w:szCs w:val="21"/>
          <w:highlight w:val="none"/>
        </w:rPr>
        <w:t xml:space="preserve">                                                                                         </w:t>
      </w:r>
      <w:r>
        <w:rPr>
          <w:rFonts w:hint="eastAsia" w:ascii="宋体" w:hAnsi="宋体"/>
          <w:b/>
          <w:color w:val="auto"/>
          <w:szCs w:val="21"/>
          <w:highlight w:val="none"/>
        </w:rPr>
        <w:t>日期：</w:t>
      </w:r>
    </w:p>
    <w:p>
      <w:pPr>
        <w:pStyle w:val="17"/>
        <w:tabs>
          <w:tab w:val="left" w:pos="7380"/>
        </w:tabs>
        <w:spacing w:after="0" w:line="360" w:lineRule="auto"/>
        <w:ind w:firstLine="0"/>
        <w:rPr>
          <w:rFonts w:hint="eastAsia" w:ascii="宋体" w:hAnsi="宋体"/>
          <w:b/>
          <w:color w:val="auto"/>
          <w:szCs w:val="21"/>
          <w:highlight w:val="none"/>
        </w:rPr>
      </w:pPr>
    </w:p>
    <w:p>
      <w:pPr>
        <w:pStyle w:val="17"/>
        <w:tabs>
          <w:tab w:val="left" w:pos="7380"/>
        </w:tabs>
        <w:spacing w:after="0" w:line="360" w:lineRule="auto"/>
        <w:ind w:firstLine="0"/>
        <w:rPr>
          <w:rFonts w:hint="eastAsia" w:ascii="宋体" w:hAnsi="宋体"/>
          <w:b/>
          <w:color w:val="auto"/>
          <w:szCs w:val="21"/>
          <w:highlight w:val="none"/>
        </w:rPr>
      </w:pPr>
    </w:p>
    <w:p>
      <w:pPr>
        <w:spacing w:line="360" w:lineRule="auto"/>
        <w:outlineLvl w:val="2"/>
        <w:rPr>
          <w:rFonts w:ascii="宋体" w:hAnsi="宋体" w:eastAsia="宋体"/>
          <w:bCs/>
          <w:color w:val="auto"/>
          <w:sz w:val="24"/>
          <w:szCs w:val="24"/>
          <w:highlight w:val="none"/>
        </w:rPr>
      </w:pPr>
      <w:bookmarkStart w:id="198" w:name="_Toc26109"/>
      <w:bookmarkStart w:id="199" w:name="_Toc30697"/>
      <w:r>
        <w:rPr>
          <w:rFonts w:hint="eastAsia" w:ascii="宋体" w:hAnsi="宋体" w:eastAsia="宋体"/>
          <w:bCs/>
          <w:color w:val="auto"/>
          <w:sz w:val="24"/>
          <w:szCs w:val="24"/>
          <w:highlight w:val="none"/>
        </w:rPr>
        <w:t>附件3</w:t>
      </w:r>
      <w:bookmarkEnd w:id="198"/>
      <w:bookmarkEnd w:id="199"/>
    </w:p>
    <w:p>
      <w:pPr>
        <w:spacing w:line="360" w:lineRule="auto"/>
        <w:jc w:val="center"/>
        <w:rPr>
          <w:rFonts w:hint="eastAsia" w:ascii="宋体" w:hAnsi="宋体" w:eastAsia="宋体"/>
          <w:b/>
          <w:color w:val="auto"/>
          <w:sz w:val="24"/>
          <w:highlight w:val="none"/>
        </w:rPr>
      </w:pPr>
      <w:r>
        <w:rPr>
          <w:rFonts w:hint="eastAsia" w:ascii="宋体" w:hAnsi="宋体" w:eastAsia="宋体" w:cs="宋体"/>
          <w:b/>
          <w:bCs/>
          <w:color w:val="auto"/>
          <w:kern w:val="0"/>
          <w:sz w:val="32"/>
          <w:szCs w:val="32"/>
          <w:highlight w:val="none"/>
        </w:rPr>
        <w:t>算术复核表</w:t>
      </w:r>
    </w:p>
    <w:p>
      <w:pPr>
        <w:widowControl/>
        <w:jc w:val="left"/>
        <w:rPr>
          <w:rFonts w:hint="eastAsia" w:ascii="宋体" w:hAnsi="宋体" w:eastAsia="宋体" w:cs="宋体"/>
          <w:b/>
          <w:bCs/>
          <w:color w:val="auto"/>
          <w:kern w:val="0"/>
          <w:sz w:val="24"/>
          <w:szCs w:val="24"/>
          <w:highlight w:val="none"/>
        </w:rPr>
      </w:pPr>
    </w:p>
    <w:p>
      <w:pPr>
        <w:widowControl/>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工程名称：                                           投标人:                                               单位：元</w:t>
      </w:r>
    </w:p>
    <w:tbl>
      <w:tblPr>
        <w:tblStyle w:val="18"/>
        <w:tblW w:w="0" w:type="auto"/>
        <w:tblInd w:w="93" w:type="dxa"/>
        <w:tblLayout w:type="fixed"/>
        <w:tblCellMar>
          <w:top w:w="0" w:type="dxa"/>
          <w:left w:w="108" w:type="dxa"/>
          <w:bottom w:w="0" w:type="dxa"/>
          <w:right w:w="108" w:type="dxa"/>
        </w:tblCellMar>
      </w:tblPr>
      <w:tblGrid>
        <w:gridCol w:w="645"/>
        <w:gridCol w:w="4488"/>
        <w:gridCol w:w="1602"/>
        <w:gridCol w:w="1575"/>
        <w:gridCol w:w="1575"/>
        <w:gridCol w:w="1680"/>
        <w:gridCol w:w="304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编号</w:t>
            </w:r>
          </w:p>
        </w:tc>
        <w:tc>
          <w:tcPr>
            <w:tcW w:w="448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算术复核项目</w:t>
            </w:r>
          </w:p>
        </w:tc>
        <w:tc>
          <w:tcPr>
            <w:tcW w:w="160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修正前投标</w:t>
            </w:r>
          </w:p>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报价A</w:t>
            </w:r>
          </w:p>
        </w:tc>
        <w:tc>
          <w:tcPr>
            <w:tcW w:w="157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修正后投标</w:t>
            </w:r>
          </w:p>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报价B</w:t>
            </w:r>
          </w:p>
        </w:tc>
        <w:tc>
          <w:tcPr>
            <w:tcW w:w="157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修正率</w:t>
            </w:r>
          </w:p>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r=|A-B|/A*100%</w:t>
            </w:r>
          </w:p>
        </w:tc>
        <w:tc>
          <w:tcPr>
            <w:tcW w:w="168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经评审的最终投标报价</w:t>
            </w:r>
          </w:p>
        </w:tc>
        <w:tc>
          <w:tcPr>
            <w:tcW w:w="304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当B&gt;A时，修正后报价与原报价的差额；当B≤A,R=0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w:t>
            </w:r>
          </w:p>
        </w:tc>
        <w:tc>
          <w:tcPr>
            <w:tcW w:w="4488"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[单位工程1]</w:t>
            </w:r>
          </w:p>
        </w:tc>
        <w:tc>
          <w:tcPr>
            <w:tcW w:w="160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8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04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p>
        </w:tc>
        <w:tc>
          <w:tcPr>
            <w:tcW w:w="4488"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[单位工程2]</w:t>
            </w:r>
          </w:p>
        </w:tc>
        <w:tc>
          <w:tcPr>
            <w:tcW w:w="160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8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04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8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04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8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04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8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04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8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045"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n</w:t>
            </w:r>
          </w:p>
        </w:tc>
        <w:tc>
          <w:tcPr>
            <w:tcW w:w="4488"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[单位工程n]</w:t>
            </w:r>
          </w:p>
        </w:tc>
        <w:tc>
          <w:tcPr>
            <w:tcW w:w="160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8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04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投标报价</w:t>
            </w:r>
          </w:p>
        </w:tc>
        <w:tc>
          <w:tcPr>
            <w:tcW w:w="1602"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5" w:type="dxa"/>
            <w:tcBorders>
              <w:top w:val="nil"/>
              <w:left w:val="nil"/>
              <w:bottom w:val="single" w:color="auto" w:sz="4" w:space="0"/>
              <w:right w:val="single" w:color="auto" w:sz="4" w:space="0"/>
              <w:tr2bl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680" w:type="dxa"/>
            <w:tcBorders>
              <w:top w:val="nil"/>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04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∑A=A</w:t>
            </w:r>
            <w:r>
              <w:rPr>
                <w:rFonts w:hint="eastAsia" w:ascii="宋体" w:hAnsi="宋体" w:eastAsia="宋体" w:cs="宋体"/>
                <w:color w:val="auto"/>
                <w:kern w:val="0"/>
                <w:sz w:val="24"/>
                <w:szCs w:val="24"/>
                <w:highlight w:val="none"/>
                <w:vertAlign w:val="subscript"/>
              </w:rPr>
              <w:t>1</w:t>
            </w:r>
            <w:r>
              <w:rPr>
                <w:rFonts w:hint="eastAsia" w:ascii="宋体" w:hAnsi="宋体" w:eastAsia="宋体" w:cs="宋体"/>
                <w:color w:val="auto"/>
                <w:kern w:val="0"/>
                <w:sz w:val="24"/>
                <w:szCs w:val="24"/>
                <w:highlight w:val="none"/>
              </w:rPr>
              <w:t>+A</w:t>
            </w:r>
            <w:r>
              <w:rPr>
                <w:rFonts w:hint="eastAsia" w:ascii="宋体" w:hAnsi="宋体" w:eastAsia="宋体" w:cs="宋体"/>
                <w:color w:val="auto"/>
                <w:kern w:val="0"/>
                <w:sz w:val="24"/>
                <w:szCs w:val="24"/>
                <w:highlight w:val="none"/>
                <w:vertAlign w:val="subscript"/>
              </w:rPr>
              <w:t>2</w:t>
            </w:r>
            <w:r>
              <w:rPr>
                <w:rFonts w:hint="eastAsia" w:ascii="宋体" w:hAnsi="宋体" w:eastAsia="宋体" w:cs="宋体"/>
                <w:color w:val="auto"/>
                <w:kern w:val="0"/>
                <w:sz w:val="24"/>
                <w:szCs w:val="24"/>
                <w:highlight w:val="none"/>
              </w:rPr>
              <w:t>+…An；∑B=B</w:t>
            </w:r>
            <w:r>
              <w:rPr>
                <w:rFonts w:hint="eastAsia" w:ascii="宋体" w:hAnsi="宋体" w:eastAsia="宋体" w:cs="宋体"/>
                <w:color w:val="auto"/>
                <w:kern w:val="0"/>
                <w:sz w:val="24"/>
                <w:szCs w:val="24"/>
                <w:highlight w:val="none"/>
                <w:vertAlign w:val="subscript"/>
              </w:rPr>
              <w:t>1</w:t>
            </w:r>
            <w:r>
              <w:rPr>
                <w:rFonts w:hint="eastAsia" w:ascii="宋体" w:hAnsi="宋体" w:eastAsia="宋体" w:cs="宋体"/>
                <w:color w:val="auto"/>
                <w:kern w:val="0"/>
                <w:sz w:val="24"/>
                <w:szCs w:val="24"/>
                <w:highlight w:val="none"/>
              </w:rPr>
              <w:t>+B</w:t>
            </w:r>
            <w:r>
              <w:rPr>
                <w:rFonts w:hint="eastAsia" w:ascii="宋体" w:hAnsi="宋体" w:eastAsia="宋体" w:cs="宋体"/>
                <w:color w:val="auto"/>
                <w:kern w:val="0"/>
                <w:sz w:val="24"/>
                <w:szCs w:val="24"/>
                <w:highlight w:val="none"/>
                <w:vertAlign w:val="subscript"/>
              </w:rPr>
              <w:t>2</w:t>
            </w:r>
            <w:r>
              <w:rPr>
                <w:rFonts w:hint="eastAsia" w:ascii="宋体" w:hAnsi="宋体" w:eastAsia="宋体" w:cs="宋体"/>
                <w:color w:val="auto"/>
                <w:kern w:val="0"/>
                <w:sz w:val="24"/>
                <w:szCs w:val="24"/>
                <w:highlight w:val="none"/>
              </w:rPr>
              <w:t>+…Bn</w:t>
            </w:r>
          </w:p>
        </w:tc>
      </w:tr>
    </w:tbl>
    <w:p>
      <w:pPr>
        <w:widowControl/>
        <w:tabs>
          <w:tab w:val="left" w:pos="5226"/>
          <w:tab w:val="left" w:pos="6828"/>
          <w:tab w:val="left" w:pos="8403"/>
          <w:tab w:val="left" w:pos="9978"/>
        </w:tabs>
        <w:ind w:left="1142" w:leftChars="44" w:hanging="1050" w:hangingChars="500"/>
        <w:jc w:val="left"/>
        <w:rPr>
          <w:rFonts w:hint="eastAsia" w:ascii="宋体" w:hAnsi="宋体" w:eastAsia="宋体"/>
          <w:color w:val="auto"/>
          <w:szCs w:val="21"/>
          <w:highlight w:val="none"/>
        </w:rPr>
      </w:pPr>
      <w:r>
        <w:rPr>
          <w:rFonts w:hint="eastAsia" w:ascii="宋体" w:hAnsi="宋体" w:eastAsia="宋体" w:cs="宋体"/>
          <w:color w:val="auto"/>
          <w:kern w:val="0"/>
          <w:szCs w:val="21"/>
          <w:highlight w:val="none"/>
        </w:rPr>
        <w:t>修正原则：</w:t>
      </w:r>
      <w:r>
        <w:rPr>
          <w:rFonts w:hint="eastAsia" w:ascii="宋体" w:hAnsi="宋体" w:eastAsia="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p>
    <w:p>
      <w:pPr>
        <w:widowControl/>
        <w:tabs>
          <w:tab w:val="left" w:pos="5226"/>
          <w:tab w:val="left" w:pos="6828"/>
          <w:tab w:val="left" w:pos="8403"/>
          <w:tab w:val="left" w:pos="9978"/>
        </w:tabs>
        <w:ind w:left="1142" w:leftChars="44" w:hanging="1050" w:hangingChars="500"/>
        <w:jc w:val="left"/>
        <w:rPr>
          <w:rFonts w:hint="eastAsia" w:ascii="宋体" w:hAnsi="宋体" w:eastAsia="宋体"/>
          <w:color w:val="auto"/>
          <w:szCs w:val="21"/>
          <w:highlight w:val="none"/>
        </w:rPr>
      </w:pPr>
    </w:p>
    <w:p>
      <w:pPr>
        <w:widowControl/>
        <w:tabs>
          <w:tab w:val="left" w:pos="5226"/>
          <w:tab w:val="left" w:pos="6828"/>
          <w:tab w:val="left" w:pos="11040"/>
        </w:tabs>
        <w:ind w:left="1297" w:leftChars="44" w:hanging="1205" w:hangingChars="500"/>
        <w:jc w:val="left"/>
        <w:rPr>
          <w:rFonts w:hint="eastAsia" w:ascii="宋体" w:hAnsi="宋体" w:eastAsia="宋体"/>
          <w:color w:val="auto"/>
          <w:sz w:val="24"/>
          <w:szCs w:val="24"/>
          <w:highlight w:val="none"/>
        </w:rPr>
      </w:pPr>
      <w:r>
        <w:rPr>
          <w:rFonts w:hint="eastAsia" w:ascii="宋体" w:hAnsi="宋体" w:eastAsia="宋体" w:cs="宋体"/>
          <w:b/>
          <w:bCs/>
          <w:color w:val="auto"/>
          <w:kern w:val="0"/>
          <w:sz w:val="24"/>
          <w:szCs w:val="24"/>
          <w:highlight w:val="none"/>
        </w:rPr>
        <w:t>评委签名</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ab/>
      </w:r>
      <w:r>
        <w:rPr>
          <w:rFonts w:hint="eastAsia" w:ascii="宋体" w:hAnsi="宋体" w:eastAsia="宋体" w:cs="宋体"/>
          <w:color w:val="auto"/>
          <w:kern w:val="0"/>
          <w:sz w:val="24"/>
          <w:szCs w:val="24"/>
          <w:highlight w:val="none"/>
        </w:rPr>
        <w:t>日期：</w:t>
      </w:r>
    </w:p>
    <w:p>
      <w:pPr>
        <w:widowControl/>
        <w:jc w:val="left"/>
        <w:rPr>
          <w:rFonts w:ascii="宋体" w:hAnsi="宋体" w:eastAsia="宋体"/>
          <w:color w:val="auto"/>
          <w:sz w:val="24"/>
          <w:szCs w:val="24"/>
          <w:highlight w:val="none"/>
        </w:rPr>
        <w:sectPr>
          <w:endnotePr>
            <w:numFmt w:val="decimal"/>
          </w:endnotePr>
          <w:pgSz w:w="16783" w:h="11850" w:orient="landscape"/>
          <w:pgMar w:top="851" w:right="1134" w:bottom="567" w:left="1134" w:header="0" w:footer="0" w:gutter="567"/>
          <w:pgNumType w:fmt="decimal"/>
          <w:cols w:space="720" w:num="1"/>
        </w:sectPr>
      </w:pPr>
    </w:p>
    <w:p>
      <w:pPr>
        <w:ind w:firstLine="117" w:firstLineChars="49"/>
        <w:rPr>
          <w:rFonts w:hint="eastAsia" w:ascii="宋体" w:hAnsi="宋体" w:eastAsia="宋体"/>
          <w:color w:val="auto"/>
          <w:sz w:val="24"/>
          <w:szCs w:val="24"/>
          <w:highlight w:val="none"/>
        </w:rPr>
      </w:pPr>
    </w:p>
    <w:p>
      <w:pPr>
        <w:ind w:firstLine="117" w:firstLineChars="49"/>
        <w:outlineLvl w:val="2"/>
        <w:rPr>
          <w:rFonts w:ascii="宋体" w:hAnsi="宋体" w:eastAsia="宋体"/>
          <w:color w:val="auto"/>
          <w:sz w:val="24"/>
          <w:szCs w:val="24"/>
          <w:highlight w:val="none"/>
        </w:rPr>
      </w:pPr>
      <w:bookmarkStart w:id="200" w:name="_Toc1106"/>
      <w:bookmarkStart w:id="201" w:name="_Toc1890"/>
      <w:r>
        <w:rPr>
          <w:rFonts w:hint="eastAsia" w:ascii="宋体" w:hAnsi="宋体" w:eastAsia="宋体"/>
          <w:color w:val="auto"/>
          <w:sz w:val="24"/>
          <w:szCs w:val="24"/>
          <w:highlight w:val="none"/>
        </w:rPr>
        <w:t>附件4</w:t>
      </w:r>
      <w:bookmarkEnd w:id="200"/>
      <w:bookmarkEnd w:id="201"/>
    </w:p>
    <w:p>
      <w:pPr>
        <w:ind w:firstLine="117" w:firstLineChars="49"/>
        <w:rPr>
          <w:rFonts w:hint="eastAsia" w:ascii="宋体" w:hAnsi="宋体" w:eastAsia="宋体"/>
          <w:color w:val="auto"/>
          <w:sz w:val="24"/>
          <w:szCs w:val="24"/>
          <w:highlight w:val="none"/>
        </w:rPr>
      </w:pPr>
    </w:p>
    <w:p>
      <w:pPr>
        <w:spacing w:line="360" w:lineRule="auto"/>
        <w:jc w:val="center"/>
        <w:rPr>
          <w:rFonts w:hint="eastAsia" w:ascii="宋体" w:hAnsi="宋体" w:eastAsia="宋体"/>
          <w:b/>
          <w:color w:val="auto"/>
          <w:sz w:val="36"/>
          <w:szCs w:val="36"/>
          <w:highlight w:val="none"/>
        </w:rPr>
      </w:pPr>
      <w:r>
        <w:rPr>
          <w:rFonts w:hint="eastAsia" w:ascii="宋体" w:hAnsi="宋体" w:eastAsia="宋体"/>
          <w:b/>
          <w:color w:val="auto"/>
          <w:sz w:val="36"/>
          <w:szCs w:val="36"/>
          <w:highlight w:val="none"/>
        </w:rPr>
        <w:t>算术复核汇总表</w:t>
      </w:r>
    </w:p>
    <w:p>
      <w:pPr>
        <w:ind w:firstLine="360" w:firstLineChars="150"/>
        <w:rPr>
          <w:rFonts w:hint="eastAsia" w:ascii="宋体" w:hAnsi="宋体" w:eastAsia="宋体"/>
          <w:color w:val="auto"/>
          <w:szCs w:val="21"/>
          <w:highlight w:val="none"/>
        </w:rPr>
      </w:pPr>
      <w:r>
        <w:rPr>
          <w:rFonts w:hint="eastAsia" w:ascii="宋体" w:hAnsi="宋体" w:eastAsia="宋体" w:cs="宋体"/>
          <w:bCs/>
          <w:color w:val="auto"/>
          <w:kern w:val="0"/>
          <w:sz w:val="24"/>
          <w:szCs w:val="24"/>
          <w:highlight w:val="none"/>
        </w:rPr>
        <w:t>工程名称：</w:t>
      </w:r>
    </w:p>
    <w:tbl>
      <w:tblPr>
        <w:tblStyle w:val="18"/>
        <w:tblW w:w="0" w:type="auto"/>
        <w:tblInd w:w="288" w:type="dxa"/>
        <w:tblLayout w:type="fixed"/>
        <w:tblCellMar>
          <w:top w:w="0" w:type="dxa"/>
          <w:left w:w="108" w:type="dxa"/>
          <w:bottom w:w="0" w:type="dxa"/>
          <w:right w:w="108" w:type="dxa"/>
        </w:tblCellMar>
      </w:tblPr>
      <w:tblGrid>
        <w:gridCol w:w="888"/>
        <w:gridCol w:w="4440"/>
        <w:gridCol w:w="3060"/>
        <w:gridCol w:w="3240"/>
        <w:gridCol w:w="2754"/>
      </w:tblGrid>
      <w:tr>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编号</w:t>
            </w:r>
          </w:p>
        </w:tc>
        <w:tc>
          <w:tcPr>
            <w:tcW w:w="4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投标人名称</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原投标报价（A）</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算术复核后投标报价（B）</w:t>
            </w:r>
          </w:p>
        </w:tc>
        <w:tc>
          <w:tcPr>
            <w:tcW w:w="27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误差率（r=|A-B|/A*100%）</w:t>
            </w:r>
          </w:p>
        </w:tc>
      </w:tr>
      <w:tr>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4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r>
      <w:tr>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4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r>
      <w:tr>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4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r>
      <w:tr>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4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r>
      <w:tr>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4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r>
      <w:tr>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4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r>
      <w:tr>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4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r>
      <w:tr>
        <w:tblPrEx>
          <w:tblCellMar>
            <w:top w:w="0" w:type="dxa"/>
            <w:left w:w="108" w:type="dxa"/>
            <w:bottom w:w="0" w:type="dxa"/>
            <w:right w:w="108" w:type="dxa"/>
          </w:tblCellMar>
        </w:tblPrEx>
        <w:trPr>
          <w:trHeight w:val="675" w:hRule="atLeast"/>
        </w:trPr>
        <w:tc>
          <w:tcPr>
            <w:tcW w:w="8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4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3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c>
          <w:tcPr>
            <w:tcW w:w="27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b/>
                <w:color w:val="auto"/>
                <w:sz w:val="24"/>
                <w:szCs w:val="24"/>
                <w:highlight w:val="none"/>
              </w:rPr>
            </w:pPr>
          </w:p>
        </w:tc>
      </w:tr>
    </w:tbl>
    <w:p>
      <w:pPr>
        <w:rPr>
          <w:rFonts w:hint="eastAsia" w:ascii="宋体" w:hAnsi="宋体" w:eastAsia="宋体"/>
          <w:b/>
          <w:color w:val="auto"/>
          <w:sz w:val="24"/>
          <w:szCs w:val="24"/>
          <w:highlight w:val="none"/>
        </w:rPr>
      </w:pPr>
    </w:p>
    <w:p>
      <w:pPr>
        <w:ind w:firstLine="361" w:firstLineChars="150"/>
        <w:rPr>
          <w:rFonts w:hint="eastAsia" w:ascii="宋体" w:hAnsi="宋体" w:eastAsia="宋体"/>
          <w:color w:val="auto"/>
          <w:sz w:val="24"/>
          <w:szCs w:val="24"/>
          <w:highlight w:val="none"/>
        </w:rPr>
      </w:pPr>
      <w:r>
        <w:rPr>
          <w:rFonts w:hint="eastAsia" w:ascii="宋体" w:hAnsi="宋体" w:eastAsia="宋体"/>
          <w:b/>
          <w:bCs/>
          <w:color w:val="auto"/>
          <w:sz w:val="24"/>
          <w:szCs w:val="24"/>
          <w:highlight w:val="none"/>
        </w:rPr>
        <w:t>评委签名</w:t>
      </w:r>
      <w:r>
        <w:rPr>
          <w:rFonts w:hint="eastAsia" w:ascii="宋体" w:hAnsi="宋体" w:eastAsia="宋体"/>
          <w:color w:val="auto"/>
          <w:sz w:val="24"/>
          <w:szCs w:val="24"/>
          <w:highlight w:val="none"/>
        </w:rPr>
        <w:t>：                                                                                         日期：</w:t>
      </w:r>
    </w:p>
    <w:p>
      <w:pPr>
        <w:rPr>
          <w:rFonts w:hint="eastAsia" w:ascii="宋体" w:hAnsi="宋体" w:eastAsia="宋体"/>
          <w:color w:val="auto"/>
          <w:sz w:val="24"/>
          <w:szCs w:val="24"/>
          <w:highlight w:val="none"/>
        </w:rPr>
      </w:pPr>
    </w:p>
    <w:p>
      <w:pPr>
        <w:pStyle w:val="17"/>
        <w:tabs>
          <w:tab w:val="left" w:pos="7380"/>
        </w:tabs>
        <w:spacing w:after="0" w:line="360" w:lineRule="auto"/>
        <w:ind w:firstLine="0"/>
        <w:rPr>
          <w:rFonts w:hint="eastAsia" w:ascii="宋体" w:hAnsi="宋体"/>
          <w:color w:val="auto"/>
          <w:sz w:val="24"/>
          <w:szCs w:val="24"/>
          <w:highlight w:val="none"/>
        </w:rPr>
      </w:pPr>
    </w:p>
    <w:p>
      <w:pPr>
        <w:pStyle w:val="17"/>
        <w:tabs>
          <w:tab w:val="left" w:pos="7380"/>
        </w:tabs>
        <w:spacing w:after="0" w:line="360" w:lineRule="auto"/>
        <w:ind w:firstLine="0"/>
        <w:rPr>
          <w:rFonts w:ascii="宋体" w:hAnsi="宋体"/>
          <w:color w:val="auto"/>
          <w:sz w:val="24"/>
          <w:szCs w:val="24"/>
          <w:highlight w:val="none"/>
        </w:rPr>
        <w:sectPr>
          <w:endnotePr>
            <w:numFmt w:val="decimal"/>
          </w:endnotePr>
          <w:pgSz w:w="16783" w:h="11850" w:orient="landscape"/>
          <w:pgMar w:top="851" w:right="1247" w:bottom="567" w:left="1134" w:header="851" w:footer="567" w:gutter="0"/>
          <w:pgNumType w:fmt="decimal"/>
          <w:cols w:space="720" w:num="1"/>
          <w:titlePg/>
          <w:docGrid w:type="lines" w:linePitch="312" w:charSpace="0"/>
        </w:sectPr>
      </w:pPr>
    </w:p>
    <w:p>
      <w:pPr>
        <w:pStyle w:val="17"/>
        <w:tabs>
          <w:tab w:val="left" w:pos="7380"/>
        </w:tabs>
        <w:spacing w:after="0" w:line="360" w:lineRule="auto"/>
        <w:ind w:firstLine="0"/>
        <w:outlineLvl w:val="2"/>
        <w:rPr>
          <w:rFonts w:hint="eastAsia" w:ascii="宋体" w:hAnsi="宋体"/>
          <w:strike/>
          <w:color w:val="auto"/>
          <w:sz w:val="24"/>
          <w:szCs w:val="24"/>
          <w:highlight w:val="none"/>
        </w:rPr>
      </w:pPr>
      <w:bookmarkStart w:id="202" w:name="_Toc29495"/>
      <w:bookmarkStart w:id="203" w:name="_Toc11493"/>
      <w:r>
        <w:rPr>
          <w:rFonts w:hint="eastAsia" w:ascii="宋体" w:hAnsi="宋体"/>
          <w:strike/>
          <w:color w:val="auto"/>
          <w:sz w:val="24"/>
          <w:szCs w:val="24"/>
          <w:highlight w:val="none"/>
        </w:rPr>
        <w:t>附件5（适用于办法一）</w:t>
      </w:r>
      <w:bookmarkEnd w:id="202"/>
      <w:bookmarkEnd w:id="203"/>
    </w:p>
    <w:p>
      <w:pPr>
        <w:pStyle w:val="17"/>
        <w:tabs>
          <w:tab w:val="left" w:pos="7380"/>
        </w:tabs>
        <w:spacing w:after="0" w:line="360" w:lineRule="auto"/>
        <w:ind w:firstLine="0"/>
        <w:rPr>
          <w:rFonts w:hint="eastAsia" w:ascii="宋体" w:hAnsi="宋体"/>
          <w:strike/>
          <w:color w:val="auto"/>
          <w:sz w:val="24"/>
          <w:szCs w:val="24"/>
          <w:highlight w:val="none"/>
        </w:rPr>
      </w:pPr>
    </w:p>
    <w:p>
      <w:pPr>
        <w:pStyle w:val="17"/>
        <w:tabs>
          <w:tab w:val="left" w:pos="7380"/>
        </w:tabs>
        <w:spacing w:after="0" w:line="360" w:lineRule="auto"/>
        <w:ind w:firstLine="0"/>
        <w:jc w:val="center"/>
        <w:rPr>
          <w:rFonts w:hint="eastAsia" w:ascii="宋体" w:hAnsi="宋体" w:cs="宋体"/>
          <w:b/>
          <w:bCs/>
          <w:strike/>
          <w:color w:val="auto"/>
          <w:sz w:val="32"/>
          <w:szCs w:val="32"/>
          <w:highlight w:val="none"/>
        </w:rPr>
      </w:pPr>
      <w:r>
        <w:rPr>
          <w:rFonts w:hint="eastAsia" w:ascii="宋体" w:hAnsi="宋体" w:cs="宋体"/>
          <w:b/>
          <w:bCs/>
          <w:strike/>
          <w:color w:val="auto"/>
          <w:sz w:val="32"/>
          <w:szCs w:val="32"/>
          <w:highlight w:val="none"/>
        </w:rPr>
        <w:t>第一阶段得分计算表</w:t>
      </w:r>
    </w:p>
    <w:p>
      <w:pPr>
        <w:pStyle w:val="17"/>
        <w:tabs>
          <w:tab w:val="left" w:pos="7380"/>
        </w:tabs>
        <w:spacing w:after="0" w:line="360" w:lineRule="auto"/>
        <w:ind w:firstLine="0"/>
        <w:jc w:val="center"/>
        <w:rPr>
          <w:rFonts w:hint="eastAsia" w:ascii="宋体" w:hAnsi="宋体" w:cs="宋体"/>
          <w:b/>
          <w:bCs/>
          <w:strike/>
          <w:color w:val="auto"/>
          <w:sz w:val="24"/>
          <w:szCs w:val="24"/>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988" w:type="dxa"/>
            <w:noWrap w:val="0"/>
            <w:vAlign w:val="center"/>
          </w:tcPr>
          <w:p>
            <w:pPr>
              <w:pStyle w:val="17"/>
              <w:keepNext w:val="0"/>
              <w:keepLines w:val="0"/>
              <w:suppressLineNumbers w:val="0"/>
              <w:tabs>
                <w:tab w:val="left" w:pos="7380"/>
              </w:tabs>
              <w:snapToGrid w:val="0"/>
              <w:spacing w:before="0" w:beforeAutospacing="0" w:after="0" w:afterAutospacing="0" w:line="360" w:lineRule="auto"/>
              <w:ind w:left="0" w:right="0" w:firstLine="0"/>
              <w:jc w:val="center"/>
              <w:rPr>
                <w:rFonts w:hint="eastAsia" w:ascii="宋体" w:hAnsi="宋体"/>
                <w:strike/>
                <w:color w:val="auto"/>
                <w:kern w:val="2"/>
                <w:sz w:val="24"/>
                <w:szCs w:val="24"/>
                <w:highlight w:val="none"/>
                <w:lang w:val="en-US" w:eastAsia="zh-CN"/>
              </w:rPr>
            </w:pPr>
            <w:r>
              <w:rPr>
                <w:rFonts w:hint="eastAsia" w:ascii="宋体" w:hAnsi="宋体"/>
                <w:strike/>
                <w:color w:val="auto"/>
                <w:kern w:val="2"/>
                <w:sz w:val="24"/>
                <w:szCs w:val="24"/>
                <w:highlight w:val="none"/>
                <w:lang w:val="en-US" w:eastAsia="zh-CN"/>
              </w:rPr>
              <w:t>评审因素</w:t>
            </w:r>
          </w:p>
        </w:tc>
        <w:tc>
          <w:tcPr>
            <w:tcW w:w="6840" w:type="dxa"/>
            <w:noWrap w:val="0"/>
            <w:vAlign w:val="center"/>
          </w:tcPr>
          <w:p>
            <w:pPr>
              <w:pStyle w:val="17"/>
              <w:keepNext w:val="0"/>
              <w:keepLines w:val="0"/>
              <w:suppressLineNumbers w:val="0"/>
              <w:tabs>
                <w:tab w:val="left" w:pos="7380"/>
              </w:tabs>
              <w:snapToGrid w:val="0"/>
              <w:spacing w:before="0" w:beforeAutospacing="0" w:after="0" w:afterAutospacing="0" w:line="360" w:lineRule="auto"/>
              <w:ind w:left="0" w:right="0" w:firstLine="0"/>
              <w:jc w:val="center"/>
              <w:rPr>
                <w:rFonts w:hint="eastAsia" w:ascii="宋体" w:hAnsi="宋体"/>
                <w:strike/>
                <w:color w:val="auto"/>
                <w:kern w:val="2"/>
                <w:sz w:val="24"/>
                <w:szCs w:val="24"/>
                <w:highlight w:val="none"/>
                <w:lang w:val="en-US" w:eastAsia="zh-CN"/>
              </w:rPr>
            </w:pPr>
            <w:r>
              <w:rPr>
                <w:rFonts w:hint="eastAsia" w:ascii="宋体" w:hAnsi="宋体"/>
                <w:strike/>
                <w:color w:val="auto"/>
                <w:kern w:val="2"/>
                <w:sz w:val="24"/>
                <w:szCs w:val="24"/>
                <w:highlight w:val="none"/>
                <w:lang w:val="en-US"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trPr>
        <w:tc>
          <w:tcPr>
            <w:tcW w:w="2988" w:type="dxa"/>
            <w:noWrap w:val="0"/>
            <w:vAlign w:val="center"/>
          </w:tcPr>
          <w:p>
            <w:pPr>
              <w:pStyle w:val="17"/>
              <w:keepNext w:val="0"/>
              <w:keepLines w:val="0"/>
              <w:suppressLineNumbers w:val="0"/>
              <w:tabs>
                <w:tab w:val="left" w:pos="7380"/>
              </w:tabs>
              <w:snapToGrid w:val="0"/>
              <w:spacing w:before="0" w:beforeAutospacing="0" w:after="0" w:afterAutospacing="0" w:line="360" w:lineRule="auto"/>
              <w:ind w:left="0" w:right="0" w:firstLine="0"/>
              <w:jc w:val="center"/>
              <w:rPr>
                <w:rFonts w:hint="eastAsia" w:ascii="宋体" w:hAnsi="宋体"/>
                <w:strike/>
                <w:color w:val="auto"/>
                <w:kern w:val="2"/>
                <w:sz w:val="24"/>
                <w:szCs w:val="24"/>
                <w:highlight w:val="none"/>
                <w:lang w:val="en-US" w:eastAsia="zh-CN"/>
              </w:rPr>
            </w:pPr>
            <w:r>
              <w:rPr>
                <w:rFonts w:hint="eastAsia" w:ascii="宋体" w:hAnsi="宋体"/>
                <w:strike/>
                <w:color w:val="auto"/>
                <w:kern w:val="2"/>
                <w:sz w:val="24"/>
                <w:szCs w:val="24"/>
                <w:highlight w:val="none"/>
                <w:lang w:val="en-US" w:eastAsia="zh-CN"/>
              </w:rPr>
              <w:t>业绩部分</w:t>
            </w:r>
          </w:p>
          <w:p>
            <w:pPr>
              <w:pStyle w:val="17"/>
              <w:keepNext w:val="0"/>
              <w:keepLines w:val="0"/>
              <w:suppressLineNumbers w:val="0"/>
              <w:tabs>
                <w:tab w:val="left" w:pos="7380"/>
              </w:tabs>
              <w:snapToGrid w:val="0"/>
              <w:spacing w:before="0" w:beforeAutospacing="0" w:after="0" w:afterAutospacing="0" w:line="360" w:lineRule="auto"/>
              <w:ind w:left="0" w:right="0" w:firstLine="0"/>
              <w:jc w:val="center"/>
              <w:rPr>
                <w:rFonts w:hint="eastAsia" w:ascii="宋体" w:hAnsi="宋体"/>
                <w:strike/>
                <w:color w:val="auto"/>
                <w:kern w:val="2"/>
                <w:sz w:val="24"/>
                <w:szCs w:val="24"/>
                <w:highlight w:val="none"/>
                <w:lang w:val="en-US" w:eastAsia="zh-CN"/>
              </w:rPr>
            </w:pPr>
            <w:r>
              <w:rPr>
                <w:rFonts w:hint="eastAsia" w:ascii="宋体" w:hAnsi="宋体"/>
                <w:strike/>
                <w:color w:val="auto"/>
                <w:kern w:val="2"/>
                <w:sz w:val="24"/>
                <w:szCs w:val="24"/>
                <w:highlight w:val="none"/>
                <w:lang w:val="en-US" w:eastAsia="zh-CN"/>
              </w:rPr>
              <w:t>（3分）</w:t>
            </w:r>
          </w:p>
        </w:tc>
        <w:tc>
          <w:tcPr>
            <w:tcW w:w="6840" w:type="dxa"/>
            <w:noWrap w:val="0"/>
            <w:vAlign w:val="center"/>
          </w:tcPr>
          <w:p>
            <w:pPr>
              <w:pStyle w:val="17"/>
              <w:keepNext w:val="0"/>
              <w:keepLines w:val="0"/>
              <w:suppressLineNumbers w:val="0"/>
              <w:tabs>
                <w:tab w:val="left" w:pos="7380"/>
              </w:tabs>
              <w:snapToGrid w:val="0"/>
              <w:spacing w:before="0" w:beforeAutospacing="0" w:after="0" w:afterAutospacing="0" w:line="360" w:lineRule="auto"/>
              <w:ind w:left="0" w:right="0" w:firstLine="480" w:firstLineChars="200"/>
              <w:rPr>
                <w:rFonts w:hint="eastAsia" w:ascii="宋体" w:hAnsi="宋体"/>
                <w:strike/>
                <w:color w:val="auto"/>
                <w:kern w:val="2"/>
                <w:sz w:val="24"/>
                <w:szCs w:val="24"/>
                <w:highlight w:val="none"/>
                <w:lang w:val="en-US" w:eastAsia="zh-CN"/>
              </w:rPr>
            </w:pPr>
            <w:r>
              <w:rPr>
                <w:rFonts w:hint="eastAsia" w:ascii="宋体" w:hAnsi="宋体"/>
                <w:strike/>
                <w:color w:val="auto"/>
                <w:kern w:val="2"/>
                <w:sz w:val="24"/>
                <w:szCs w:val="24"/>
                <w:highlight w:val="none"/>
                <w:lang w:val="en-US" w:eastAsia="zh-CN"/>
              </w:rPr>
              <w:t>近三年（按本年1月1日往前计）至今已完成质量合格的类似业绩，每项得1.5分（招标人在设置业绩指标时，业绩指标不得超过工程本身经济或技术指标的三分之二）。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2988" w:type="dxa"/>
            <w:noWrap w:val="0"/>
            <w:vAlign w:val="center"/>
          </w:tcPr>
          <w:p>
            <w:pPr>
              <w:pStyle w:val="17"/>
              <w:keepNext w:val="0"/>
              <w:keepLines w:val="0"/>
              <w:suppressLineNumbers w:val="0"/>
              <w:tabs>
                <w:tab w:val="left" w:pos="7380"/>
              </w:tabs>
              <w:snapToGrid w:val="0"/>
              <w:spacing w:before="0" w:beforeAutospacing="0" w:after="0" w:afterAutospacing="0" w:line="360" w:lineRule="auto"/>
              <w:ind w:left="0" w:right="0" w:firstLine="0"/>
              <w:jc w:val="center"/>
              <w:rPr>
                <w:rFonts w:hint="eastAsia" w:ascii="宋体" w:hAnsi="宋体"/>
                <w:strike/>
                <w:color w:val="auto"/>
                <w:kern w:val="2"/>
                <w:sz w:val="24"/>
                <w:szCs w:val="24"/>
                <w:highlight w:val="none"/>
                <w:lang w:val="en-US" w:eastAsia="zh-CN"/>
              </w:rPr>
            </w:pPr>
            <w:r>
              <w:rPr>
                <w:rFonts w:hint="eastAsia" w:ascii="宋体" w:hAnsi="宋体"/>
                <w:strike/>
                <w:color w:val="auto"/>
                <w:kern w:val="2"/>
                <w:sz w:val="24"/>
                <w:szCs w:val="24"/>
                <w:highlight w:val="none"/>
                <w:lang w:val="en-US" w:eastAsia="zh-CN"/>
              </w:rPr>
              <w:t>报价部分</w:t>
            </w:r>
          </w:p>
        </w:tc>
        <w:tc>
          <w:tcPr>
            <w:tcW w:w="6840" w:type="dxa"/>
            <w:noWrap w:val="0"/>
            <w:vAlign w:val="center"/>
          </w:tcPr>
          <w:p>
            <w:pPr>
              <w:pStyle w:val="17"/>
              <w:keepNext w:val="0"/>
              <w:keepLines w:val="0"/>
              <w:suppressLineNumbers w:val="0"/>
              <w:tabs>
                <w:tab w:val="left" w:pos="7380"/>
              </w:tabs>
              <w:snapToGrid w:val="0"/>
              <w:spacing w:before="0" w:beforeAutospacing="0" w:after="0" w:afterAutospacing="0" w:line="360" w:lineRule="auto"/>
              <w:ind w:left="0" w:right="0" w:firstLine="0"/>
              <w:jc w:val="center"/>
              <w:rPr>
                <w:rFonts w:hint="eastAsia" w:ascii="宋体" w:hAnsi="宋体"/>
                <w:strike/>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pPr>
              <w:pStyle w:val="17"/>
              <w:keepNext w:val="0"/>
              <w:keepLines w:val="0"/>
              <w:suppressLineNumbers w:val="0"/>
              <w:tabs>
                <w:tab w:val="left" w:pos="7380"/>
              </w:tabs>
              <w:snapToGrid w:val="0"/>
              <w:spacing w:before="0" w:beforeAutospacing="0" w:after="0" w:afterAutospacing="0" w:line="360" w:lineRule="auto"/>
              <w:ind w:left="0" w:right="0" w:firstLine="0"/>
              <w:jc w:val="center"/>
              <w:rPr>
                <w:rFonts w:hint="eastAsia" w:ascii="宋体" w:hAnsi="宋体"/>
                <w:strike/>
                <w:color w:val="auto"/>
                <w:kern w:val="2"/>
                <w:sz w:val="24"/>
                <w:szCs w:val="24"/>
                <w:highlight w:val="none"/>
                <w:lang w:val="en-US" w:eastAsia="zh-CN"/>
              </w:rPr>
            </w:pPr>
            <w:r>
              <w:rPr>
                <w:rFonts w:hint="eastAsia" w:ascii="宋体" w:hAnsi="宋体"/>
                <w:strike/>
                <w:color w:val="auto"/>
                <w:kern w:val="2"/>
                <w:sz w:val="24"/>
                <w:szCs w:val="24"/>
                <w:highlight w:val="none"/>
                <w:lang w:val="en-US" w:eastAsia="zh-CN"/>
              </w:rPr>
              <w:t>诚信部分</w:t>
            </w:r>
          </w:p>
          <w:p>
            <w:pPr>
              <w:pStyle w:val="17"/>
              <w:keepNext w:val="0"/>
              <w:keepLines w:val="0"/>
              <w:suppressLineNumbers w:val="0"/>
              <w:tabs>
                <w:tab w:val="left" w:pos="7380"/>
              </w:tabs>
              <w:snapToGrid w:val="0"/>
              <w:spacing w:before="0" w:beforeAutospacing="0" w:after="0" w:afterAutospacing="0" w:line="360" w:lineRule="auto"/>
              <w:ind w:left="0" w:right="0" w:firstLine="0"/>
              <w:jc w:val="center"/>
              <w:rPr>
                <w:rFonts w:hint="eastAsia" w:ascii="宋体" w:hAnsi="宋体"/>
                <w:strike/>
                <w:color w:val="auto"/>
                <w:kern w:val="2"/>
                <w:sz w:val="24"/>
                <w:szCs w:val="24"/>
                <w:highlight w:val="none"/>
                <w:lang w:val="en-US" w:eastAsia="zh-CN"/>
              </w:rPr>
            </w:pPr>
            <w:r>
              <w:rPr>
                <w:rFonts w:hint="eastAsia" w:ascii="宋体" w:hAnsi="宋体"/>
                <w:strike/>
                <w:color w:val="auto"/>
                <w:kern w:val="2"/>
                <w:sz w:val="24"/>
                <w:szCs w:val="24"/>
                <w:highlight w:val="none"/>
                <w:lang w:val="en-US" w:eastAsia="zh-CN"/>
              </w:rPr>
              <w:t>（0-10分）</w:t>
            </w:r>
          </w:p>
        </w:tc>
        <w:tc>
          <w:tcPr>
            <w:tcW w:w="6840" w:type="dxa"/>
            <w:noWrap w:val="0"/>
            <w:vAlign w:val="center"/>
          </w:tcPr>
          <w:p>
            <w:pPr>
              <w:pStyle w:val="17"/>
              <w:keepNext w:val="0"/>
              <w:keepLines w:val="0"/>
              <w:suppressLineNumbers w:val="0"/>
              <w:tabs>
                <w:tab w:val="left" w:pos="7380"/>
              </w:tabs>
              <w:snapToGrid w:val="0"/>
              <w:spacing w:before="0" w:beforeAutospacing="0" w:after="0" w:afterAutospacing="0" w:line="360" w:lineRule="auto"/>
              <w:ind w:left="0" w:right="0" w:firstLine="0"/>
              <w:jc w:val="center"/>
              <w:rPr>
                <w:rFonts w:hint="eastAsia" w:ascii="宋体" w:hAnsi="宋体"/>
                <w:strike/>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988" w:type="dxa"/>
            <w:noWrap w:val="0"/>
            <w:vAlign w:val="center"/>
          </w:tcPr>
          <w:p>
            <w:pPr>
              <w:pStyle w:val="17"/>
              <w:keepNext w:val="0"/>
              <w:keepLines w:val="0"/>
              <w:suppressLineNumbers w:val="0"/>
              <w:tabs>
                <w:tab w:val="left" w:pos="7380"/>
              </w:tabs>
              <w:snapToGrid w:val="0"/>
              <w:spacing w:before="0" w:beforeAutospacing="0" w:after="0" w:afterAutospacing="0" w:line="360" w:lineRule="auto"/>
              <w:ind w:left="0" w:right="0" w:firstLine="0"/>
              <w:jc w:val="center"/>
              <w:rPr>
                <w:rFonts w:hint="eastAsia" w:ascii="宋体" w:hAnsi="宋体"/>
                <w:strike/>
                <w:color w:val="auto"/>
                <w:kern w:val="2"/>
                <w:sz w:val="24"/>
                <w:szCs w:val="24"/>
                <w:highlight w:val="none"/>
                <w:lang w:val="en-US" w:eastAsia="zh-CN"/>
              </w:rPr>
            </w:pPr>
            <w:r>
              <w:rPr>
                <w:rFonts w:hint="eastAsia" w:ascii="宋体" w:hAnsi="宋体"/>
                <w:strike/>
                <w:color w:val="auto"/>
                <w:kern w:val="2"/>
                <w:sz w:val="24"/>
                <w:szCs w:val="24"/>
                <w:highlight w:val="none"/>
                <w:lang w:val="en-US" w:eastAsia="zh-CN"/>
              </w:rPr>
              <w:t>分值构成（总分100分）</w:t>
            </w:r>
          </w:p>
        </w:tc>
        <w:tc>
          <w:tcPr>
            <w:tcW w:w="6840" w:type="dxa"/>
            <w:noWrap w:val="0"/>
            <w:vAlign w:val="center"/>
          </w:tcPr>
          <w:p>
            <w:pPr>
              <w:pStyle w:val="17"/>
              <w:keepNext w:val="0"/>
              <w:keepLines w:val="0"/>
              <w:suppressLineNumbers w:val="0"/>
              <w:tabs>
                <w:tab w:val="left" w:pos="7380"/>
              </w:tabs>
              <w:snapToGrid w:val="0"/>
              <w:spacing w:before="0" w:beforeAutospacing="0" w:after="0" w:afterAutospacing="0" w:line="360" w:lineRule="auto"/>
              <w:ind w:left="0" w:right="0" w:firstLine="0"/>
              <w:jc w:val="center"/>
              <w:rPr>
                <w:rFonts w:hint="eastAsia" w:ascii="宋体" w:hAnsi="宋体"/>
                <w:strike/>
                <w:color w:val="auto"/>
                <w:kern w:val="2"/>
                <w:sz w:val="24"/>
                <w:szCs w:val="24"/>
                <w:highlight w:val="none"/>
                <w:lang w:val="en-US" w:eastAsia="zh-CN"/>
              </w:rPr>
            </w:pPr>
          </w:p>
        </w:tc>
      </w:tr>
    </w:tbl>
    <w:p>
      <w:pPr>
        <w:pStyle w:val="17"/>
        <w:tabs>
          <w:tab w:val="left" w:pos="7380"/>
        </w:tabs>
        <w:spacing w:after="0" w:line="360" w:lineRule="auto"/>
        <w:ind w:firstLine="0"/>
        <w:rPr>
          <w:rFonts w:hint="eastAsia" w:ascii="宋体" w:hAnsi="宋体"/>
          <w:strike/>
          <w:color w:val="auto"/>
          <w:szCs w:val="21"/>
          <w:highlight w:val="none"/>
        </w:rPr>
      </w:pPr>
      <w:r>
        <w:rPr>
          <w:rFonts w:hint="eastAsia" w:ascii="宋体" w:hAnsi="宋体"/>
          <w:strike/>
          <w:color w:val="auto"/>
          <w:szCs w:val="21"/>
          <w:highlight w:val="none"/>
        </w:rPr>
        <w:t>注：1.评委对业绩认定意见不一致时，则由招标人解释招标文件后，评委讨论业绩认定标准；经讨论后标准仍不一致时，则按少数服从多数处理；按少数服从多数仍不能形成一致意见时，则暂停评标，向招标人反映，并由招标人处理，仍无法处理时，再向招投标监管机构报告。</w:t>
      </w:r>
    </w:p>
    <w:p>
      <w:pPr>
        <w:pStyle w:val="17"/>
        <w:tabs>
          <w:tab w:val="left" w:pos="7380"/>
        </w:tabs>
        <w:spacing w:after="0" w:line="360" w:lineRule="auto"/>
        <w:ind w:firstLine="400" w:firstLineChars="200"/>
        <w:rPr>
          <w:rFonts w:hint="eastAsia" w:ascii="宋体" w:hAnsi="宋体"/>
          <w:strike/>
          <w:color w:val="auto"/>
          <w:szCs w:val="21"/>
          <w:highlight w:val="none"/>
        </w:rPr>
      </w:pPr>
      <w:r>
        <w:rPr>
          <w:rFonts w:hint="eastAsia" w:ascii="宋体" w:hAnsi="宋体"/>
          <w:strike/>
          <w:color w:val="auto"/>
          <w:szCs w:val="21"/>
          <w:highlight w:val="none"/>
        </w:rPr>
        <w:t>2.</w:t>
      </w:r>
      <w:r>
        <w:rPr>
          <w:rFonts w:ascii="宋体" w:hAnsi="宋体"/>
          <w:strike/>
          <w:color w:val="auto"/>
          <w:szCs w:val="21"/>
          <w:highlight w:val="none"/>
        </w:rPr>
        <w:t>业绩取自广州公共资源交易中心</w:t>
      </w:r>
      <w:r>
        <w:rPr>
          <w:rFonts w:hint="eastAsia" w:ascii="宋体" w:hAnsi="宋体"/>
          <w:strike/>
          <w:color w:val="auto"/>
          <w:szCs w:val="21"/>
          <w:highlight w:val="none"/>
        </w:rPr>
        <w:t>城市园林绿化</w:t>
      </w:r>
      <w:r>
        <w:rPr>
          <w:rFonts w:ascii="宋体" w:hAnsi="宋体"/>
          <w:strike/>
          <w:color w:val="auto"/>
          <w:szCs w:val="21"/>
          <w:highlight w:val="none"/>
        </w:rPr>
        <w:t>企业</w:t>
      </w:r>
      <w:r>
        <w:rPr>
          <w:rFonts w:hint="eastAsia" w:ascii="宋体" w:hAnsi="宋体"/>
          <w:strike/>
          <w:color w:val="auto"/>
          <w:szCs w:val="21"/>
          <w:highlight w:val="none"/>
        </w:rPr>
        <w:t>工程业绩</w:t>
      </w:r>
      <w:r>
        <w:rPr>
          <w:rFonts w:ascii="宋体" w:hAnsi="宋体"/>
          <w:strike/>
          <w:color w:val="auto"/>
          <w:szCs w:val="21"/>
          <w:highlight w:val="none"/>
        </w:rPr>
        <w:t>库。</w:t>
      </w:r>
      <w:r>
        <w:rPr>
          <w:rFonts w:hint="eastAsia" w:ascii="宋体" w:hAnsi="宋体"/>
          <w:strike/>
          <w:color w:val="auto"/>
          <w:szCs w:val="21"/>
          <w:highlight w:val="none"/>
        </w:rPr>
        <w:t>园林绿化工程业绩，需同时提供中标通知书、施工合同、竣工验收报告或竣工验收证明。如以上资料不能证明业绩规模的技术指标（指面积、跨度等）的，须另提供可证明业绩技术指标的其他资料。业绩金额以中标通知书为准，中标通知书上没有金额的，以施工合同（不含补充合同）为准，完成时间以竣工验收时间为准。</w:t>
      </w:r>
    </w:p>
    <w:p>
      <w:pPr>
        <w:pStyle w:val="17"/>
        <w:tabs>
          <w:tab w:val="left" w:pos="7380"/>
        </w:tabs>
        <w:spacing w:after="0" w:line="360" w:lineRule="auto"/>
        <w:ind w:firstLine="400" w:firstLineChars="200"/>
        <w:rPr>
          <w:rFonts w:hint="eastAsia" w:ascii="宋体" w:hAnsi="宋体"/>
          <w:strike/>
          <w:color w:val="auto"/>
          <w:szCs w:val="21"/>
          <w:highlight w:val="none"/>
        </w:rPr>
      </w:pPr>
      <w:r>
        <w:rPr>
          <w:rFonts w:hint="eastAsia" w:ascii="宋体" w:hAnsi="宋体"/>
          <w:strike/>
          <w:color w:val="auto"/>
          <w:szCs w:val="21"/>
          <w:highlight w:val="none"/>
        </w:rPr>
        <w:t>提交资料不符合上述要求的或登记的工程内容与施工合同等业绩证明资料不相符的，该项业绩不计算得分。</w:t>
      </w:r>
    </w:p>
    <w:p>
      <w:pPr>
        <w:pStyle w:val="17"/>
        <w:tabs>
          <w:tab w:val="left" w:pos="7380"/>
        </w:tabs>
        <w:spacing w:after="0" w:line="360" w:lineRule="auto"/>
        <w:ind w:firstLine="400" w:firstLineChars="200"/>
        <w:rPr>
          <w:rFonts w:hint="eastAsia" w:ascii="宋体" w:hAnsi="宋体"/>
          <w:strike/>
          <w:color w:val="auto"/>
          <w:sz w:val="24"/>
          <w:szCs w:val="24"/>
          <w:highlight w:val="none"/>
        </w:rPr>
      </w:pPr>
      <w:r>
        <w:rPr>
          <w:rFonts w:hint="eastAsia" w:ascii="宋体" w:hAnsi="宋体"/>
          <w:strike/>
          <w:color w:val="auto"/>
          <w:szCs w:val="21"/>
          <w:highlight w:val="none"/>
        </w:rPr>
        <w:t>3.以上业绩以投标人在投标截止时间前最后一次网上选择参与本项目的业绩，并用本企业的</w:t>
      </w:r>
      <w:r>
        <w:rPr>
          <w:rFonts w:ascii="宋体" w:hAnsi="宋体"/>
          <w:strike/>
          <w:color w:val="auto"/>
          <w:szCs w:val="21"/>
          <w:highlight w:val="none"/>
        </w:rPr>
        <w:t>CA</w:t>
      </w:r>
      <w:r>
        <w:rPr>
          <w:rFonts w:hint="eastAsia" w:ascii="宋体" w:hAnsi="宋体"/>
          <w:strike/>
          <w:color w:val="auto"/>
          <w:szCs w:val="21"/>
          <w:highlight w:val="none"/>
        </w:rPr>
        <w:t>数字证书对系统生成的内容进行签章的文件为准。</w:t>
      </w:r>
    </w:p>
    <w:p>
      <w:pPr>
        <w:pStyle w:val="17"/>
        <w:tabs>
          <w:tab w:val="left" w:pos="7380"/>
        </w:tabs>
        <w:spacing w:after="0" w:line="360" w:lineRule="auto"/>
        <w:ind w:firstLine="0"/>
        <w:rPr>
          <w:rFonts w:ascii="宋体" w:hAnsi="宋体"/>
          <w:strike/>
          <w:color w:val="auto"/>
          <w:sz w:val="24"/>
          <w:szCs w:val="24"/>
          <w:highlight w:val="none"/>
        </w:rPr>
        <w:sectPr>
          <w:endnotePr>
            <w:numFmt w:val="decimal"/>
          </w:endnotePr>
          <w:pgSz w:w="11850" w:h="16783"/>
          <w:pgMar w:top="1247" w:right="1134" w:bottom="1134" w:left="1134" w:header="851" w:footer="567" w:gutter="0"/>
          <w:pgNumType w:fmt="decimal"/>
          <w:cols w:space="720" w:num="1"/>
          <w:titlePg/>
          <w:docGrid w:type="lines" w:linePitch="312" w:charSpace="0"/>
        </w:sectPr>
      </w:pPr>
    </w:p>
    <w:p>
      <w:pPr>
        <w:pStyle w:val="17"/>
        <w:tabs>
          <w:tab w:val="left" w:pos="7380"/>
        </w:tabs>
        <w:spacing w:after="0" w:line="360" w:lineRule="auto"/>
        <w:ind w:firstLine="0"/>
        <w:rPr>
          <w:rFonts w:hint="eastAsia" w:ascii="宋体" w:hAnsi="宋体"/>
          <w:color w:val="auto"/>
          <w:sz w:val="24"/>
          <w:szCs w:val="24"/>
          <w:highlight w:val="none"/>
        </w:rPr>
      </w:pPr>
    </w:p>
    <w:p>
      <w:pPr>
        <w:pStyle w:val="17"/>
        <w:tabs>
          <w:tab w:val="left" w:pos="7380"/>
        </w:tabs>
        <w:spacing w:after="0" w:line="360" w:lineRule="auto"/>
        <w:ind w:firstLine="0"/>
        <w:outlineLvl w:val="2"/>
        <w:rPr>
          <w:rFonts w:hint="eastAsia" w:ascii="宋体" w:hAnsi="宋体"/>
          <w:strike/>
          <w:color w:val="auto"/>
          <w:sz w:val="24"/>
          <w:szCs w:val="24"/>
          <w:highlight w:val="none"/>
        </w:rPr>
      </w:pPr>
      <w:bookmarkStart w:id="204" w:name="_Toc32535"/>
      <w:bookmarkStart w:id="205" w:name="_Toc2359"/>
      <w:r>
        <w:rPr>
          <w:rFonts w:hint="eastAsia" w:ascii="宋体" w:hAnsi="宋体"/>
          <w:strike/>
          <w:color w:val="auto"/>
          <w:sz w:val="24"/>
          <w:szCs w:val="24"/>
          <w:highlight w:val="none"/>
        </w:rPr>
        <w:t>附件6（适用于办法一）</w:t>
      </w:r>
      <w:bookmarkEnd w:id="204"/>
      <w:bookmarkEnd w:id="205"/>
    </w:p>
    <w:p>
      <w:pPr>
        <w:pStyle w:val="17"/>
        <w:tabs>
          <w:tab w:val="left" w:pos="7380"/>
        </w:tabs>
        <w:spacing w:after="0" w:line="360" w:lineRule="auto"/>
        <w:ind w:firstLine="0"/>
        <w:rPr>
          <w:rFonts w:hint="eastAsia" w:ascii="宋体" w:hAnsi="宋体"/>
          <w:strike/>
          <w:color w:val="auto"/>
          <w:sz w:val="24"/>
          <w:szCs w:val="24"/>
          <w:highlight w:val="none"/>
        </w:rPr>
      </w:pPr>
    </w:p>
    <w:p>
      <w:pPr>
        <w:pStyle w:val="17"/>
        <w:tabs>
          <w:tab w:val="left" w:pos="7380"/>
        </w:tabs>
        <w:spacing w:after="0" w:line="360" w:lineRule="auto"/>
        <w:ind w:firstLine="0"/>
        <w:rPr>
          <w:rFonts w:hint="eastAsia" w:ascii="宋体" w:hAnsi="宋体"/>
          <w:strike/>
          <w:color w:val="auto"/>
          <w:sz w:val="24"/>
          <w:szCs w:val="24"/>
          <w:highlight w:val="none"/>
        </w:rPr>
      </w:pPr>
    </w:p>
    <w:p>
      <w:pPr>
        <w:spacing w:line="360" w:lineRule="auto"/>
        <w:jc w:val="center"/>
        <w:rPr>
          <w:rFonts w:hint="eastAsia" w:ascii="宋体" w:hAnsi="宋体" w:eastAsia="宋体" w:cs="宋体"/>
          <w:bCs/>
          <w:strike/>
          <w:dstrike w:val="0"/>
          <w:color w:val="auto"/>
          <w:kern w:val="0"/>
          <w:sz w:val="24"/>
          <w:szCs w:val="24"/>
          <w:highlight w:val="none"/>
        </w:rPr>
      </w:pPr>
      <w:r>
        <w:rPr>
          <w:rFonts w:hint="eastAsia" w:ascii="宋体" w:hAnsi="宋体" w:eastAsia="宋体"/>
          <w:b/>
          <w:bCs/>
          <w:strike/>
          <w:dstrike w:val="0"/>
          <w:color w:val="auto"/>
          <w:sz w:val="32"/>
          <w:szCs w:val="32"/>
          <w:highlight w:val="none"/>
        </w:rPr>
        <w:t>第一阶段汇总得分排序表</w:t>
      </w:r>
    </w:p>
    <w:p>
      <w:pPr>
        <w:spacing w:line="360" w:lineRule="auto"/>
        <w:rPr>
          <w:rFonts w:hint="eastAsia" w:ascii="宋体" w:hAnsi="宋体" w:eastAsia="宋体" w:cs="宋体"/>
          <w:bCs/>
          <w:strike/>
          <w:dstrike w:val="0"/>
          <w:color w:val="auto"/>
          <w:kern w:val="0"/>
          <w:sz w:val="24"/>
          <w:szCs w:val="24"/>
          <w:highlight w:val="none"/>
        </w:rPr>
      </w:pPr>
      <w:r>
        <w:rPr>
          <w:rFonts w:hint="eastAsia" w:ascii="宋体" w:hAnsi="宋体" w:eastAsia="宋体"/>
          <w:strike/>
          <w:dstrike w:val="0"/>
          <w:color w:val="auto"/>
          <w:sz w:val="24"/>
          <w:szCs w:val="24"/>
          <w:highlight w:val="none"/>
        </w:rPr>
        <w:t>项目编号：</w:t>
      </w:r>
    </w:p>
    <w:p>
      <w:pPr>
        <w:spacing w:line="360" w:lineRule="auto"/>
        <w:rPr>
          <w:rFonts w:hint="eastAsia" w:ascii="宋体" w:hAnsi="宋体" w:eastAsia="宋体" w:cs="宋体"/>
          <w:bCs/>
          <w:strike/>
          <w:dstrike w:val="0"/>
          <w:color w:val="auto"/>
          <w:kern w:val="0"/>
          <w:sz w:val="24"/>
          <w:szCs w:val="24"/>
          <w:highlight w:val="none"/>
        </w:rPr>
      </w:pPr>
      <w:r>
        <w:rPr>
          <w:rFonts w:hint="eastAsia" w:ascii="宋体" w:hAnsi="宋体" w:eastAsia="宋体"/>
          <w:strike/>
          <w:dstrike w:val="0"/>
          <w:color w:val="auto"/>
          <w:sz w:val="24"/>
          <w:szCs w:val="24"/>
          <w:highlight w:val="none"/>
        </w:rPr>
        <w:t>工程名称：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5393"/>
        <w:gridCol w:w="1079"/>
        <w:gridCol w:w="1259"/>
        <w:gridCol w:w="1439"/>
        <w:gridCol w:w="1079"/>
        <w:gridCol w:w="1079"/>
        <w:gridCol w:w="1439"/>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strike/>
                <w:dstrike w:val="0"/>
                <w:color w:val="auto"/>
                <w:sz w:val="24"/>
                <w:szCs w:val="24"/>
                <w:highlight w:val="none"/>
              </w:rPr>
            </w:pPr>
            <w:r>
              <w:rPr>
                <w:rFonts w:hint="eastAsia" w:ascii="宋体" w:hAnsi="宋体" w:eastAsia="宋体"/>
                <w:strike/>
                <w:dstrike w:val="0"/>
                <w:color w:val="auto"/>
                <w:sz w:val="24"/>
                <w:szCs w:val="24"/>
                <w:highlight w:val="none"/>
              </w:rPr>
              <w:t>序号</w:t>
            </w:r>
          </w:p>
        </w:tc>
        <w:tc>
          <w:tcPr>
            <w:tcW w:w="539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strike/>
                <w:dstrike w:val="0"/>
                <w:color w:val="auto"/>
                <w:sz w:val="24"/>
                <w:szCs w:val="24"/>
                <w:highlight w:val="none"/>
              </w:rPr>
            </w:pPr>
            <w:r>
              <w:rPr>
                <w:rFonts w:hint="eastAsia" w:ascii="宋体" w:hAnsi="宋体" w:eastAsia="宋体"/>
                <w:strike/>
                <w:dstrike w:val="0"/>
                <w:color w:val="auto"/>
                <w:sz w:val="24"/>
                <w:szCs w:val="24"/>
                <w:highlight w:val="none"/>
              </w:rPr>
              <w:t>投标人</w:t>
            </w:r>
          </w:p>
        </w:tc>
        <w:tc>
          <w:tcPr>
            <w:tcW w:w="107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strike/>
                <w:dstrike w:val="0"/>
                <w:color w:val="auto"/>
                <w:kern w:val="0"/>
                <w:sz w:val="24"/>
                <w:szCs w:val="24"/>
                <w:highlight w:val="none"/>
              </w:rPr>
            </w:pPr>
            <w:r>
              <w:rPr>
                <w:rFonts w:hint="eastAsia" w:ascii="宋体" w:hAnsi="宋体" w:eastAsia="宋体" w:cs="宋体"/>
                <w:bCs/>
                <w:strike/>
                <w:dstrike w:val="0"/>
                <w:color w:val="auto"/>
                <w:kern w:val="0"/>
                <w:sz w:val="24"/>
                <w:szCs w:val="24"/>
                <w:highlight w:val="none"/>
              </w:rPr>
              <w:t>报价</w:t>
            </w:r>
          </w:p>
          <w:p>
            <w:pPr>
              <w:keepNext w:val="0"/>
              <w:keepLines w:val="0"/>
              <w:suppressLineNumbers w:val="0"/>
              <w:spacing w:before="0" w:beforeAutospacing="0" w:after="0" w:afterAutospacing="0"/>
              <w:ind w:left="0" w:right="0"/>
              <w:jc w:val="center"/>
              <w:rPr>
                <w:rFonts w:hint="eastAsia" w:ascii="宋体" w:hAnsi="宋体" w:eastAsia="宋体" w:cs="宋体"/>
                <w:bCs/>
                <w:strike/>
                <w:dstrike w:val="0"/>
                <w:color w:val="auto"/>
                <w:kern w:val="0"/>
                <w:sz w:val="24"/>
                <w:szCs w:val="24"/>
                <w:highlight w:val="none"/>
              </w:rPr>
            </w:pPr>
            <w:r>
              <w:rPr>
                <w:rFonts w:hint="eastAsia" w:ascii="宋体" w:hAnsi="宋体" w:eastAsia="宋体" w:cs="宋体"/>
                <w:bCs/>
                <w:strike/>
                <w:dstrike w:val="0"/>
                <w:color w:val="auto"/>
                <w:kern w:val="0"/>
                <w:sz w:val="24"/>
                <w:szCs w:val="24"/>
                <w:highlight w:val="none"/>
              </w:rPr>
              <w:t>得分</w:t>
            </w:r>
          </w:p>
        </w:tc>
        <w:tc>
          <w:tcPr>
            <w:tcW w:w="125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strike/>
                <w:dstrike w:val="0"/>
                <w:color w:val="auto"/>
                <w:kern w:val="0"/>
                <w:sz w:val="24"/>
                <w:szCs w:val="24"/>
                <w:highlight w:val="none"/>
              </w:rPr>
            </w:pPr>
            <w:r>
              <w:rPr>
                <w:rFonts w:hint="eastAsia" w:ascii="宋体" w:hAnsi="宋体" w:eastAsia="宋体" w:cs="宋体"/>
                <w:bCs/>
                <w:strike/>
                <w:dstrike w:val="0"/>
                <w:color w:val="auto"/>
                <w:kern w:val="0"/>
                <w:sz w:val="24"/>
                <w:szCs w:val="24"/>
                <w:highlight w:val="none"/>
              </w:rPr>
              <w:t>报价</w:t>
            </w:r>
          </w:p>
          <w:p>
            <w:pPr>
              <w:keepNext w:val="0"/>
              <w:keepLines w:val="0"/>
              <w:suppressLineNumbers w:val="0"/>
              <w:spacing w:before="0" w:beforeAutospacing="0" w:after="0" w:afterAutospacing="0"/>
              <w:ind w:left="0" w:right="0"/>
              <w:jc w:val="center"/>
              <w:rPr>
                <w:rFonts w:hint="eastAsia" w:ascii="宋体" w:hAnsi="宋体" w:eastAsia="宋体" w:cs="宋体"/>
                <w:bCs/>
                <w:strike/>
                <w:dstrike w:val="0"/>
                <w:color w:val="auto"/>
                <w:kern w:val="0"/>
                <w:sz w:val="24"/>
                <w:szCs w:val="24"/>
                <w:highlight w:val="none"/>
              </w:rPr>
            </w:pPr>
            <w:r>
              <w:rPr>
                <w:rFonts w:hint="eastAsia" w:ascii="宋体" w:hAnsi="宋体" w:eastAsia="宋体" w:cs="宋体"/>
                <w:bCs/>
                <w:strike/>
                <w:dstrike w:val="0"/>
                <w:color w:val="auto"/>
                <w:kern w:val="0"/>
                <w:sz w:val="24"/>
                <w:szCs w:val="24"/>
                <w:highlight w:val="none"/>
              </w:rPr>
              <w:t>权重</w:t>
            </w:r>
          </w:p>
        </w:tc>
        <w:tc>
          <w:tcPr>
            <w:tcW w:w="143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strike/>
                <w:dstrike w:val="0"/>
                <w:color w:val="auto"/>
                <w:kern w:val="0"/>
                <w:sz w:val="24"/>
                <w:szCs w:val="24"/>
                <w:highlight w:val="none"/>
              </w:rPr>
            </w:pPr>
            <w:r>
              <w:rPr>
                <w:rFonts w:hint="eastAsia" w:ascii="宋体" w:hAnsi="宋体" w:eastAsia="宋体" w:cs="宋体"/>
                <w:bCs/>
                <w:strike/>
                <w:dstrike w:val="0"/>
                <w:color w:val="auto"/>
                <w:kern w:val="0"/>
                <w:sz w:val="24"/>
                <w:szCs w:val="24"/>
                <w:highlight w:val="none"/>
              </w:rPr>
              <w:t>业绩</w:t>
            </w:r>
          </w:p>
          <w:p>
            <w:pPr>
              <w:keepNext w:val="0"/>
              <w:keepLines w:val="0"/>
              <w:suppressLineNumbers w:val="0"/>
              <w:spacing w:before="0" w:beforeAutospacing="0" w:after="0" w:afterAutospacing="0"/>
              <w:ind w:left="0" w:right="0"/>
              <w:jc w:val="center"/>
              <w:rPr>
                <w:rFonts w:hint="eastAsia" w:ascii="宋体" w:hAnsi="宋体" w:eastAsia="宋体" w:cs="宋体"/>
                <w:bCs/>
                <w:strike/>
                <w:dstrike w:val="0"/>
                <w:color w:val="auto"/>
                <w:kern w:val="0"/>
                <w:sz w:val="24"/>
                <w:szCs w:val="24"/>
                <w:highlight w:val="none"/>
              </w:rPr>
            </w:pPr>
            <w:r>
              <w:rPr>
                <w:rFonts w:hint="eastAsia" w:ascii="宋体" w:hAnsi="宋体" w:eastAsia="宋体" w:cs="宋体"/>
                <w:bCs/>
                <w:strike/>
                <w:dstrike w:val="0"/>
                <w:color w:val="auto"/>
                <w:kern w:val="0"/>
                <w:sz w:val="24"/>
                <w:szCs w:val="24"/>
                <w:highlight w:val="none"/>
              </w:rPr>
              <w:t>得分</w:t>
            </w:r>
          </w:p>
        </w:tc>
        <w:tc>
          <w:tcPr>
            <w:tcW w:w="107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strike/>
                <w:dstrike w:val="0"/>
                <w:color w:val="auto"/>
                <w:kern w:val="0"/>
                <w:sz w:val="24"/>
                <w:szCs w:val="24"/>
                <w:highlight w:val="none"/>
              </w:rPr>
            </w:pPr>
            <w:r>
              <w:rPr>
                <w:rFonts w:hint="eastAsia" w:ascii="宋体" w:hAnsi="宋体" w:eastAsia="宋体" w:cs="宋体"/>
                <w:bCs/>
                <w:strike/>
                <w:dstrike w:val="0"/>
                <w:color w:val="auto"/>
                <w:kern w:val="0"/>
                <w:sz w:val="24"/>
                <w:szCs w:val="24"/>
                <w:highlight w:val="none"/>
              </w:rPr>
              <w:t>诚信</w:t>
            </w:r>
          </w:p>
          <w:p>
            <w:pPr>
              <w:keepNext w:val="0"/>
              <w:keepLines w:val="0"/>
              <w:suppressLineNumbers w:val="0"/>
              <w:spacing w:before="0" w:beforeAutospacing="0" w:after="0" w:afterAutospacing="0"/>
              <w:ind w:left="0" w:right="0"/>
              <w:jc w:val="center"/>
              <w:rPr>
                <w:rFonts w:hint="eastAsia" w:ascii="宋体" w:hAnsi="宋体" w:eastAsia="宋体" w:cs="宋体"/>
                <w:bCs/>
                <w:strike/>
                <w:dstrike w:val="0"/>
                <w:color w:val="auto"/>
                <w:kern w:val="0"/>
                <w:sz w:val="24"/>
                <w:szCs w:val="24"/>
                <w:highlight w:val="none"/>
              </w:rPr>
            </w:pPr>
            <w:r>
              <w:rPr>
                <w:rFonts w:hint="eastAsia" w:ascii="宋体" w:hAnsi="宋体" w:eastAsia="宋体" w:cs="宋体"/>
                <w:bCs/>
                <w:strike/>
                <w:dstrike w:val="0"/>
                <w:color w:val="auto"/>
                <w:kern w:val="0"/>
                <w:sz w:val="24"/>
                <w:szCs w:val="24"/>
                <w:highlight w:val="none"/>
              </w:rPr>
              <w:t>得分</w:t>
            </w:r>
          </w:p>
        </w:tc>
        <w:tc>
          <w:tcPr>
            <w:tcW w:w="107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strike/>
                <w:dstrike w:val="0"/>
                <w:color w:val="auto"/>
                <w:kern w:val="0"/>
                <w:sz w:val="24"/>
                <w:szCs w:val="24"/>
                <w:highlight w:val="none"/>
              </w:rPr>
            </w:pPr>
            <w:r>
              <w:rPr>
                <w:rFonts w:hint="eastAsia" w:ascii="宋体" w:hAnsi="宋体" w:eastAsia="宋体" w:cs="宋体"/>
                <w:bCs/>
                <w:strike/>
                <w:dstrike w:val="0"/>
                <w:color w:val="auto"/>
                <w:kern w:val="0"/>
                <w:sz w:val="24"/>
                <w:szCs w:val="24"/>
                <w:highlight w:val="none"/>
              </w:rPr>
              <w:t>诚信</w:t>
            </w:r>
          </w:p>
          <w:p>
            <w:pPr>
              <w:keepNext w:val="0"/>
              <w:keepLines w:val="0"/>
              <w:suppressLineNumbers w:val="0"/>
              <w:spacing w:before="0" w:beforeAutospacing="0" w:after="0" w:afterAutospacing="0"/>
              <w:ind w:left="0" w:right="0"/>
              <w:jc w:val="center"/>
              <w:rPr>
                <w:rFonts w:hint="eastAsia" w:ascii="宋体" w:hAnsi="宋体" w:eastAsia="宋体" w:cs="宋体"/>
                <w:bCs/>
                <w:strike/>
                <w:dstrike w:val="0"/>
                <w:color w:val="auto"/>
                <w:kern w:val="0"/>
                <w:sz w:val="24"/>
                <w:szCs w:val="24"/>
                <w:highlight w:val="none"/>
              </w:rPr>
            </w:pPr>
            <w:r>
              <w:rPr>
                <w:rFonts w:hint="eastAsia" w:ascii="宋体" w:hAnsi="宋体" w:eastAsia="宋体" w:cs="宋体"/>
                <w:bCs/>
                <w:strike/>
                <w:dstrike w:val="0"/>
                <w:color w:val="auto"/>
                <w:kern w:val="0"/>
                <w:sz w:val="24"/>
                <w:szCs w:val="24"/>
                <w:highlight w:val="none"/>
              </w:rPr>
              <w:t>权重</w:t>
            </w:r>
          </w:p>
        </w:tc>
        <w:tc>
          <w:tcPr>
            <w:tcW w:w="143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strike/>
                <w:dstrike w:val="0"/>
                <w:color w:val="auto"/>
                <w:kern w:val="0"/>
                <w:sz w:val="24"/>
                <w:szCs w:val="24"/>
                <w:highlight w:val="none"/>
              </w:rPr>
            </w:pPr>
            <w:r>
              <w:rPr>
                <w:rFonts w:hint="eastAsia" w:ascii="宋体" w:hAnsi="宋体" w:eastAsia="宋体" w:cs="宋体"/>
                <w:bCs/>
                <w:strike/>
                <w:dstrike w:val="0"/>
                <w:color w:val="auto"/>
                <w:kern w:val="0"/>
                <w:sz w:val="24"/>
                <w:szCs w:val="24"/>
                <w:highlight w:val="none"/>
              </w:rPr>
              <w:t>总得分</w:t>
            </w:r>
          </w:p>
        </w:tc>
        <w:tc>
          <w:tcPr>
            <w:tcW w:w="125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Cs/>
                <w:strike/>
                <w:dstrike w:val="0"/>
                <w:color w:val="auto"/>
                <w:kern w:val="0"/>
                <w:sz w:val="24"/>
                <w:szCs w:val="24"/>
                <w:highlight w:val="none"/>
              </w:rPr>
            </w:pPr>
            <w:r>
              <w:rPr>
                <w:rFonts w:hint="eastAsia" w:ascii="宋体" w:hAnsi="宋体" w:eastAsia="宋体" w:cs="宋体"/>
                <w:bCs/>
                <w:strike/>
                <w:dstrike w:val="0"/>
                <w:color w:val="auto"/>
                <w:kern w:val="0"/>
                <w:sz w:val="24"/>
                <w:szCs w:val="24"/>
                <w:highlight w:val="none"/>
              </w:rPr>
              <w:t>总得分</w:t>
            </w:r>
          </w:p>
          <w:p>
            <w:pPr>
              <w:keepNext w:val="0"/>
              <w:keepLines w:val="0"/>
              <w:suppressLineNumbers w:val="0"/>
              <w:spacing w:before="0" w:beforeAutospacing="0" w:after="0" w:afterAutospacing="0"/>
              <w:ind w:left="0" w:right="0"/>
              <w:jc w:val="center"/>
              <w:rPr>
                <w:rFonts w:hint="eastAsia" w:ascii="宋体" w:hAnsi="宋体" w:eastAsia="宋体" w:cs="宋体"/>
                <w:bCs/>
                <w:strike/>
                <w:dstrike w:val="0"/>
                <w:color w:val="auto"/>
                <w:kern w:val="0"/>
                <w:sz w:val="24"/>
                <w:szCs w:val="24"/>
                <w:highlight w:val="none"/>
              </w:rPr>
            </w:pPr>
            <w:r>
              <w:rPr>
                <w:rFonts w:hint="eastAsia" w:ascii="宋体" w:hAnsi="宋体" w:eastAsia="宋体" w:cs="宋体"/>
                <w:bCs/>
                <w:strike/>
                <w:dstrike w:val="0"/>
                <w:color w:val="auto"/>
                <w:kern w:val="0"/>
                <w:sz w:val="24"/>
                <w:szCs w:val="24"/>
                <w:highlight w:val="none"/>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r>
              <w:rPr>
                <w:rFonts w:hint="eastAsia" w:ascii="宋体" w:hAnsi="宋体" w:eastAsia="宋体" w:cs="宋体"/>
                <w:bCs/>
                <w:strike/>
                <w:dstrike w:val="0"/>
                <w:color w:val="auto"/>
                <w:kern w:val="0"/>
                <w:sz w:val="24"/>
                <w:szCs w:val="24"/>
                <w:highlight w:val="none"/>
              </w:rPr>
              <w:t>1</w:t>
            </w:r>
          </w:p>
        </w:tc>
        <w:tc>
          <w:tcPr>
            <w:tcW w:w="539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07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25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4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07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07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4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25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r>
              <w:rPr>
                <w:rFonts w:hint="eastAsia" w:ascii="宋体" w:hAnsi="宋体" w:eastAsia="宋体" w:cs="宋体"/>
                <w:bCs/>
                <w:strike/>
                <w:dstrike w:val="0"/>
                <w:color w:val="auto"/>
                <w:kern w:val="0"/>
                <w:sz w:val="24"/>
                <w:szCs w:val="24"/>
                <w:highlight w:val="none"/>
              </w:rPr>
              <w:t>2</w:t>
            </w:r>
          </w:p>
        </w:tc>
        <w:tc>
          <w:tcPr>
            <w:tcW w:w="539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07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25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4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07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07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4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25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r>
              <w:rPr>
                <w:rFonts w:hint="eastAsia" w:ascii="宋体" w:hAnsi="宋体" w:eastAsia="宋体" w:cs="宋体"/>
                <w:bCs/>
                <w:strike/>
                <w:dstrike w:val="0"/>
                <w:color w:val="auto"/>
                <w:kern w:val="0"/>
                <w:sz w:val="24"/>
                <w:szCs w:val="24"/>
                <w:highlight w:val="none"/>
              </w:rPr>
              <w:t>3</w:t>
            </w:r>
          </w:p>
        </w:tc>
        <w:tc>
          <w:tcPr>
            <w:tcW w:w="539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07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25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4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07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07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4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25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r>
              <w:rPr>
                <w:rFonts w:hint="eastAsia" w:ascii="宋体" w:hAnsi="宋体" w:eastAsia="宋体" w:cs="宋体"/>
                <w:bCs/>
                <w:strike/>
                <w:dstrike w:val="0"/>
                <w:color w:val="auto"/>
                <w:kern w:val="0"/>
                <w:sz w:val="24"/>
                <w:szCs w:val="24"/>
                <w:highlight w:val="none"/>
              </w:rPr>
              <w:t>4</w:t>
            </w:r>
          </w:p>
        </w:tc>
        <w:tc>
          <w:tcPr>
            <w:tcW w:w="539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07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25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4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07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07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4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25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r>
              <w:rPr>
                <w:rFonts w:hint="eastAsia" w:ascii="宋体" w:hAnsi="宋体" w:eastAsia="宋体" w:cs="宋体"/>
                <w:bCs/>
                <w:strike/>
                <w:dstrike w:val="0"/>
                <w:color w:val="auto"/>
                <w:kern w:val="0"/>
                <w:sz w:val="24"/>
                <w:szCs w:val="24"/>
                <w:highlight w:val="none"/>
              </w:rPr>
              <w:t>5</w:t>
            </w:r>
          </w:p>
        </w:tc>
        <w:tc>
          <w:tcPr>
            <w:tcW w:w="539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07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25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4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07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07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4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25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r>
              <w:rPr>
                <w:rFonts w:hint="eastAsia" w:ascii="宋体" w:hAnsi="宋体" w:eastAsia="宋体" w:cs="宋体"/>
                <w:bCs/>
                <w:strike/>
                <w:dstrike w:val="0"/>
                <w:color w:val="auto"/>
                <w:kern w:val="0"/>
                <w:sz w:val="24"/>
                <w:szCs w:val="24"/>
                <w:highlight w:val="none"/>
              </w:rPr>
              <w:t>6</w:t>
            </w:r>
          </w:p>
        </w:tc>
        <w:tc>
          <w:tcPr>
            <w:tcW w:w="539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07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25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4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07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07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4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25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r>
              <w:rPr>
                <w:rFonts w:hint="eastAsia" w:ascii="宋体" w:hAnsi="宋体" w:eastAsia="宋体" w:cs="宋体"/>
                <w:bCs/>
                <w:strike/>
                <w:dstrike w:val="0"/>
                <w:color w:val="auto"/>
                <w:kern w:val="0"/>
                <w:sz w:val="24"/>
                <w:szCs w:val="24"/>
                <w:highlight w:val="none"/>
              </w:rPr>
              <w:t>7</w:t>
            </w:r>
          </w:p>
        </w:tc>
        <w:tc>
          <w:tcPr>
            <w:tcW w:w="539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07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25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4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07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07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4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25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r>
              <w:rPr>
                <w:rFonts w:hint="eastAsia" w:ascii="宋体" w:hAnsi="宋体" w:eastAsia="宋体" w:cs="宋体"/>
                <w:bCs/>
                <w:strike/>
                <w:dstrike w:val="0"/>
                <w:color w:val="auto"/>
                <w:kern w:val="0"/>
                <w:sz w:val="24"/>
                <w:szCs w:val="24"/>
                <w:highlight w:val="none"/>
              </w:rPr>
              <w:t>8</w:t>
            </w:r>
          </w:p>
        </w:tc>
        <w:tc>
          <w:tcPr>
            <w:tcW w:w="539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07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25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4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07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07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4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c>
          <w:tcPr>
            <w:tcW w:w="125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strike/>
                <w:dstrike w:val="0"/>
                <w:color w:val="auto"/>
                <w:kern w:val="0"/>
                <w:sz w:val="24"/>
                <w:szCs w:val="24"/>
                <w:highlight w:val="none"/>
              </w:rPr>
            </w:pPr>
          </w:p>
        </w:tc>
      </w:tr>
    </w:tbl>
    <w:p>
      <w:pPr>
        <w:spacing w:line="360" w:lineRule="auto"/>
        <w:rPr>
          <w:rFonts w:hint="eastAsia" w:ascii="宋体" w:hAnsi="宋体" w:eastAsia="宋体"/>
          <w:strike/>
          <w:dstrike w:val="0"/>
          <w:color w:val="auto"/>
          <w:sz w:val="24"/>
          <w:szCs w:val="24"/>
          <w:highlight w:val="none"/>
        </w:rPr>
      </w:pPr>
    </w:p>
    <w:p>
      <w:pPr>
        <w:spacing w:line="360" w:lineRule="auto"/>
        <w:rPr>
          <w:rFonts w:hint="eastAsia" w:ascii="宋体" w:hAnsi="宋体" w:eastAsia="宋体"/>
          <w:b/>
          <w:bCs/>
          <w:strike/>
          <w:dstrike w:val="0"/>
          <w:color w:val="auto"/>
          <w:sz w:val="24"/>
          <w:szCs w:val="24"/>
          <w:highlight w:val="none"/>
        </w:rPr>
      </w:pPr>
      <w:r>
        <w:rPr>
          <w:rFonts w:hint="eastAsia" w:ascii="宋体" w:hAnsi="宋体" w:eastAsia="宋体"/>
          <w:b/>
          <w:bCs/>
          <w:strike/>
          <w:dstrike w:val="0"/>
          <w:color w:val="auto"/>
          <w:sz w:val="24"/>
          <w:szCs w:val="24"/>
          <w:highlight w:val="none"/>
        </w:rPr>
        <w:t>评委签名：</w:t>
      </w:r>
    </w:p>
    <w:p>
      <w:pPr>
        <w:spacing w:line="360" w:lineRule="auto"/>
        <w:rPr>
          <w:rFonts w:hint="eastAsia" w:ascii="宋体" w:hAnsi="宋体" w:eastAsia="宋体" w:cs="宋体"/>
          <w:bCs/>
          <w:strike/>
          <w:color w:val="auto"/>
          <w:kern w:val="0"/>
          <w:sz w:val="24"/>
          <w:szCs w:val="24"/>
          <w:highlight w:val="none"/>
        </w:rPr>
      </w:pPr>
    </w:p>
    <w:p>
      <w:pPr>
        <w:spacing w:line="360" w:lineRule="auto"/>
        <w:rPr>
          <w:rFonts w:hint="eastAsia" w:ascii="宋体" w:hAnsi="宋体" w:eastAsia="宋体" w:cs="宋体"/>
          <w:bCs/>
          <w:strike/>
          <w:color w:val="auto"/>
          <w:kern w:val="0"/>
          <w:sz w:val="24"/>
          <w:szCs w:val="24"/>
          <w:highlight w:val="none"/>
        </w:rPr>
      </w:pPr>
    </w:p>
    <w:p>
      <w:pPr>
        <w:spacing w:line="360" w:lineRule="auto"/>
        <w:rPr>
          <w:rFonts w:hint="eastAsia" w:ascii="宋体" w:hAnsi="宋体" w:eastAsia="宋体" w:cs="宋体"/>
          <w:bCs/>
          <w:strike/>
          <w:color w:val="auto"/>
          <w:kern w:val="0"/>
          <w:sz w:val="24"/>
          <w:szCs w:val="24"/>
          <w:highlight w:val="none"/>
        </w:rPr>
      </w:pPr>
    </w:p>
    <w:p>
      <w:pPr>
        <w:spacing w:line="360" w:lineRule="auto"/>
        <w:rPr>
          <w:rFonts w:hint="eastAsia" w:ascii="宋体" w:hAnsi="宋体" w:eastAsia="宋体" w:cs="宋体"/>
          <w:bCs/>
          <w:strike/>
          <w:color w:val="auto"/>
          <w:kern w:val="0"/>
          <w:sz w:val="24"/>
          <w:szCs w:val="24"/>
          <w:highlight w:val="none"/>
        </w:rPr>
      </w:pPr>
    </w:p>
    <w:p>
      <w:pPr>
        <w:spacing w:line="360" w:lineRule="auto"/>
        <w:rPr>
          <w:rFonts w:hint="eastAsia" w:ascii="宋体" w:hAnsi="宋体" w:eastAsia="宋体" w:cs="宋体"/>
          <w:bCs/>
          <w:strike/>
          <w:color w:val="auto"/>
          <w:kern w:val="0"/>
          <w:sz w:val="24"/>
          <w:szCs w:val="24"/>
          <w:highlight w:val="none"/>
        </w:rPr>
      </w:pPr>
    </w:p>
    <w:p>
      <w:pPr>
        <w:spacing w:line="360" w:lineRule="auto"/>
        <w:outlineLvl w:val="2"/>
        <w:rPr>
          <w:rFonts w:hint="eastAsia" w:ascii="宋体" w:hAnsi="宋体" w:eastAsia="宋体" w:cs="宋体"/>
          <w:b/>
          <w:bCs/>
          <w:strike/>
          <w:color w:val="auto"/>
          <w:kern w:val="0"/>
          <w:sz w:val="32"/>
          <w:szCs w:val="32"/>
          <w:highlight w:val="none"/>
        </w:rPr>
      </w:pPr>
      <w:bookmarkStart w:id="206" w:name="_Toc4065"/>
      <w:bookmarkStart w:id="207" w:name="_Toc21244"/>
      <w:r>
        <w:rPr>
          <w:rFonts w:hint="eastAsia" w:ascii="宋体" w:hAnsi="宋体" w:eastAsia="宋体" w:cs="宋体"/>
          <w:bCs/>
          <w:strike/>
          <w:color w:val="auto"/>
          <w:kern w:val="0"/>
          <w:sz w:val="24"/>
          <w:szCs w:val="24"/>
          <w:highlight w:val="none"/>
        </w:rPr>
        <w:t>附件7</w:t>
      </w:r>
      <w:r>
        <w:rPr>
          <w:rFonts w:hint="eastAsia" w:ascii="宋体" w:hAnsi="宋体" w:eastAsia="宋体"/>
          <w:strike/>
          <w:color w:val="auto"/>
          <w:sz w:val="24"/>
          <w:szCs w:val="24"/>
          <w:highlight w:val="none"/>
        </w:rPr>
        <w:t>（适用于办法一）</w:t>
      </w:r>
      <w:bookmarkEnd w:id="206"/>
      <w:bookmarkEnd w:id="207"/>
    </w:p>
    <w:p>
      <w:pPr>
        <w:spacing w:line="360" w:lineRule="auto"/>
        <w:jc w:val="center"/>
        <w:rPr>
          <w:rFonts w:hint="eastAsia" w:ascii="宋体" w:hAnsi="宋体" w:eastAsia="宋体"/>
          <w:b/>
          <w:strike/>
          <w:color w:val="auto"/>
          <w:sz w:val="36"/>
          <w:szCs w:val="36"/>
          <w:highlight w:val="none"/>
        </w:rPr>
      </w:pPr>
      <w:r>
        <w:rPr>
          <w:rFonts w:hint="eastAsia" w:ascii="宋体" w:hAnsi="宋体" w:eastAsia="宋体" w:cs="宋体"/>
          <w:b/>
          <w:bCs/>
          <w:strike/>
          <w:color w:val="auto"/>
          <w:kern w:val="0"/>
          <w:sz w:val="32"/>
          <w:szCs w:val="32"/>
          <w:highlight w:val="none"/>
        </w:rPr>
        <w:t>第二阶段得分排序表</w:t>
      </w:r>
    </w:p>
    <w:p>
      <w:pPr>
        <w:rPr>
          <w:rFonts w:hint="eastAsia" w:ascii="宋体" w:hAnsi="宋体" w:eastAsia="宋体"/>
          <w:strike/>
          <w:color w:val="auto"/>
          <w:sz w:val="24"/>
          <w:szCs w:val="24"/>
          <w:highlight w:val="none"/>
        </w:rPr>
      </w:pPr>
      <w:r>
        <w:rPr>
          <w:rFonts w:hint="eastAsia" w:ascii="宋体" w:hAnsi="宋体" w:eastAsia="宋体"/>
          <w:strike/>
          <w:color w:val="auto"/>
          <w:sz w:val="24"/>
          <w:szCs w:val="24"/>
          <w:highlight w:val="none"/>
        </w:rPr>
        <w:t>工程名称：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018"/>
        <w:gridCol w:w="1019"/>
        <w:gridCol w:w="1019"/>
        <w:gridCol w:w="1019"/>
        <w:gridCol w:w="1018"/>
        <w:gridCol w:w="1019"/>
        <w:gridCol w:w="1019"/>
        <w:gridCol w:w="1019"/>
        <w:gridCol w:w="1018"/>
        <w:gridCol w:w="1019"/>
        <w:gridCol w:w="1019"/>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244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strike/>
                <w:color w:val="auto"/>
                <w:sz w:val="24"/>
                <w:szCs w:val="24"/>
                <w:highlight w:val="none"/>
              </w:rPr>
            </w:pPr>
            <w:r>
              <w:rPr>
                <w:rFonts w:hint="eastAsia" w:ascii="宋体" w:hAnsi="宋体" w:eastAsia="宋体"/>
                <w:strike/>
                <w:color w:val="auto"/>
                <w:sz w:val="24"/>
                <w:szCs w:val="24"/>
                <w:highlight w:val="none"/>
              </w:rPr>
              <w:t>投标人名称</w:t>
            </w:r>
          </w:p>
        </w:tc>
        <w:tc>
          <w:tcPr>
            <w:tcW w:w="1018"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8"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8"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44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strike/>
                <w:color w:val="auto"/>
                <w:sz w:val="24"/>
                <w:szCs w:val="24"/>
                <w:highlight w:val="none"/>
              </w:rPr>
            </w:pPr>
            <w:r>
              <w:rPr>
                <w:rFonts w:hint="eastAsia" w:ascii="宋体" w:hAnsi="宋体" w:eastAsia="宋体"/>
                <w:strike/>
                <w:color w:val="auto"/>
                <w:sz w:val="24"/>
                <w:szCs w:val="24"/>
                <w:highlight w:val="none"/>
              </w:rPr>
              <w:t>投标报价PT（元）</w:t>
            </w:r>
          </w:p>
        </w:tc>
        <w:tc>
          <w:tcPr>
            <w:tcW w:w="1018"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8"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8"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44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strike/>
                <w:color w:val="auto"/>
                <w:sz w:val="24"/>
                <w:szCs w:val="24"/>
                <w:highlight w:val="none"/>
              </w:rPr>
            </w:pPr>
            <w:r>
              <w:rPr>
                <w:rFonts w:hint="eastAsia" w:ascii="宋体" w:hAnsi="宋体" w:eastAsia="宋体"/>
                <w:strike/>
                <w:color w:val="auto"/>
                <w:sz w:val="24"/>
                <w:szCs w:val="24"/>
                <w:highlight w:val="none"/>
              </w:rPr>
              <w:t>计算参考数据</w:t>
            </w:r>
          </w:p>
        </w:tc>
        <w:tc>
          <w:tcPr>
            <w:tcW w:w="12225" w:type="dxa"/>
            <w:gridSpan w:val="12"/>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44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strike/>
                <w:color w:val="auto"/>
                <w:spacing w:val="-10"/>
                <w:sz w:val="24"/>
                <w:szCs w:val="24"/>
                <w:highlight w:val="none"/>
              </w:rPr>
            </w:pPr>
            <w:r>
              <w:rPr>
                <w:rFonts w:hint="eastAsia" w:ascii="宋体" w:hAnsi="宋体" w:eastAsia="宋体"/>
                <w:strike/>
                <w:color w:val="auto"/>
                <w:spacing w:val="-10"/>
                <w:sz w:val="24"/>
                <w:szCs w:val="24"/>
                <w:highlight w:val="none"/>
              </w:rPr>
              <w:t>偏差（（PT-PC）/PC）（%）</w:t>
            </w:r>
          </w:p>
        </w:tc>
        <w:tc>
          <w:tcPr>
            <w:tcW w:w="1018"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8"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8"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44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strike/>
                <w:color w:val="auto"/>
                <w:sz w:val="24"/>
                <w:szCs w:val="24"/>
                <w:highlight w:val="none"/>
              </w:rPr>
            </w:pPr>
            <w:r>
              <w:rPr>
                <w:rFonts w:hint="eastAsia" w:ascii="宋体" w:hAnsi="宋体" w:eastAsia="宋体"/>
                <w:strike/>
                <w:color w:val="auto"/>
                <w:sz w:val="24"/>
                <w:szCs w:val="24"/>
                <w:highlight w:val="none"/>
              </w:rPr>
              <w:t>减分（A）</w:t>
            </w:r>
          </w:p>
        </w:tc>
        <w:tc>
          <w:tcPr>
            <w:tcW w:w="1018"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8"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8"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44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strike/>
                <w:color w:val="auto"/>
                <w:sz w:val="24"/>
                <w:szCs w:val="24"/>
                <w:highlight w:val="none"/>
              </w:rPr>
            </w:pPr>
            <w:r>
              <w:rPr>
                <w:rFonts w:hint="eastAsia" w:ascii="宋体" w:hAnsi="宋体" w:eastAsia="宋体"/>
                <w:strike/>
                <w:color w:val="auto"/>
                <w:sz w:val="24"/>
                <w:szCs w:val="24"/>
                <w:highlight w:val="none"/>
              </w:rPr>
              <w:t>得分(I=100-A)</w:t>
            </w:r>
          </w:p>
        </w:tc>
        <w:tc>
          <w:tcPr>
            <w:tcW w:w="1018"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8"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8"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44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strike/>
                <w:color w:val="auto"/>
                <w:sz w:val="24"/>
                <w:szCs w:val="24"/>
                <w:highlight w:val="none"/>
              </w:rPr>
            </w:pPr>
            <w:r>
              <w:rPr>
                <w:rFonts w:hint="eastAsia" w:ascii="宋体" w:hAnsi="宋体" w:eastAsia="宋体"/>
                <w:strike/>
                <w:color w:val="auto"/>
                <w:sz w:val="24"/>
                <w:szCs w:val="24"/>
                <w:highlight w:val="none"/>
              </w:rPr>
              <w:t>得分排名次序</w:t>
            </w:r>
          </w:p>
        </w:tc>
        <w:tc>
          <w:tcPr>
            <w:tcW w:w="1018"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8"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8"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c>
          <w:tcPr>
            <w:tcW w:w="1019" w:type="dxa"/>
            <w:noWrap w:val="0"/>
            <w:vAlign w:val="center"/>
          </w:tcPr>
          <w:p>
            <w:pPr>
              <w:keepNext w:val="0"/>
              <w:keepLines w:val="0"/>
              <w:suppressLineNumbers w:val="0"/>
              <w:spacing w:before="0" w:beforeAutospacing="0" w:after="0" w:afterAutospacing="0"/>
              <w:ind w:left="0" w:right="0"/>
              <w:rPr>
                <w:rFonts w:hint="eastAsia" w:ascii="宋体" w:hAnsi="宋体" w:eastAsia="宋体"/>
                <w:strike/>
                <w:color w:val="auto"/>
                <w:sz w:val="24"/>
                <w:szCs w:val="24"/>
                <w:highlight w:val="none"/>
              </w:rPr>
            </w:pPr>
          </w:p>
        </w:tc>
      </w:tr>
    </w:tbl>
    <w:p>
      <w:pPr>
        <w:rPr>
          <w:rFonts w:hint="eastAsia" w:ascii="宋体" w:hAnsi="宋体" w:eastAsia="宋体"/>
          <w:strike/>
          <w:color w:val="auto"/>
          <w:sz w:val="24"/>
          <w:szCs w:val="24"/>
          <w:highlight w:val="none"/>
        </w:rPr>
      </w:pPr>
    </w:p>
    <w:p>
      <w:pPr>
        <w:rPr>
          <w:rFonts w:hint="eastAsia" w:ascii="宋体" w:hAnsi="宋体" w:eastAsia="宋体"/>
          <w:strike/>
          <w:color w:val="auto"/>
          <w:sz w:val="24"/>
          <w:szCs w:val="24"/>
          <w:highlight w:val="none"/>
        </w:rPr>
      </w:pPr>
      <w:r>
        <w:rPr>
          <w:rFonts w:hint="eastAsia" w:ascii="宋体" w:hAnsi="宋体" w:eastAsia="宋体"/>
          <w:b/>
          <w:bCs/>
          <w:strike/>
          <w:color w:val="auto"/>
          <w:sz w:val="24"/>
          <w:szCs w:val="24"/>
          <w:highlight w:val="none"/>
        </w:rPr>
        <w:t>评委签名</w:t>
      </w:r>
      <w:r>
        <w:rPr>
          <w:rFonts w:hint="eastAsia" w:ascii="宋体" w:hAnsi="宋体" w:eastAsia="宋体"/>
          <w:strike/>
          <w:color w:val="auto"/>
          <w:sz w:val="24"/>
          <w:szCs w:val="24"/>
          <w:highlight w:val="none"/>
        </w:rPr>
        <w:t>：</w:t>
      </w:r>
    </w:p>
    <w:p>
      <w:pPr>
        <w:spacing w:line="360" w:lineRule="auto"/>
        <w:rPr>
          <w:rFonts w:hint="eastAsia" w:ascii="宋体" w:hAnsi="宋体" w:eastAsia="宋体"/>
          <w:b/>
          <w:strike/>
          <w:color w:val="auto"/>
          <w:sz w:val="24"/>
          <w:szCs w:val="24"/>
          <w:highlight w:val="none"/>
        </w:rPr>
      </w:pPr>
    </w:p>
    <w:p>
      <w:pPr>
        <w:jc w:val="left"/>
        <w:outlineLvl w:val="2"/>
        <w:rPr>
          <w:rFonts w:hint="eastAsia" w:ascii="宋体" w:hAnsi="宋体" w:eastAsia="宋体"/>
          <w:b/>
          <w:color w:val="auto"/>
          <w:sz w:val="28"/>
          <w:szCs w:val="28"/>
          <w:highlight w:val="none"/>
        </w:rPr>
      </w:pPr>
      <w:r>
        <w:rPr>
          <w:rFonts w:ascii="宋体" w:hAnsi="宋体" w:eastAsia="宋体"/>
          <w:b/>
          <w:color w:val="auto"/>
          <w:sz w:val="24"/>
          <w:szCs w:val="24"/>
          <w:highlight w:val="none"/>
        </w:rPr>
        <w:br w:type="page"/>
      </w:r>
      <w:bookmarkStart w:id="208" w:name="_Toc11569"/>
      <w:bookmarkStart w:id="209" w:name="_Toc25204"/>
      <w:r>
        <w:rPr>
          <w:rFonts w:hint="eastAsia" w:ascii="宋体" w:hAnsi="宋体" w:eastAsia="宋体"/>
          <w:color w:val="auto"/>
          <w:sz w:val="24"/>
          <w:szCs w:val="24"/>
          <w:highlight w:val="none"/>
        </w:rPr>
        <w:t xml:space="preserve">附件8                                         </w:t>
      </w:r>
      <w:r>
        <w:rPr>
          <w:rFonts w:hint="eastAsia" w:ascii="宋体" w:hAnsi="宋体" w:eastAsia="宋体"/>
          <w:b/>
          <w:color w:val="auto"/>
          <w:sz w:val="28"/>
          <w:szCs w:val="28"/>
          <w:highlight w:val="none"/>
        </w:rPr>
        <w:t>投标文件否决性条款审查表</w:t>
      </w:r>
      <w:bookmarkEnd w:id="208"/>
      <w:bookmarkEnd w:id="209"/>
    </w:p>
    <w:p>
      <w:pPr>
        <w:rPr>
          <w:rFonts w:hint="eastAsia" w:ascii="宋体" w:hAnsi="宋体" w:eastAsia="宋体"/>
          <w:b/>
          <w:color w:val="auto"/>
          <w:szCs w:val="21"/>
          <w:highlight w:val="none"/>
        </w:rPr>
      </w:pPr>
      <w:r>
        <w:rPr>
          <w:rFonts w:hint="eastAsia" w:ascii="宋体" w:hAnsi="宋体" w:eastAsia="宋体"/>
          <w:b/>
          <w:color w:val="auto"/>
          <w:szCs w:val="21"/>
          <w:highlight w:val="none"/>
        </w:rPr>
        <w:t>工程名称：</w:t>
      </w:r>
    </w:p>
    <w:tbl>
      <w:tblPr>
        <w:tblStyle w:val="18"/>
        <w:tblW w:w="0" w:type="auto"/>
        <w:tblInd w:w="3" w:type="dxa"/>
        <w:tblLayout w:type="fixed"/>
        <w:tblCellMar>
          <w:top w:w="0" w:type="dxa"/>
          <w:left w:w="108" w:type="dxa"/>
          <w:bottom w:w="0" w:type="dxa"/>
          <w:right w:w="108" w:type="dxa"/>
        </w:tblCellMar>
      </w:tblPr>
      <w:tblGrid>
        <w:gridCol w:w="471"/>
        <w:gridCol w:w="8588"/>
        <w:gridCol w:w="1095"/>
        <w:gridCol w:w="1095"/>
        <w:gridCol w:w="1095"/>
        <w:gridCol w:w="1095"/>
        <w:gridCol w:w="1095"/>
      </w:tblGrid>
      <w:tr>
        <w:tblPrEx>
          <w:tblCellMar>
            <w:top w:w="0" w:type="dxa"/>
            <w:left w:w="108" w:type="dxa"/>
            <w:bottom w:w="0" w:type="dxa"/>
            <w:right w:w="108" w:type="dxa"/>
          </w:tblCellMar>
        </w:tblPrEx>
        <w:trPr>
          <w:trHeight w:val="502"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序号</w:t>
            </w:r>
          </w:p>
        </w:tc>
        <w:tc>
          <w:tcPr>
            <w:tcW w:w="8588"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keepNext w:val="0"/>
              <w:keepLines w:val="0"/>
              <w:suppressLineNumbers w:val="0"/>
              <w:spacing w:before="0" w:beforeAutospacing="0" w:after="0" w:afterAutospacing="0" w:line="300" w:lineRule="exact"/>
              <w:ind w:left="0" w:right="0"/>
              <w:rPr>
                <w:rFonts w:hint="eastAsia" w:ascii="宋体" w:hAnsi="宋体" w:eastAsia="宋体"/>
                <w:color w:val="auto"/>
                <w:szCs w:val="21"/>
                <w:highlight w:val="none"/>
              </w:rPr>
            </w:pPr>
            <w:r>
              <w:rPr>
                <w:rFonts w:hint="eastAsia" w:ascii="宋体" w:hAnsi="宋体" w:eastAsia="宋体"/>
                <w:color w:val="auto"/>
                <w:szCs w:val="21"/>
                <w:highlight w:val="none"/>
              </w:rPr>
              <w:t xml:space="preserve">                                      投标人</w:t>
            </w:r>
          </w:p>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r>
              <w:rPr>
                <w:rFonts w:hint="eastAsia" w:ascii="宋体" w:hAnsi="宋体" w:eastAsia="宋体"/>
                <w:color w:val="auto"/>
                <w:szCs w:val="21"/>
                <w:highlight w:val="none"/>
              </w:rPr>
              <w:t>评审内容</w:t>
            </w: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r>
        <w:tblPrEx>
          <w:tblCellMar>
            <w:top w:w="0" w:type="dxa"/>
            <w:left w:w="108" w:type="dxa"/>
            <w:bottom w:w="0" w:type="dxa"/>
            <w:right w:w="108" w:type="dxa"/>
          </w:tblCellMar>
        </w:tblPrEx>
        <w:trPr>
          <w:trHeight w:val="242"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1</w:t>
            </w:r>
          </w:p>
        </w:tc>
        <w:tc>
          <w:tcPr>
            <w:tcW w:w="85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eastAsia" w:ascii="宋体" w:hAnsi="宋体" w:eastAsia="宋体"/>
                <w:color w:val="auto"/>
                <w:szCs w:val="21"/>
                <w:highlight w:val="none"/>
              </w:rPr>
            </w:pPr>
            <w:r>
              <w:rPr>
                <w:rFonts w:hint="eastAsia" w:ascii="宋体" w:hAnsi="宋体" w:eastAsia="宋体"/>
                <w:color w:val="auto"/>
                <w:szCs w:val="21"/>
                <w:highlight w:val="none"/>
              </w:rPr>
              <w:t>投标文件中没有《投标函》</w:t>
            </w:r>
            <w:r>
              <w:rPr>
                <w:rFonts w:hint="eastAsia" w:ascii="宋体" w:hAnsi="宋体" w:eastAsia="宋体"/>
                <w:color w:val="auto"/>
                <w:szCs w:val="21"/>
                <w:highlight w:val="none"/>
                <w:lang w:eastAsia="zh-CN"/>
              </w:rPr>
              <w:t>、</w:t>
            </w:r>
            <w:r>
              <w:rPr>
                <w:rFonts w:hint="eastAsia" w:ascii="宋体" w:hAnsi="宋体" w:eastAsia="宋体" w:cs="宋体"/>
                <w:color w:val="auto"/>
                <w:szCs w:val="21"/>
                <w:highlight w:val="none"/>
                <w:u w:val="single" w:color="auto"/>
              </w:rPr>
              <w:t>《项目负责人驻场承诺书》</w:t>
            </w:r>
            <w:r>
              <w:rPr>
                <w:rFonts w:hint="eastAsia" w:ascii="宋体" w:hAnsi="宋体" w:eastAsia="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r>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2</w:t>
            </w:r>
          </w:p>
        </w:tc>
        <w:tc>
          <w:tcPr>
            <w:tcW w:w="85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eastAsia" w:ascii="宋体" w:hAnsi="宋体" w:eastAsia="宋体"/>
                <w:color w:val="auto"/>
                <w:szCs w:val="21"/>
                <w:highlight w:val="none"/>
              </w:rPr>
            </w:pPr>
            <w:r>
              <w:rPr>
                <w:rFonts w:hint="eastAsia" w:ascii="宋体" w:hAnsi="宋体" w:eastAsia="宋体"/>
                <w:color w:val="auto"/>
                <w:szCs w:val="21"/>
                <w:highlight w:val="none"/>
              </w:rPr>
              <w:t>投标文件中没有《广州园林绿化工程施工招标投标书》；</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r>
        <w:tblPrEx>
          <w:tblCellMar>
            <w:top w:w="0" w:type="dxa"/>
            <w:left w:w="108" w:type="dxa"/>
            <w:bottom w:w="0" w:type="dxa"/>
            <w:right w:w="108" w:type="dxa"/>
          </w:tblCellMar>
        </w:tblPrEx>
        <w:trPr>
          <w:trHeight w:val="36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3</w:t>
            </w:r>
          </w:p>
        </w:tc>
        <w:tc>
          <w:tcPr>
            <w:tcW w:w="85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eastAsia" w:ascii="宋体" w:hAnsi="宋体" w:eastAsia="宋体"/>
                <w:color w:val="auto"/>
                <w:szCs w:val="21"/>
                <w:highlight w:val="none"/>
              </w:rPr>
            </w:pPr>
            <w:r>
              <w:rPr>
                <w:rFonts w:hint="eastAsia" w:ascii="宋体" w:hAnsi="宋体" w:eastAsia="宋体"/>
                <w:color w:val="auto"/>
                <w:szCs w:val="21"/>
                <w:highlight w:val="none"/>
              </w:rPr>
              <w:t>未承诺响应招标文件所附施工组织设计要点的；</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r>
        <w:tblPrEx>
          <w:tblCellMar>
            <w:top w:w="0" w:type="dxa"/>
            <w:left w:w="108" w:type="dxa"/>
            <w:bottom w:w="0" w:type="dxa"/>
            <w:right w:w="108" w:type="dxa"/>
          </w:tblCellMar>
        </w:tblPrEx>
        <w:trPr>
          <w:trHeight w:val="251"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4</w:t>
            </w:r>
          </w:p>
        </w:tc>
        <w:tc>
          <w:tcPr>
            <w:tcW w:w="85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不能满足完成投标项目工期的；</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r>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5</w:t>
            </w:r>
          </w:p>
        </w:tc>
        <w:tc>
          <w:tcPr>
            <w:tcW w:w="85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投标文件未按规定的格式填写，或主要内容不全，或关键字迹模糊、无法辨认；</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r>
        <w:tblPrEx>
          <w:tblCellMar>
            <w:top w:w="0" w:type="dxa"/>
            <w:left w:w="108" w:type="dxa"/>
            <w:bottom w:w="0" w:type="dxa"/>
            <w:right w:w="108" w:type="dxa"/>
          </w:tblCellMar>
        </w:tblPrEx>
        <w:trPr>
          <w:trHeight w:val="277"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6</w:t>
            </w:r>
          </w:p>
        </w:tc>
        <w:tc>
          <w:tcPr>
            <w:tcW w:w="85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对同一招标项目出现两个或以上的投标报价，且没有声明哪个有效；</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r>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7</w:t>
            </w:r>
          </w:p>
        </w:tc>
        <w:tc>
          <w:tcPr>
            <w:tcW w:w="85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投标报价高于最高投标限价乘以95%的；</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r>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8</w:t>
            </w:r>
          </w:p>
        </w:tc>
        <w:tc>
          <w:tcPr>
            <w:tcW w:w="85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投标报价低于企业成本的（投标人的报价明显低于其他投标报价或者在设有成本警示价时明显低于成本警示价（成本警示价按最高投标限价的85%设置），使得其投标报价可能低于其个别成本，又不能合理说明或者不能提供相关证明材料，评标委员会认定该投标人低于成本报价的）；</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r>
        <w:tblPrEx>
          <w:tblCellMar>
            <w:top w:w="0" w:type="dxa"/>
            <w:left w:w="108" w:type="dxa"/>
            <w:bottom w:w="0" w:type="dxa"/>
            <w:right w:w="108" w:type="dxa"/>
          </w:tblCellMar>
        </w:tblPrEx>
        <w:trPr>
          <w:trHeight w:val="276"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9</w:t>
            </w:r>
          </w:p>
        </w:tc>
        <w:tc>
          <w:tcPr>
            <w:tcW w:w="85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投标报价中对招标文件规定的绿色施工安全防护措施费进行浮动或改变；</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r>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10</w:t>
            </w:r>
          </w:p>
        </w:tc>
        <w:tc>
          <w:tcPr>
            <w:tcW w:w="85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算术复核后的投标报价与原投标报价相比存在1%或以上误差的；</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r>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11</w:t>
            </w:r>
          </w:p>
        </w:tc>
        <w:tc>
          <w:tcPr>
            <w:tcW w:w="85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不同投标人的投标文件由同一单位或者个人编制；</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r>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12</w:t>
            </w:r>
          </w:p>
        </w:tc>
        <w:tc>
          <w:tcPr>
            <w:tcW w:w="85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不同投标人委托同一单位或者个人办理投标事宜；</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r>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13</w:t>
            </w:r>
          </w:p>
        </w:tc>
        <w:tc>
          <w:tcPr>
            <w:tcW w:w="85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不同投标人的投标文件载明的项目管理成员为同一人；</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r>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14</w:t>
            </w:r>
          </w:p>
        </w:tc>
        <w:tc>
          <w:tcPr>
            <w:tcW w:w="85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不同投标人的投标文件异常一致或者投标报价呈规律性差异；</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r>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15</w:t>
            </w:r>
          </w:p>
        </w:tc>
        <w:tc>
          <w:tcPr>
            <w:tcW w:w="85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eastAsia" w:ascii="宋体" w:hAnsi="宋体" w:eastAsia="宋体"/>
                <w:color w:val="auto"/>
                <w:kern w:val="2"/>
                <w:sz w:val="21"/>
                <w:szCs w:val="21"/>
                <w:highlight w:val="none"/>
                <w:lang w:val="en-US" w:eastAsia="zh-CN" w:bidi="ar-SA"/>
              </w:rPr>
            </w:pPr>
            <w:r>
              <w:rPr>
                <w:rFonts w:hint="eastAsia" w:ascii="宋体" w:hAnsi="宋体" w:eastAsia="宋体"/>
                <w:color w:val="auto"/>
                <w:szCs w:val="21"/>
                <w:highlight w:val="none"/>
              </w:rPr>
              <w:t>不同投标人的投标文件相互混装；</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r>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strike/>
                <w:color w:val="auto"/>
                <w:szCs w:val="22"/>
                <w:highlight w:val="none"/>
              </w:rPr>
            </w:pPr>
            <w:r>
              <w:rPr>
                <w:rFonts w:hint="eastAsia" w:ascii="宋体" w:hAnsi="宋体" w:eastAsia="宋体"/>
                <w:strike/>
                <w:color w:val="auto"/>
                <w:szCs w:val="21"/>
                <w:highlight w:val="none"/>
              </w:rPr>
              <w:t>16</w:t>
            </w:r>
          </w:p>
        </w:tc>
        <w:tc>
          <w:tcPr>
            <w:tcW w:w="85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strike/>
                <w:color w:val="auto"/>
                <w:szCs w:val="22"/>
                <w:highlight w:val="none"/>
              </w:rPr>
            </w:pPr>
            <w:r>
              <w:rPr>
                <w:rFonts w:hint="eastAsia" w:ascii="宋体" w:hAnsi="宋体" w:eastAsia="宋体" w:cs="Times New Roman"/>
                <w:strike/>
                <w:color w:val="auto"/>
                <w:szCs w:val="21"/>
                <w:highlight w:val="none"/>
                <w:lang w:eastAsia="zh-CN"/>
              </w:rPr>
              <w:t>未按要求提交投标保证金的；</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r>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color w:val="auto"/>
                <w:szCs w:val="21"/>
                <w:highlight w:val="none"/>
              </w:rPr>
            </w:pPr>
            <w:r>
              <w:rPr>
                <w:rFonts w:hint="eastAsia" w:ascii="宋体" w:hAnsi="宋体" w:eastAsia="宋体"/>
                <w:strike/>
                <w:color w:val="auto"/>
                <w:szCs w:val="21"/>
                <w:highlight w:val="none"/>
              </w:rPr>
              <w:t>17</w:t>
            </w:r>
          </w:p>
        </w:tc>
        <w:tc>
          <w:tcPr>
            <w:tcW w:w="85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eastAsia" w:ascii="宋体" w:hAnsi="宋体" w:eastAsia="宋体"/>
                <w:color w:val="auto"/>
                <w:szCs w:val="21"/>
                <w:highlight w:val="none"/>
              </w:rPr>
            </w:pPr>
            <w:r>
              <w:rPr>
                <w:rFonts w:hint="eastAsia" w:ascii="宋体" w:hAnsi="宋体" w:eastAsia="宋体"/>
                <w:strike/>
                <w:dstrike w:val="0"/>
                <w:color w:val="auto"/>
                <w:szCs w:val="21"/>
                <w:highlight w:val="none"/>
              </w:rPr>
              <w:t>不同投标人的投标保证金从同一单位或者个人的账户转出；</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r>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18</w:t>
            </w:r>
          </w:p>
        </w:tc>
        <w:tc>
          <w:tcPr>
            <w:tcW w:w="85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eastAsia" w:ascii="宋体" w:hAnsi="宋体" w:eastAsia="宋体"/>
                <w:color w:val="auto"/>
                <w:szCs w:val="21"/>
                <w:highlight w:val="none"/>
              </w:rPr>
            </w:pPr>
            <w:r>
              <w:rPr>
                <w:rFonts w:hint="eastAsia" w:ascii="宋体" w:hAnsi="宋体" w:eastAsia="宋体"/>
                <w:color w:val="auto"/>
                <w:szCs w:val="21"/>
                <w:highlight w:val="none"/>
              </w:rPr>
              <w:t>不同投标人的投标报价中分部分项工程量清单综合单价相似度达到80%及以上的；</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r>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19</w:t>
            </w:r>
          </w:p>
        </w:tc>
        <w:tc>
          <w:tcPr>
            <w:tcW w:w="85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eastAsia" w:ascii="宋体" w:hAnsi="宋体" w:eastAsia="宋体"/>
                <w:color w:val="auto"/>
                <w:szCs w:val="21"/>
                <w:highlight w:val="none"/>
              </w:rPr>
            </w:pPr>
            <w:r>
              <w:rPr>
                <w:rFonts w:hint="eastAsia" w:ascii="宋体" w:hAnsi="宋体" w:eastAsia="宋体"/>
                <w:color w:val="auto"/>
                <w:szCs w:val="21"/>
                <w:highlight w:val="none"/>
              </w:rPr>
              <w:t>不同投标人加密打包投标文件的电脑机器特征码相同的；</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r>
        <w:tblPrEx>
          <w:tblCellMar>
            <w:top w:w="0" w:type="dxa"/>
            <w:left w:w="108" w:type="dxa"/>
            <w:bottom w:w="0" w:type="dxa"/>
            <w:right w:w="108" w:type="dxa"/>
          </w:tblCellMar>
        </w:tblPrEx>
        <w:trPr>
          <w:trHeight w:val="255"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20</w:t>
            </w:r>
          </w:p>
        </w:tc>
        <w:tc>
          <w:tcPr>
            <w:tcW w:w="85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eastAsia" w:ascii="宋体" w:hAnsi="宋体" w:eastAsia="宋体"/>
                <w:color w:val="auto"/>
                <w:szCs w:val="21"/>
                <w:highlight w:val="none"/>
                <w:lang w:eastAsia="zh-CN"/>
              </w:rPr>
            </w:pPr>
            <w:r>
              <w:rPr>
                <w:rFonts w:hint="eastAsia" w:ascii="宋体" w:hAnsi="宋体" w:eastAsia="宋体"/>
                <w:color w:val="auto"/>
                <w:szCs w:val="21"/>
                <w:highlight w:val="none"/>
              </w:rPr>
              <w:t>不同投标人的投标文件工程量清单编制机器硬件信息相同的</w:t>
            </w:r>
            <w:r>
              <w:rPr>
                <w:rFonts w:hint="eastAsia" w:ascii="宋体" w:hAnsi="宋体" w:eastAsia="宋体"/>
                <w:color w:val="auto"/>
                <w:szCs w:val="21"/>
                <w:highlight w:val="none"/>
                <w:lang w:eastAsia="zh-CN"/>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r>
        <w:tblPrEx>
          <w:tblCellMar>
            <w:top w:w="0" w:type="dxa"/>
            <w:left w:w="108" w:type="dxa"/>
            <w:bottom w:w="0" w:type="dxa"/>
            <w:right w:w="108" w:type="dxa"/>
          </w:tblCellMar>
        </w:tblPrEx>
        <w:trPr>
          <w:trHeight w:val="268" w:hRule="atLeast"/>
        </w:trPr>
        <w:tc>
          <w:tcPr>
            <w:tcW w:w="4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21</w:t>
            </w:r>
          </w:p>
        </w:tc>
        <w:tc>
          <w:tcPr>
            <w:tcW w:w="85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eastAsia" w:ascii="宋体" w:hAnsi="宋体" w:eastAsia="宋体"/>
                <w:color w:val="auto"/>
                <w:szCs w:val="21"/>
                <w:highlight w:val="none"/>
              </w:rPr>
            </w:pPr>
            <w:r>
              <w:rPr>
                <w:rFonts w:hint="eastAsia" w:ascii="宋体" w:hAnsi="宋体" w:eastAsia="宋体"/>
                <w:color w:val="auto"/>
                <w:szCs w:val="21"/>
                <w:highlight w:val="none"/>
              </w:rPr>
              <w:t>无《对投标文件编制的承诺》。</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00" w:lineRule="exact"/>
              <w:ind w:left="0" w:right="0"/>
              <w:rPr>
                <w:rFonts w:hint="default" w:ascii="宋体" w:hAnsi="宋体" w:eastAsia="宋体"/>
                <w:color w:val="auto"/>
                <w:szCs w:val="21"/>
                <w:highlight w:val="none"/>
              </w:rPr>
            </w:pPr>
          </w:p>
        </w:tc>
      </w:tr>
    </w:tbl>
    <w:p>
      <w:pPr>
        <w:spacing w:line="240" w:lineRule="exact"/>
        <w:jc w:val="left"/>
        <w:rPr>
          <w:rFonts w:hint="eastAsia" w:ascii="宋体" w:hAnsi="宋体" w:eastAsia="宋体"/>
          <w:color w:val="auto"/>
          <w:sz w:val="18"/>
          <w:szCs w:val="18"/>
          <w:highlight w:val="none"/>
        </w:rPr>
      </w:pPr>
      <w:r>
        <w:rPr>
          <w:rFonts w:hint="eastAsia" w:ascii="宋体" w:hAnsi="宋体" w:eastAsia="宋体"/>
          <w:color w:val="auto"/>
          <w:szCs w:val="21"/>
          <w:highlight w:val="none"/>
        </w:rPr>
        <w:t>注：</w:t>
      </w:r>
      <w:r>
        <w:rPr>
          <w:rFonts w:hint="eastAsia" w:ascii="宋体" w:hAnsi="宋体" w:eastAsia="宋体"/>
          <w:color w:val="auto"/>
          <w:sz w:val="18"/>
          <w:szCs w:val="18"/>
          <w:highlight w:val="none"/>
        </w:rPr>
        <w:t>1.本表使用GZYLZB202</w:t>
      </w:r>
      <w:r>
        <w:rPr>
          <w:rFonts w:hint="eastAsia" w:ascii="宋体" w:hAnsi="宋体" w:eastAsia="宋体"/>
          <w:color w:val="auto"/>
          <w:sz w:val="18"/>
          <w:szCs w:val="18"/>
          <w:highlight w:val="none"/>
          <w:lang w:val="en-US" w:eastAsia="zh-CN"/>
        </w:rPr>
        <w:t>2</w:t>
      </w:r>
      <w:r>
        <w:rPr>
          <w:rFonts w:hint="eastAsia" w:ascii="宋体" w:hAnsi="宋体" w:eastAsia="宋体"/>
          <w:color w:val="auto"/>
          <w:sz w:val="18"/>
          <w:szCs w:val="18"/>
          <w:highlight w:val="none"/>
        </w:rPr>
        <w:t>-1招标文件范本，与范本内容不同之处均以下划线标明。</w:t>
      </w:r>
    </w:p>
    <w:p>
      <w:pPr>
        <w:spacing w:line="240" w:lineRule="exact"/>
        <w:ind w:firstLine="360" w:firstLineChars="200"/>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2.凡出现《投标文件否决性条款审查表》中任何一项情形，否决其投标。</w:t>
      </w:r>
    </w:p>
    <w:p>
      <w:pPr>
        <w:spacing w:line="240" w:lineRule="exact"/>
        <w:ind w:left="359" w:leftChars="171"/>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3.分部分项工程量清单综合单价相似度和加密打包投标文件的电脑机器特征码以广州公共资源交易评标系统的检索信息为准。出现第12-19项内容所列情形之一的，评标委员会应按照招标文件《投标人串通投标评审表》中的规定进行有关串通投标认定。</w:t>
      </w:r>
    </w:p>
    <w:p>
      <w:pPr>
        <w:spacing w:line="240" w:lineRule="exact"/>
        <w:ind w:left="359" w:leftChars="171"/>
        <w:jc w:val="left"/>
        <w:rPr>
          <w:rFonts w:hint="eastAsia" w:ascii="宋体" w:hAnsi="宋体" w:eastAsia="宋体"/>
          <w:color w:val="auto"/>
          <w:sz w:val="18"/>
          <w:szCs w:val="18"/>
          <w:highlight w:val="none"/>
        </w:rPr>
      </w:pPr>
      <w:r>
        <w:rPr>
          <w:rFonts w:hint="eastAsia" w:ascii="宋体" w:hAnsi="宋体" w:eastAsia="宋体"/>
          <w:color w:val="auto"/>
          <w:sz w:val="18"/>
          <w:szCs w:val="18"/>
          <w:highlight w:val="none"/>
        </w:rPr>
        <w:t xml:space="preserve">4.如对本表中某种情形的评审意见不一致时，以评标委员会过半数成员的意见作为评标委员会对该情形的认定结论。 </w:t>
      </w:r>
    </w:p>
    <w:p>
      <w:pPr>
        <w:spacing w:line="260" w:lineRule="exact"/>
        <w:ind w:left="359" w:leftChars="171"/>
        <w:jc w:val="left"/>
        <w:rPr>
          <w:rFonts w:hint="eastAsia" w:ascii="宋体" w:hAnsi="宋体" w:eastAsia="宋体"/>
          <w:color w:val="auto"/>
          <w:sz w:val="32"/>
          <w:szCs w:val="32"/>
          <w:highlight w:val="none"/>
        </w:rPr>
      </w:pPr>
    </w:p>
    <w:p>
      <w:pPr>
        <w:spacing w:line="240" w:lineRule="exact"/>
        <w:rPr>
          <w:rFonts w:hint="eastAsia" w:ascii="宋体" w:hAnsi="宋体" w:eastAsia="宋体"/>
          <w:b/>
          <w:color w:val="auto"/>
          <w:szCs w:val="21"/>
          <w:highlight w:val="none"/>
        </w:rPr>
      </w:pPr>
      <w:r>
        <w:rPr>
          <w:rFonts w:hint="eastAsia" w:ascii="宋体" w:hAnsi="宋体" w:eastAsia="宋体"/>
          <w:b/>
          <w:color w:val="auto"/>
          <w:szCs w:val="21"/>
          <w:highlight w:val="none"/>
        </w:rPr>
        <w:t xml:space="preserve"> 评委签名：                                                                                        日期：</w:t>
      </w:r>
    </w:p>
    <w:p>
      <w:pPr>
        <w:spacing w:line="240" w:lineRule="exact"/>
        <w:rPr>
          <w:rFonts w:hint="eastAsia" w:ascii="宋体" w:hAnsi="宋体" w:eastAsia="宋体"/>
          <w:b/>
          <w:color w:val="auto"/>
          <w:szCs w:val="21"/>
          <w:highlight w:val="none"/>
        </w:rPr>
      </w:pPr>
    </w:p>
    <w:p>
      <w:pPr>
        <w:pStyle w:val="17"/>
        <w:ind w:firstLine="0"/>
        <w:rPr>
          <w:rFonts w:hint="eastAsia" w:ascii="宋体" w:hAnsi="宋体"/>
          <w:color w:val="auto"/>
          <w:sz w:val="24"/>
          <w:szCs w:val="24"/>
          <w:highlight w:val="none"/>
        </w:rPr>
      </w:pPr>
    </w:p>
    <w:p>
      <w:pPr>
        <w:pStyle w:val="17"/>
        <w:ind w:firstLine="0"/>
        <w:outlineLvl w:val="2"/>
        <w:rPr>
          <w:rFonts w:hint="eastAsia" w:ascii="宋体" w:hAnsi="宋体"/>
          <w:color w:val="auto"/>
          <w:szCs w:val="21"/>
          <w:highlight w:val="none"/>
        </w:rPr>
      </w:pPr>
      <w:bookmarkStart w:id="210" w:name="_Toc19129"/>
      <w:bookmarkStart w:id="211" w:name="_Toc10135"/>
      <w:r>
        <w:rPr>
          <w:rFonts w:hint="eastAsia" w:ascii="宋体" w:hAnsi="宋体"/>
          <w:color w:val="auto"/>
          <w:sz w:val="24"/>
          <w:szCs w:val="24"/>
          <w:highlight w:val="none"/>
        </w:rPr>
        <w:t>附件9</w:t>
      </w:r>
      <w:bookmarkEnd w:id="210"/>
      <w:bookmarkEnd w:id="211"/>
    </w:p>
    <w:p>
      <w:pPr>
        <w:jc w:val="center"/>
        <w:rPr>
          <w:rFonts w:hint="eastAsia" w:ascii="宋体" w:hAnsi="宋体" w:eastAsia="宋体"/>
          <w:b/>
          <w:color w:val="auto"/>
          <w:sz w:val="36"/>
          <w:szCs w:val="36"/>
          <w:highlight w:val="none"/>
        </w:rPr>
      </w:pPr>
      <w:r>
        <w:rPr>
          <w:rFonts w:hint="eastAsia" w:ascii="宋体" w:hAnsi="宋体" w:eastAsia="宋体"/>
          <w:b/>
          <w:color w:val="auto"/>
          <w:sz w:val="36"/>
          <w:szCs w:val="36"/>
          <w:highlight w:val="none"/>
        </w:rPr>
        <w:t>投标人串通投标评审表</w:t>
      </w:r>
    </w:p>
    <w:tbl>
      <w:tblPr>
        <w:tblStyle w:val="18"/>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491"/>
        <w:gridCol w:w="1188"/>
        <w:gridCol w:w="1716"/>
        <w:gridCol w:w="7553"/>
        <w:gridCol w:w="908"/>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546" w:type="dxa"/>
            <w:gridSpan w:val="3"/>
            <w:vMerge w:val="restart"/>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投标人名称</w:t>
            </w:r>
          </w:p>
        </w:tc>
        <w:tc>
          <w:tcPr>
            <w:tcW w:w="10177" w:type="dxa"/>
            <w:gridSpan w:val="3"/>
            <w:vMerge w:val="restart"/>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815" w:type="dxa"/>
            <w:vMerge w:val="restart"/>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546" w:type="dxa"/>
            <w:gridSpan w:val="3"/>
            <w:vMerge w:val="continue"/>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10177" w:type="dxa"/>
            <w:gridSpan w:val="3"/>
            <w:vMerge w:val="continue"/>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1815" w:type="dxa"/>
            <w:vMerge w:val="continue"/>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restart"/>
            <w:noWrap w:val="0"/>
            <w:textDirection w:val="tbRlV"/>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串通投标认定</w:t>
            </w:r>
          </w:p>
        </w:tc>
        <w:tc>
          <w:tcPr>
            <w:tcW w:w="491" w:type="dxa"/>
            <w:vMerge w:val="restart"/>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188" w:type="dxa"/>
            <w:vMerge w:val="restart"/>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存在</w:t>
            </w:r>
          </w:p>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情形</w:t>
            </w:r>
          </w:p>
        </w:tc>
        <w:tc>
          <w:tcPr>
            <w:tcW w:w="9269" w:type="dxa"/>
            <w:gridSpan w:val="2"/>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不同投标人的投标文件由同一单位或者个人编制；   </w:t>
            </w:r>
          </w:p>
        </w:tc>
        <w:tc>
          <w:tcPr>
            <w:tcW w:w="908" w:type="dxa"/>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815" w:type="dxa"/>
            <w:vMerge w:val="restart"/>
            <w:noWrap w:val="0"/>
            <w:vAlign w:val="bottom"/>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491" w:type="dxa"/>
            <w:vMerge w:val="continue"/>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1188" w:type="dxa"/>
            <w:vMerge w:val="continue"/>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9269" w:type="dxa"/>
            <w:gridSpan w:val="2"/>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不同投标人委托同一单位或者个人办理投标事宜；  </w:t>
            </w:r>
          </w:p>
        </w:tc>
        <w:tc>
          <w:tcPr>
            <w:tcW w:w="908" w:type="dxa"/>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815" w:type="dxa"/>
            <w:vMerge w:val="continue"/>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491" w:type="dxa"/>
            <w:vMerge w:val="continue"/>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1188" w:type="dxa"/>
            <w:vMerge w:val="continue"/>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9269" w:type="dxa"/>
            <w:gridSpan w:val="2"/>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不同投标人的投标文件载明的项目管理成员为同一人；</w:t>
            </w:r>
          </w:p>
        </w:tc>
        <w:tc>
          <w:tcPr>
            <w:tcW w:w="908" w:type="dxa"/>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815" w:type="dxa"/>
            <w:vMerge w:val="continue"/>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491" w:type="dxa"/>
            <w:vMerge w:val="continue"/>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1188" w:type="dxa"/>
            <w:vMerge w:val="continue"/>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9269" w:type="dxa"/>
            <w:gridSpan w:val="2"/>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不同投标人的投标文件异常一致或者投标报价呈规律性差异；</w:t>
            </w:r>
          </w:p>
        </w:tc>
        <w:tc>
          <w:tcPr>
            <w:tcW w:w="908" w:type="dxa"/>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815" w:type="dxa"/>
            <w:vMerge w:val="continue"/>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491" w:type="dxa"/>
            <w:vMerge w:val="continue"/>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1188" w:type="dxa"/>
            <w:vMerge w:val="continue"/>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9269" w:type="dxa"/>
            <w:gridSpan w:val="2"/>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不同投标人的投标文件相互混装； </w:t>
            </w:r>
          </w:p>
        </w:tc>
        <w:tc>
          <w:tcPr>
            <w:tcW w:w="908" w:type="dxa"/>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815" w:type="dxa"/>
            <w:vMerge w:val="continue"/>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491" w:type="dxa"/>
            <w:vMerge w:val="continue"/>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1188" w:type="dxa"/>
            <w:vMerge w:val="continue"/>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9269" w:type="dxa"/>
            <w:gridSpan w:val="2"/>
            <w:tcBorders>
              <w:bottom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不同投标人的投标保证金从同一单位或者个人的账户转出； </w:t>
            </w:r>
          </w:p>
        </w:tc>
        <w:tc>
          <w:tcPr>
            <w:tcW w:w="908" w:type="dxa"/>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815" w:type="dxa"/>
            <w:vMerge w:val="continue"/>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491" w:type="dxa"/>
            <w:vMerge w:val="continue"/>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1188" w:type="dxa"/>
            <w:vMerge w:val="continue"/>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9269" w:type="dxa"/>
            <w:gridSpan w:val="2"/>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不同投标人的投标报价中分部分项工程量清单综合单价相似度达到80%及以上的；</w:t>
            </w:r>
          </w:p>
        </w:tc>
        <w:tc>
          <w:tcPr>
            <w:tcW w:w="908" w:type="dxa"/>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815" w:type="dxa"/>
            <w:vMerge w:val="continue"/>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491" w:type="dxa"/>
            <w:vMerge w:val="continue"/>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1188" w:type="dxa"/>
            <w:vMerge w:val="continue"/>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9269" w:type="dxa"/>
            <w:gridSpan w:val="2"/>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不同投标人加密打包投标文件的电脑机器特征码相同的。 </w:t>
            </w:r>
          </w:p>
        </w:tc>
        <w:tc>
          <w:tcPr>
            <w:tcW w:w="908" w:type="dxa"/>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815" w:type="dxa"/>
            <w:vMerge w:val="continue"/>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491" w:type="dxa"/>
            <w:vMerge w:val="restart"/>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188" w:type="dxa"/>
            <w:vMerge w:val="restart"/>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澄清</w:t>
            </w:r>
          </w:p>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核查</w:t>
            </w:r>
          </w:p>
        </w:tc>
        <w:tc>
          <w:tcPr>
            <w:tcW w:w="10177" w:type="dxa"/>
            <w:gridSpan w:val="3"/>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无澄清 □</w:t>
            </w:r>
          </w:p>
        </w:tc>
        <w:tc>
          <w:tcPr>
            <w:tcW w:w="1815" w:type="dxa"/>
            <w:vMerge w:val="restart"/>
            <w:noWrap w:val="0"/>
            <w:vAlign w:val="bottom"/>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491"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188"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16" w:type="dxa"/>
            <w:vMerge w:val="restart"/>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有澄清 □</w:t>
            </w:r>
          </w:p>
        </w:tc>
        <w:tc>
          <w:tcPr>
            <w:tcW w:w="8461" w:type="dxa"/>
            <w:gridSpan w:val="2"/>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澄清</w:t>
            </w:r>
            <w:r>
              <w:rPr>
                <w:rFonts w:hint="eastAsia" w:ascii="宋体" w:hAnsi="宋体" w:eastAsia="宋体" w:cs="宋体"/>
                <w:b/>
                <w:color w:val="auto"/>
                <w:kern w:val="0"/>
                <w:sz w:val="24"/>
                <w:szCs w:val="24"/>
                <w:highlight w:val="none"/>
              </w:rPr>
              <w:t>合理</w:t>
            </w:r>
            <w:r>
              <w:rPr>
                <w:rFonts w:hint="eastAsia" w:ascii="宋体" w:hAnsi="宋体" w:eastAsia="宋体" w:cs="宋体"/>
                <w:color w:val="auto"/>
                <w:kern w:val="0"/>
                <w:sz w:val="24"/>
                <w:szCs w:val="24"/>
                <w:highlight w:val="none"/>
              </w:rPr>
              <w:t xml:space="preserve">    □</w:t>
            </w:r>
          </w:p>
        </w:tc>
        <w:tc>
          <w:tcPr>
            <w:tcW w:w="1815" w:type="dxa"/>
            <w:vMerge w:val="continue"/>
            <w:noWrap w:val="0"/>
            <w:vAlign w:val="bottom"/>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67" w:type="dxa"/>
            <w:vMerge w:val="continue"/>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491"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188" w:type="dxa"/>
            <w:vMerge w:val="continue"/>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16" w:type="dxa"/>
            <w:vMerge w:val="continue"/>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p>
        </w:tc>
        <w:tc>
          <w:tcPr>
            <w:tcW w:w="8461" w:type="dxa"/>
            <w:gridSpan w:val="2"/>
            <w:noWrap w:val="0"/>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澄清</w:t>
            </w:r>
            <w:r>
              <w:rPr>
                <w:rFonts w:hint="eastAsia" w:ascii="宋体" w:hAnsi="宋体" w:eastAsia="宋体" w:cs="宋体"/>
                <w:b/>
                <w:color w:val="auto"/>
                <w:kern w:val="0"/>
                <w:sz w:val="24"/>
                <w:szCs w:val="24"/>
                <w:highlight w:val="none"/>
              </w:rPr>
              <w:t>不合理</w:t>
            </w:r>
            <w:r>
              <w:rPr>
                <w:rFonts w:hint="eastAsia" w:ascii="宋体" w:hAnsi="宋体" w:eastAsia="宋体" w:cs="宋体"/>
                <w:color w:val="auto"/>
                <w:kern w:val="0"/>
                <w:sz w:val="24"/>
                <w:szCs w:val="24"/>
                <w:highlight w:val="none"/>
              </w:rPr>
              <w:t xml:space="preserve">  □</w:t>
            </w:r>
          </w:p>
        </w:tc>
        <w:tc>
          <w:tcPr>
            <w:tcW w:w="1815" w:type="dxa"/>
            <w:vMerge w:val="continue"/>
            <w:noWrap w:val="0"/>
            <w:vAlign w:val="bottom"/>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67" w:type="dxa"/>
            <w:vMerge w:val="continue"/>
            <w:tcBorders>
              <w:bottom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p>
        </w:tc>
        <w:tc>
          <w:tcPr>
            <w:tcW w:w="491" w:type="dxa"/>
            <w:tcBorders>
              <w:bottom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188" w:type="dxa"/>
            <w:tcBorders>
              <w:bottom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认定</w:t>
            </w:r>
          </w:p>
        </w:tc>
        <w:tc>
          <w:tcPr>
            <w:tcW w:w="11992" w:type="dxa"/>
            <w:gridSpan w:val="4"/>
            <w:tcBorders>
              <w:bottom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串通投标 </w:t>
            </w:r>
            <w:r>
              <w:rPr>
                <w:rFonts w:hint="eastAsia" w:ascii="宋体" w:hAnsi="宋体" w:eastAsia="宋体" w:cs="宋体"/>
                <w:color w:val="auto"/>
                <w:kern w:val="0"/>
                <w:sz w:val="24"/>
                <w:szCs w:val="24"/>
                <w:highlight w:val="none"/>
              </w:rPr>
              <w:t xml:space="preserve">  </w:t>
            </w:r>
            <w:r>
              <w:rPr>
                <w:rFonts w:hint="eastAsia" w:ascii="宋体" w:hAnsi="宋体" w:eastAsia="宋体" w:cs="宋体"/>
                <w:b/>
                <w:bCs/>
                <w:color w:val="auto"/>
                <w:kern w:val="0"/>
                <w:sz w:val="24"/>
                <w:szCs w:val="24"/>
                <w:highlight w:val="none"/>
              </w:rPr>
              <w:t>是□    否□</w:t>
            </w:r>
          </w:p>
        </w:tc>
      </w:tr>
    </w:tbl>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注：1.评标委员会应将证据、记录、澄清等相关依据文件保存完整；</w:t>
      </w:r>
    </w:p>
    <w:p>
      <w:pPr>
        <w:widowControl/>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2.评标委员会按照少数服从多数的原则进行表决；</w:t>
      </w:r>
    </w:p>
    <w:p>
      <w:pPr>
        <w:widowControl/>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3.评审工程量清单综合单价相似的仅限于投标人投标报价中分部分项工程量清单综合单价。</w:t>
      </w:r>
    </w:p>
    <w:p>
      <w:pPr>
        <w:widowControl/>
        <w:ind w:firstLine="480" w:firstLineChars="200"/>
        <w:jc w:val="left"/>
        <w:rPr>
          <w:rFonts w:hint="eastAsia" w:ascii="宋体" w:hAnsi="宋体" w:eastAsia="宋体" w:cs="宋体"/>
          <w:color w:val="auto"/>
          <w:kern w:val="0"/>
          <w:sz w:val="24"/>
          <w:szCs w:val="24"/>
          <w:highlight w:val="none"/>
        </w:rPr>
      </w:pPr>
    </w:p>
    <w:p>
      <w:pPr>
        <w:widowControl/>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评标委员会签名：                                                                      日期：</w:t>
      </w:r>
    </w:p>
    <w:p>
      <w:pPr>
        <w:outlineLvl w:val="2"/>
        <w:rPr>
          <w:rFonts w:ascii="宋体" w:hAnsi="宋体" w:eastAsia="宋体"/>
          <w:color w:val="auto"/>
          <w:sz w:val="24"/>
          <w:szCs w:val="24"/>
          <w:highlight w:val="none"/>
        </w:rPr>
      </w:pPr>
      <w:r>
        <w:rPr>
          <w:rFonts w:ascii="宋体" w:hAnsi="宋体" w:eastAsia="宋体" w:cs="宋体"/>
          <w:b/>
          <w:color w:val="auto"/>
          <w:kern w:val="0"/>
          <w:sz w:val="24"/>
          <w:szCs w:val="24"/>
          <w:highlight w:val="none"/>
        </w:rPr>
        <w:br w:type="page"/>
      </w:r>
      <w:bookmarkStart w:id="212" w:name="_Toc30436"/>
      <w:bookmarkStart w:id="213" w:name="_Toc15680"/>
      <w:r>
        <w:rPr>
          <w:rFonts w:hint="eastAsia" w:ascii="宋体" w:hAnsi="宋体" w:eastAsia="宋体"/>
          <w:color w:val="auto"/>
          <w:sz w:val="24"/>
          <w:szCs w:val="24"/>
          <w:highlight w:val="none"/>
        </w:rPr>
        <w:t>附件10（适用于办法二）</w:t>
      </w:r>
      <w:bookmarkEnd w:id="212"/>
      <w:bookmarkEnd w:id="213"/>
    </w:p>
    <w:p>
      <w:pPr>
        <w:jc w:val="center"/>
        <w:rPr>
          <w:rFonts w:hint="eastAsia" w:ascii="宋体" w:hAnsi="宋体" w:eastAsia="宋体"/>
          <w:b/>
          <w:color w:val="auto"/>
          <w:sz w:val="36"/>
          <w:szCs w:val="36"/>
          <w:highlight w:val="none"/>
        </w:rPr>
      </w:pPr>
      <w:r>
        <w:rPr>
          <w:rFonts w:hint="eastAsia" w:ascii="宋体" w:hAnsi="宋体" w:eastAsia="宋体"/>
          <w:b/>
          <w:color w:val="auto"/>
          <w:sz w:val="32"/>
          <w:szCs w:val="32"/>
          <w:highlight w:val="none"/>
        </w:rPr>
        <w:t>技术部分（施工组织方案）文件否决性条款审查表</w:t>
      </w:r>
    </w:p>
    <w:p>
      <w:pPr>
        <w:tabs>
          <w:tab w:val="left" w:pos="720"/>
        </w:tabs>
        <w:snapToGrid w:val="0"/>
        <w:spacing w:line="360" w:lineRule="auto"/>
        <w:rPr>
          <w:rFonts w:hint="eastAsia" w:ascii="宋体" w:hAnsi="宋体" w:eastAsia="宋体"/>
          <w:bCs/>
          <w:color w:val="auto"/>
          <w:szCs w:val="21"/>
          <w:highlight w:val="none"/>
        </w:rPr>
      </w:pPr>
      <w:r>
        <w:rPr>
          <w:rFonts w:hint="eastAsia" w:ascii="宋体" w:hAnsi="宋体" w:eastAsia="宋体"/>
          <w:bCs/>
          <w:color w:val="auto"/>
          <w:szCs w:val="21"/>
          <w:highlight w:val="none"/>
        </w:rPr>
        <w:t>工程名称：</w:t>
      </w:r>
    </w:p>
    <w:tbl>
      <w:tblPr>
        <w:tblStyle w:val="18"/>
        <w:tblW w:w="0" w:type="auto"/>
        <w:tblInd w:w="3" w:type="dxa"/>
        <w:tblLayout w:type="fixed"/>
        <w:tblCellMar>
          <w:top w:w="0" w:type="dxa"/>
          <w:left w:w="108" w:type="dxa"/>
          <w:bottom w:w="0" w:type="dxa"/>
          <w:right w:w="108" w:type="dxa"/>
        </w:tblCellMar>
      </w:tblPr>
      <w:tblGrid>
        <w:gridCol w:w="656"/>
        <w:gridCol w:w="8269"/>
        <w:gridCol w:w="1080"/>
        <w:gridCol w:w="1080"/>
        <w:gridCol w:w="1080"/>
        <w:gridCol w:w="1080"/>
        <w:gridCol w:w="1080"/>
      </w:tblGrid>
      <w:tr>
        <w:tblPrEx>
          <w:tblCellMar>
            <w:top w:w="0" w:type="dxa"/>
            <w:left w:w="108" w:type="dxa"/>
            <w:bottom w:w="0" w:type="dxa"/>
            <w:right w:w="108" w:type="dxa"/>
          </w:tblCellMar>
        </w:tblPrEx>
        <w:trPr>
          <w:trHeight w:val="441"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序号</w:t>
            </w:r>
          </w:p>
        </w:tc>
        <w:tc>
          <w:tcPr>
            <w:tcW w:w="8269"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olor w:val="auto"/>
                <w:szCs w:val="21"/>
                <w:highlight w:val="none"/>
              </w:rPr>
            </w:pPr>
            <w:r>
              <w:rPr>
                <w:rFonts w:hint="eastAsia" w:ascii="宋体" w:hAnsi="宋体" w:eastAsia="宋体"/>
                <w:color w:val="auto"/>
                <w:szCs w:val="21"/>
                <w:highlight w:val="none"/>
              </w:rPr>
              <w:t xml:space="preserve">                                      投标人</w:t>
            </w:r>
          </w:p>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r>
              <w:rPr>
                <w:rFonts w:hint="eastAsia" w:ascii="宋体" w:hAnsi="宋体" w:eastAsia="宋体"/>
                <w:color w:val="auto"/>
                <w:szCs w:val="21"/>
                <w:highlight w:val="none"/>
              </w:rPr>
              <w:t>评审内容</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tblPrEx>
          <w:tblCellMar>
            <w:top w:w="0" w:type="dxa"/>
            <w:left w:w="108" w:type="dxa"/>
            <w:bottom w:w="0" w:type="dxa"/>
            <w:right w:w="108" w:type="dxa"/>
          </w:tblCellMar>
        </w:tblPrEx>
        <w:trPr>
          <w:trHeight w:val="312"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1</w:t>
            </w:r>
          </w:p>
        </w:tc>
        <w:tc>
          <w:tcPr>
            <w:tcW w:w="8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宋体" w:hAnsi="宋体" w:eastAsia="宋体"/>
                <w:color w:val="auto"/>
                <w:szCs w:val="21"/>
                <w:highlight w:val="none"/>
              </w:rPr>
            </w:pPr>
            <w:r>
              <w:rPr>
                <w:rFonts w:hint="eastAsia" w:ascii="宋体" w:hAnsi="宋体" w:eastAsia="宋体"/>
                <w:color w:val="auto"/>
                <w:szCs w:val="21"/>
                <w:highlight w:val="none"/>
              </w:rPr>
              <w:t>技术部分（施工组织方案）有明显抄袭行为的；</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tblPrEx>
          <w:tblCellMar>
            <w:top w:w="0" w:type="dxa"/>
            <w:left w:w="108" w:type="dxa"/>
            <w:bottom w:w="0" w:type="dxa"/>
            <w:right w:w="108" w:type="dxa"/>
          </w:tblCellMar>
        </w:tblPrEx>
        <w:trPr>
          <w:trHeight w:val="312"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2</w:t>
            </w:r>
          </w:p>
        </w:tc>
        <w:tc>
          <w:tcPr>
            <w:tcW w:w="8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宋体" w:hAnsi="宋体" w:eastAsia="宋体"/>
                <w:color w:val="auto"/>
                <w:szCs w:val="21"/>
                <w:highlight w:val="none"/>
              </w:rPr>
            </w:pPr>
            <w:r>
              <w:rPr>
                <w:rFonts w:hint="eastAsia" w:ascii="宋体" w:hAnsi="宋体" w:eastAsia="宋体"/>
                <w:color w:val="auto"/>
                <w:szCs w:val="21"/>
                <w:highlight w:val="none"/>
              </w:rPr>
              <w:t>技术部分（施工组织方案）侵犯他人著作权和特许权的；</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tblPrEx>
          <w:tblCellMar>
            <w:top w:w="0" w:type="dxa"/>
            <w:left w:w="108" w:type="dxa"/>
            <w:bottom w:w="0" w:type="dxa"/>
            <w:right w:w="108" w:type="dxa"/>
          </w:tblCellMar>
        </w:tblPrEx>
        <w:trPr>
          <w:trHeight w:val="90"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olor w:val="auto"/>
                <w:szCs w:val="21"/>
                <w:highlight w:val="none"/>
              </w:rPr>
            </w:pPr>
            <w:r>
              <w:rPr>
                <w:rFonts w:hint="eastAsia" w:ascii="宋体" w:hAnsi="宋体" w:eastAsia="宋体"/>
                <w:color w:val="auto"/>
                <w:szCs w:val="21"/>
                <w:highlight w:val="none"/>
              </w:rPr>
              <w:t>3</w:t>
            </w:r>
          </w:p>
        </w:tc>
        <w:tc>
          <w:tcPr>
            <w:tcW w:w="8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宋体" w:hAnsi="宋体" w:eastAsia="宋体"/>
                <w:color w:val="auto"/>
                <w:szCs w:val="21"/>
                <w:highlight w:val="none"/>
              </w:rPr>
            </w:pPr>
            <w:r>
              <w:rPr>
                <w:rFonts w:hint="eastAsia" w:ascii="宋体" w:hAnsi="宋体" w:eastAsia="宋体"/>
                <w:color w:val="auto"/>
                <w:szCs w:val="21"/>
                <w:highlight w:val="none"/>
              </w:rPr>
              <w:t>发现投标人在技术部分（施工组织方案）内标注名称、印章、商标、投标金额等记认符号（或使人辨认出投标人或其专业技术人员的身份）或出现涉及人员姓名、简历、等暴露投标人身份的内容。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tblPrEx>
          <w:tblCellMar>
            <w:top w:w="0" w:type="dxa"/>
            <w:left w:w="108" w:type="dxa"/>
            <w:bottom w:w="0" w:type="dxa"/>
            <w:right w:w="108" w:type="dxa"/>
          </w:tblCellMar>
        </w:tblPrEx>
        <w:trPr>
          <w:trHeight w:val="90" w:hRule="atLeast"/>
        </w:trPr>
        <w:tc>
          <w:tcPr>
            <w:tcW w:w="6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4</w:t>
            </w:r>
          </w:p>
        </w:tc>
        <w:tc>
          <w:tcPr>
            <w:tcW w:w="8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exact"/>
              <w:ind w:left="0" w:right="0"/>
              <w:rPr>
                <w:rFonts w:hint="eastAsia" w:ascii="宋体" w:hAnsi="宋体" w:eastAsia="宋体"/>
                <w:color w:val="auto"/>
                <w:szCs w:val="21"/>
                <w:highlight w:val="none"/>
              </w:rPr>
            </w:pPr>
            <w:r>
              <w:rPr>
                <w:rFonts w:hint="eastAsia" w:ascii="宋体" w:hAnsi="宋体" w:eastAsia="宋体"/>
                <w:color w:val="auto"/>
                <w:szCs w:val="21"/>
                <w:highlight w:val="none"/>
              </w:rPr>
              <w:t>存在串通投标情形（串通投标情形以《中华人民共和国招投标法实施条例》的规定为准）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bl>
    <w:p>
      <w:pPr>
        <w:spacing w:line="260" w:lineRule="exact"/>
        <w:rPr>
          <w:rFonts w:hint="eastAsia" w:ascii="宋体" w:hAnsi="宋体" w:eastAsia="宋体"/>
          <w:color w:val="auto"/>
          <w:szCs w:val="21"/>
          <w:highlight w:val="none"/>
        </w:rPr>
      </w:pPr>
      <w:r>
        <w:rPr>
          <w:rFonts w:hint="eastAsia" w:ascii="宋体" w:hAnsi="宋体" w:eastAsia="宋体"/>
          <w:color w:val="auto"/>
          <w:szCs w:val="21"/>
          <w:highlight w:val="none"/>
        </w:rPr>
        <w:t>注：1.本表使用GZYLZB202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-1招标文件范本，与范本内容不同之处均以下划线标明。</w:t>
      </w:r>
    </w:p>
    <w:p>
      <w:pPr>
        <w:spacing w:line="260" w:lineRule="exact"/>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2.凡出现《技术部分（施工组织方案）文件否决性条款审查表》中任何一项情形，否决其投标。</w:t>
      </w:r>
    </w:p>
    <w:p>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3.如对本表中某种情形的评审意见不一致时，以评标委员会过半数成员的意见作为评标委员会对该情形的认定结论。</w:t>
      </w:r>
    </w:p>
    <w:p>
      <w:pPr>
        <w:rPr>
          <w:rFonts w:hint="eastAsia" w:ascii="宋体" w:hAnsi="宋体" w:eastAsia="宋体"/>
          <w:color w:val="auto"/>
          <w:szCs w:val="21"/>
          <w:highlight w:val="none"/>
        </w:rPr>
      </w:pPr>
    </w:p>
    <w:p>
      <w:pPr>
        <w:spacing w:line="240" w:lineRule="exact"/>
        <w:rPr>
          <w:rFonts w:hint="eastAsia" w:ascii="宋体" w:hAnsi="宋体" w:eastAsia="宋体"/>
          <w:b/>
          <w:color w:val="auto"/>
          <w:szCs w:val="21"/>
          <w:highlight w:val="none"/>
        </w:rPr>
      </w:pPr>
      <w:r>
        <w:rPr>
          <w:rFonts w:hint="eastAsia" w:ascii="宋体" w:hAnsi="宋体" w:eastAsia="宋体"/>
          <w:b/>
          <w:color w:val="auto"/>
          <w:szCs w:val="21"/>
          <w:highlight w:val="none"/>
        </w:rPr>
        <w:t xml:space="preserve"> 评委签名：                                                                                        日期：</w:t>
      </w:r>
    </w:p>
    <w:p>
      <w:pPr>
        <w:rPr>
          <w:rFonts w:hint="eastAsia" w:ascii="宋体" w:hAnsi="宋体" w:eastAsia="宋体"/>
          <w:color w:val="auto"/>
          <w:szCs w:val="21"/>
          <w:highlight w:val="none"/>
        </w:rPr>
        <w:sectPr>
          <w:endnotePr>
            <w:numFmt w:val="decimal"/>
          </w:endnotePr>
          <w:type w:val="continuous"/>
          <w:pgSz w:w="16783" w:h="11850" w:orient="landscape"/>
          <w:pgMar w:top="567" w:right="1247" w:bottom="567" w:left="1134" w:header="284" w:footer="284" w:gutter="0"/>
          <w:pgNumType w:fmt="decimal"/>
          <w:cols w:space="720" w:num="1"/>
          <w:titlePg/>
          <w:docGrid w:type="lines" w:linePitch="312" w:charSpace="0"/>
        </w:sectPr>
      </w:pPr>
    </w:p>
    <w:p>
      <w:pPr>
        <w:widowControl/>
        <w:ind w:firstLine="482" w:firstLineChars="200"/>
        <w:jc w:val="left"/>
        <w:rPr>
          <w:rFonts w:ascii="宋体" w:hAnsi="宋体" w:eastAsia="宋体" w:cs="宋体"/>
          <w:b/>
          <w:color w:val="auto"/>
          <w:kern w:val="0"/>
          <w:sz w:val="24"/>
          <w:szCs w:val="24"/>
          <w:highlight w:val="none"/>
        </w:rPr>
        <w:sectPr>
          <w:endnotePr>
            <w:numFmt w:val="decimal"/>
          </w:endnotePr>
          <w:type w:val="continuous"/>
          <w:pgSz w:w="16783" w:h="11850" w:orient="landscape"/>
          <w:pgMar w:top="567" w:right="1247" w:bottom="567" w:left="1134" w:header="284" w:footer="284" w:gutter="0"/>
          <w:pgNumType w:fmt="decimal"/>
          <w:cols w:space="720" w:num="1"/>
          <w:titlePg/>
          <w:docGrid w:type="lines" w:linePitch="312" w:charSpace="0"/>
        </w:sectPr>
      </w:pPr>
    </w:p>
    <w:p>
      <w:pPr>
        <w:pStyle w:val="17"/>
        <w:ind w:firstLine="0"/>
        <w:outlineLvl w:val="2"/>
        <w:rPr>
          <w:rFonts w:ascii="宋体" w:hAnsi="宋体"/>
          <w:color w:val="auto"/>
          <w:szCs w:val="21"/>
          <w:highlight w:val="none"/>
        </w:rPr>
      </w:pPr>
      <w:bookmarkStart w:id="214" w:name="_Toc29858"/>
      <w:bookmarkStart w:id="215" w:name="_Toc19944"/>
      <w:r>
        <w:rPr>
          <w:rFonts w:hint="eastAsia" w:ascii="宋体" w:hAnsi="宋体"/>
          <w:color w:val="auto"/>
          <w:sz w:val="24"/>
          <w:szCs w:val="24"/>
          <w:highlight w:val="none"/>
        </w:rPr>
        <w:t>附件11（适用于办法二）</w:t>
      </w:r>
      <w:bookmarkEnd w:id="214"/>
      <w:bookmarkEnd w:id="215"/>
    </w:p>
    <w:p>
      <w:pPr>
        <w:widowControl/>
        <w:spacing w:line="360" w:lineRule="auto"/>
        <w:jc w:val="center"/>
        <w:rPr>
          <w:b/>
          <w:bCs/>
          <w:color w:val="auto"/>
          <w:kern w:val="0"/>
          <w:sz w:val="28"/>
          <w:szCs w:val="28"/>
          <w:highlight w:val="none"/>
        </w:rPr>
      </w:pPr>
    </w:p>
    <w:p>
      <w:pPr>
        <w:widowControl/>
        <w:jc w:val="center"/>
        <w:rPr>
          <w:rFonts w:hint="eastAsia" w:ascii="宋体" w:hAnsi="宋体" w:eastAsia="宋体"/>
          <w:b/>
          <w:color w:val="auto"/>
          <w:sz w:val="36"/>
          <w:szCs w:val="36"/>
          <w:highlight w:val="none"/>
        </w:rPr>
      </w:pPr>
      <w:r>
        <w:rPr>
          <w:rFonts w:hint="eastAsia" w:ascii="宋体" w:hAnsi="宋体" w:eastAsia="宋体"/>
          <w:b/>
          <w:color w:val="auto"/>
          <w:sz w:val="36"/>
          <w:szCs w:val="36"/>
          <w:highlight w:val="none"/>
        </w:rPr>
        <w:t>技术部分（施工组织方案）编号确认表</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420"/>
        <w:gridCol w:w="42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342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暗标编号</w:t>
            </w:r>
          </w:p>
        </w:tc>
        <w:tc>
          <w:tcPr>
            <w:tcW w:w="4280"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确认的投标人名称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3420" w:type="dxa"/>
            <w:noWrap w:val="0"/>
            <w:vAlign w:val="top"/>
          </w:tcPr>
          <w:p>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4280" w:type="dxa"/>
            <w:noWrap w:val="0"/>
            <w:vAlign w:val="top"/>
          </w:tcPr>
          <w:p>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3420" w:type="dxa"/>
            <w:noWrap w:val="0"/>
            <w:vAlign w:val="top"/>
          </w:tcPr>
          <w:p>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4280" w:type="dxa"/>
            <w:noWrap w:val="0"/>
            <w:vAlign w:val="top"/>
          </w:tcPr>
          <w:p>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3420" w:type="dxa"/>
            <w:noWrap w:val="0"/>
            <w:vAlign w:val="top"/>
          </w:tcPr>
          <w:p>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4280" w:type="dxa"/>
            <w:noWrap w:val="0"/>
            <w:vAlign w:val="top"/>
          </w:tcPr>
          <w:p>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3420" w:type="dxa"/>
            <w:noWrap w:val="0"/>
            <w:vAlign w:val="top"/>
          </w:tcPr>
          <w:p>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4280" w:type="dxa"/>
            <w:noWrap w:val="0"/>
            <w:vAlign w:val="top"/>
          </w:tcPr>
          <w:p>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3420" w:type="dxa"/>
            <w:noWrap w:val="0"/>
            <w:vAlign w:val="top"/>
          </w:tcPr>
          <w:p>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4280" w:type="dxa"/>
            <w:noWrap w:val="0"/>
            <w:vAlign w:val="top"/>
          </w:tcPr>
          <w:p>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3420" w:type="dxa"/>
            <w:noWrap w:val="0"/>
            <w:vAlign w:val="top"/>
          </w:tcPr>
          <w:p>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4280" w:type="dxa"/>
            <w:noWrap w:val="0"/>
            <w:vAlign w:val="top"/>
          </w:tcPr>
          <w:p>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3420" w:type="dxa"/>
            <w:noWrap w:val="0"/>
            <w:vAlign w:val="top"/>
          </w:tcPr>
          <w:p>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4280" w:type="dxa"/>
            <w:noWrap w:val="0"/>
            <w:vAlign w:val="top"/>
          </w:tcPr>
          <w:p>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3420" w:type="dxa"/>
            <w:noWrap w:val="0"/>
            <w:vAlign w:val="top"/>
          </w:tcPr>
          <w:p>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4280" w:type="dxa"/>
            <w:noWrap w:val="0"/>
            <w:vAlign w:val="top"/>
          </w:tcPr>
          <w:p>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3420" w:type="dxa"/>
            <w:noWrap w:val="0"/>
            <w:vAlign w:val="top"/>
          </w:tcPr>
          <w:p>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4280" w:type="dxa"/>
            <w:noWrap w:val="0"/>
            <w:vAlign w:val="top"/>
          </w:tcPr>
          <w:p>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3420" w:type="dxa"/>
            <w:noWrap w:val="0"/>
            <w:vAlign w:val="top"/>
          </w:tcPr>
          <w:p>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4280" w:type="dxa"/>
            <w:noWrap w:val="0"/>
            <w:vAlign w:val="top"/>
          </w:tcPr>
          <w:p>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top"/>
          </w:tcPr>
          <w:p>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3420" w:type="dxa"/>
            <w:noWrap w:val="0"/>
            <w:vAlign w:val="top"/>
          </w:tcPr>
          <w:p>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c>
          <w:tcPr>
            <w:tcW w:w="4280" w:type="dxa"/>
            <w:noWrap w:val="0"/>
            <w:vAlign w:val="top"/>
          </w:tcPr>
          <w:p>
            <w:pPr>
              <w:keepNext w:val="0"/>
              <w:keepLines w:val="0"/>
              <w:suppressLineNumbers w:val="0"/>
              <w:tabs>
                <w:tab w:val="left" w:pos="4680"/>
              </w:tabs>
              <w:spacing w:before="0" w:beforeAutospacing="0" w:after="0" w:afterAutospacing="0" w:line="360" w:lineRule="auto"/>
              <w:ind w:left="0" w:right="0"/>
              <w:rPr>
                <w:rFonts w:hint="default"/>
                <w:b/>
                <w:bCs/>
                <w:color w:val="auto"/>
                <w:szCs w:val="21"/>
                <w:highlight w:val="none"/>
                <w:u w:val="single"/>
              </w:rPr>
            </w:pPr>
          </w:p>
        </w:tc>
      </w:tr>
    </w:tbl>
    <w:p>
      <w:pPr>
        <w:tabs>
          <w:tab w:val="left" w:pos="4680"/>
        </w:tabs>
        <w:spacing w:line="360" w:lineRule="auto"/>
        <w:ind w:firstLine="1200" w:firstLineChars="500"/>
        <w:rPr>
          <w:rFonts w:hint="eastAsia" w:eastAsia="宋体"/>
          <w:color w:val="auto"/>
          <w:szCs w:val="21"/>
          <w:highlight w:val="none"/>
        </w:rPr>
      </w:pPr>
      <w:r>
        <w:rPr>
          <w:rFonts w:hint="eastAsia" w:ascii="宋体" w:hAnsi="宋体" w:eastAsia="宋体" w:cs="宋体"/>
          <w:color w:val="auto"/>
          <w:kern w:val="0"/>
          <w:sz w:val="24"/>
          <w:szCs w:val="24"/>
          <w:highlight w:val="none"/>
        </w:rPr>
        <w:t xml:space="preserve">评标委员会全体成员签名：                                日期： </w:t>
      </w:r>
    </w:p>
    <w:p>
      <w:pPr>
        <w:widowControl/>
        <w:ind w:firstLine="482" w:firstLineChars="200"/>
        <w:jc w:val="left"/>
        <w:rPr>
          <w:rFonts w:ascii="宋体" w:hAnsi="宋体" w:eastAsia="宋体" w:cs="宋体"/>
          <w:b/>
          <w:color w:val="auto"/>
          <w:kern w:val="0"/>
          <w:sz w:val="24"/>
          <w:szCs w:val="24"/>
          <w:highlight w:val="none"/>
        </w:rPr>
        <w:sectPr>
          <w:endnotePr>
            <w:numFmt w:val="decimal"/>
          </w:endnotePr>
          <w:pgSz w:w="11850" w:h="16783"/>
          <w:pgMar w:top="1247" w:right="567" w:bottom="1134" w:left="567" w:header="284" w:footer="284" w:gutter="0"/>
          <w:pgNumType w:fmt="decimal"/>
          <w:cols w:space="720" w:num="1"/>
          <w:titlePg/>
          <w:docGrid w:type="lines" w:linePitch="312" w:charSpace="0"/>
        </w:sectPr>
      </w:pPr>
    </w:p>
    <w:p>
      <w:pPr>
        <w:ind w:left="-718" w:leftChars="-342" w:right="-827" w:rightChars="-394"/>
        <w:rPr>
          <w:rFonts w:hint="eastAsia" w:ascii="宋体" w:hAnsi="宋体" w:eastAsia="宋体"/>
          <w:color w:val="auto"/>
          <w:sz w:val="24"/>
          <w:szCs w:val="24"/>
          <w:highlight w:val="none"/>
        </w:rPr>
      </w:pPr>
    </w:p>
    <w:p>
      <w:pPr>
        <w:outlineLvl w:val="2"/>
        <w:rPr>
          <w:rFonts w:hint="eastAsia" w:ascii="宋体" w:hAnsi="宋体" w:eastAsia="宋体"/>
          <w:color w:val="auto"/>
          <w:sz w:val="24"/>
          <w:szCs w:val="24"/>
          <w:highlight w:val="none"/>
        </w:rPr>
      </w:pPr>
      <w:bookmarkStart w:id="216" w:name="_Toc18044"/>
      <w:bookmarkStart w:id="217" w:name="_Toc8471"/>
      <w:r>
        <w:rPr>
          <w:rFonts w:hint="eastAsia" w:ascii="宋体" w:hAnsi="宋体" w:eastAsia="宋体"/>
          <w:color w:val="auto"/>
          <w:sz w:val="24"/>
          <w:szCs w:val="24"/>
          <w:highlight w:val="none"/>
        </w:rPr>
        <w:t>附件12（适用于办法二）</w:t>
      </w:r>
      <w:bookmarkEnd w:id="216"/>
      <w:bookmarkEnd w:id="217"/>
    </w:p>
    <w:p>
      <w:pPr>
        <w:jc w:val="center"/>
        <w:rPr>
          <w:rFonts w:hint="eastAsia" w:ascii="宋体" w:hAnsi="宋体" w:eastAsia="宋体"/>
          <w:b/>
          <w:color w:val="auto"/>
          <w:sz w:val="36"/>
          <w:szCs w:val="36"/>
          <w:highlight w:val="none"/>
        </w:rPr>
      </w:pPr>
      <w:r>
        <w:rPr>
          <w:rFonts w:hint="eastAsia" w:ascii="宋体" w:hAnsi="宋体" w:eastAsia="宋体"/>
          <w:b/>
          <w:color w:val="auto"/>
          <w:sz w:val="36"/>
          <w:szCs w:val="36"/>
          <w:highlight w:val="none"/>
        </w:rPr>
        <w:t>技术部分（施工组织方案）审查评分表</w:t>
      </w:r>
    </w:p>
    <w:p>
      <w:pPr>
        <w:rPr>
          <w:rFonts w:hint="eastAsia" w:ascii="宋体" w:hAnsi="宋体" w:eastAsia="宋体"/>
          <w:bCs/>
          <w:color w:val="auto"/>
          <w:szCs w:val="21"/>
          <w:highlight w:val="none"/>
        </w:rPr>
      </w:pPr>
      <w:r>
        <w:rPr>
          <w:rFonts w:hint="eastAsia" w:ascii="宋体" w:hAnsi="宋体" w:eastAsia="宋体"/>
          <w:bCs/>
          <w:color w:val="auto"/>
          <w:szCs w:val="21"/>
          <w:highlight w:val="none"/>
        </w:rPr>
        <w:t>工程名称：                                                                                 方案编号：</w:t>
      </w:r>
    </w:p>
    <w:tbl>
      <w:tblPr>
        <w:tblStyle w:val="18"/>
        <w:tblW w:w="14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1650"/>
        <w:gridCol w:w="793"/>
        <w:gridCol w:w="10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blHeader/>
        </w:trPr>
        <w:tc>
          <w:tcPr>
            <w:tcW w:w="2959" w:type="dxa"/>
            <w:gridSpan w:val="2"/>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评审项目</w:t>
            </w:r>
          </w:p>
        </w:tc>
        <w:tc>
          <w:tcPr>
            <w:tcW w:w="793"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w:t>
            </w:r>
          </w:p>
        </w:tc>
        <w:tc>
          <w:tcPr>
            <w:tcW w:w="10787"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2959" w:type="dxa"/>
            <w:gridSpan w:val="2"/>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第一章 概况</w:t>
            </w:r>
          </w:p>
        </w:tc>
        <w:tc>
          <w:tcPr>
            <w:tcW w:w="793"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0787" w:type="dxa"/>
            <w:vAlign w:val="center"/>
          </w:tcPr>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概况内容全面、概括性强，包括工程概况、工程范围、编制依据等。</w:t>
            </w:r>
          </w:p>
          <w:p>
            <w:pPr>
              <w:keepNext w:val="0"/>
              <w:keepLines w:val="0"/>
              <w:suppressLineNumbers w:val="0"/>
              <w:spacing w:before="0" w:beforeAutospacing="0" w:after="0" w:afterAutospacing="0" w:line="320" w:lineRule="exact"/>
              <w:ind w:left="0" w:right="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得分规则：优得</w:t>
            </w:r>
            <w:r>
              <w:rPr>
                <w:rFonts w:hint="eastAsia" w:ascii="宋体" w:hAnsi="宋体" w:eastAsia="宋体" w:cs="宋体"/>
                <w:color w:val="auto"/>
                <w:sz w:val="18"/>
                <w:szCs w:val="18"/>
                <w:highlight w:val="none"/>
                <w:u w:val="single"/>
              </w:rPr>
              <w:t xml:space="preserve">  5 </w:t>
            </w:r>
            <w:r>
              <w:rPr>
                <w:rFonts w:hint="eastAsia" w:ascii="宋体" w:hAnsi="宋体" w:eastAsia="宋体" w:cs="宋体"/>
                <w:color w:val="auto"/>
                <w:sz w:val="18"/>
                <w:szCs w:val="18"/>
                <w:highlight w:val="none"/>
              </w:rPr>
              <w:t>分；良得</w:t>
            </w:r>
            <w:r>
              <w:rPr>
                <w:rFonts w:hint="eastAsia" w:ascii="宋体" w:hAnsi="宋体" w:eastAsia="宋体" w:cs="宋体"/>
                <w:color w:val="auto"/>
                <w:sz w:val="18"/>
                <w:szCs w:val="18"/>
                <w:highlight w:val="none"/>
                <w:u w:val="single"/>
              </w:rPr>
              <w:t xml:space="preserve"> 4 </w:t>
            </w:r>
            <w:r>
              <w:rPr>
                <w:rFonts w:hint="eastAsia" w:ascii="宋体" w:hAnsi="宋体" w:eastAsia="宋体" w:cs="宋体"/>
                <w:color w:val="auto"/>
                <w:sz w:val="18"/>
                <w:szCs w:val="18"/>
                <w:highlight w:val="none"/>
              </w:rPr>
              <w:t>分；中得</w:t>
            </w:r>
            <w:r>
              <w:rPr>
                <w:rFonts w:hint="eastAsia" w:ascii="宋体" w:hAnsi="宋体" w:eastAsia="宋体" w:cs="宋体"/>
                <w:color w:val="auto"/>
                <w:sz w:val="18"/>
                <w:szCs w:val="18"/>
                <w:highlight w:val="none"/>
                <w:u w:val="single"/>
              </w:rPr>
              <w:t xml:space="preserve"> 3 </w:t>
            </w:r>
            <w:r>
              <w:rPr>
                <w:rFonts w:hint="eastAsia" w:ascii="宋体" w:hAnsi="宋体" w:eastAsia="宋体" w:cs="宋体"/>
                <w:color w:val="auto"/>
                <w:sz w:val="18"/>
                <w:szCs w:val="18"/>
                <w:highlight w:val="none"/>
              </w:rPr>
              <w:t>分；一般得</w:t>
            </w:r>
            <w:r>
              <w:rPr>
                <w:rFonts w:hint="eastAsia" w:ascii="宋体" w:hAnsi="宋体" w:eastAsia="宋体" w:cs="宋体"/>
                <w:color w:val="auto"/>
                <w:sz w:val="18"/>
                <w:szCs w:val="18"/>
                <w:highlight w:val="none"/>
                <w:u w:val="single"/>
              </w:rPr>
              <w:t xml:space="preserve"> 2 </w:t>
            </w:r>
            <w:r>
              <w:rPr>
                <w:rFonts w:hint="eastAsia" w:ascii="宋体" w:hAnsi="宋体" w:eastAsia="宋体" w:cs="宋体"/>
                <w:color w:val="auto"/>
                <w:sz w:val="18"/>
                <w:szCs w:val="18"/>
                <w:highlight w:val="none"/>
              </w:rPr>
              <w:t>分；差得</w:t>
            </w:r>
            <w:r>
              <w:rPr>
                <w:rFonts w:hint="eastAsia" w:ascii="宋体" w:hAnsi="宋体" w:eastAsia="宋体" w:cs="宋体"/>
                <w:color w:val="auto"/>
                <w:sz w:val="18"/>
                <w:szCs w:val="18"/>
                <w:highlight w:val="none"/>
                <w:u w:val="single"/>
              </w:rPr>
              <w:t>0</w:t>
            </w:r>
            <w:r>
              <w:rPr>
                <w:rFonts w:hint="eastAsia" w:ascii="宋体" w:hAnsi="宋体" w:eastAsia="宋体" w:cs="宋体"/>
                <w:color w:val="auto"/>
                <w:sz w:val="18"/>
                <w:szCs w:val="18"/>
                <w:highlight w:val="none"/>
              </w:rPr>
              <w:t>分。</w:t>
            </w:r>
          </w:p>
          <w:p>
            <w:pPr>
              <w:keepNext w:val="0"/>
              <w:keepLines w:val="0"/>
              <w:suppressLineNumbers w:val="0"/>
              <w:spacing w:before="0" w:beforeAutospacing="0" w:after="0" w:afterAutospacing="0" w:line="320" w:lineRule="exact"/>
              <w:ind w:left="0" w:right="0"/>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评审标准：优：概况内容全面、概括性强，能详细描述工程概况、工程范围、编制依据。</w:t>
            </w:r>
          </w:p>
          <w:p>
            <w:pPr>
              <w:keepNext w:val="0"/>
              <w:keepLines w:val="0"/>
              <w:suppressLineNumbers w:val="0"/>
              <w:spacing w:before="0" w:beforeAutospacing="0" w:after="0" w:afterAutospacing="0" w:line="320" w:lineRule="exact"/>
              <w:ind w:left="0" w:right="0" w:firstLine="900" w:firstLineChars="500"/>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良：概况内容较全面、概括性较强，仅包含工程概况、工程范围。</w:t>
            </w:r>
          </w:p>
          <w:p>
            <w:pPr>
              <w:keepNext w:val="0"/>
              <w:keepLines w:val="0"/>
              <w:suppressLineNumbers w:val="0"/>
              <w:spacing w:before="0" w:beforeAutospacing="0" w:after="0" w:afterAutospacing="0" w:line="320" w:lineRule="exact"/>
              <w:ind w:left="0" w:right="0" w:firstLine="900" w:firstLineChars="500"/>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中：概况内容基本全面、概括性一般，仅包含工程概况。</w:t>
            </w:r>
          </w:p>
          <w:p>
            <w:pPr>
              <w:keepNext w:val="0"/>
              <w:keepLines w:val="0"/>
              <w:suppressLineNumbers w:val="0"/>
              <w:spacing w:before="0" w:beforeAutospacing="0" w:after="0" w:afterAutospacing="0" w:line="320" w:lineRule="exact"/>
              <w:ind w:left="0" w:right="0" w:firstLine="900" w:firstLineChars="500"/>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一般：概况内容不全面、概括性较差，工程概况描述不清。</w:t>
            </w:r>
          </w:p>
          <w:p>
            <w:pPr>
              <w:keepNext w:val="0"/>
              <w:keepLines w:val="0"/>
              <w:suppressLineNumbers w:val="0"/>
              <w:spacing w:before="0" w:beforeAutospacing="0" w:after="0" w:afterAutospacing="0" w:line="320" w:lineRule="exact"/>
              <w:ind w:left="1021" w:leftChars="486" w:right="0"/>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差：没有提供对应评审内容。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309" w:type="dxa"/>
            <w:vMerge w:val="restart"/>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第二章 工作目标与组织架构</w:t>
            </w:r>
          </w:p>
        </w:tc>
        <w:tc>
          <w:tcPr>
            <w:tcW w:w="1650"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工作目标</w:t>
            </w:r>
          </w:p>
        </w:tc>
        <w:tc>
          <w:tcPr>
            <w:tcW w:w="793" w:type="dxa"/>
            <w:vMerge w:val="restart"/>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0787" w:type="dxa"/>
            <w:vMerge w:val="restart"/>
            <w:vAlign w:val="center"/>
          </w:tcPr>
          <w:p>
            <w:pPr>
              <w:keepNext w:val="0"/>
              <w:keepLines w:val="0"/>
              <w:suppressLineNumbers w:val="0"/>
              <w:spacing w:before="0" w:beforeAutospacing="0" w:after="0" w:afterAutospacing="0" w:line="300" w:lineRule="exact"/>
              <w:ind w:left="0" w:right="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了解项目总体情况，编制项目的总体目标、施工目标、质量目标和工期目标等；编制合理的组织架构，满足项目需要等。</w:t>
            </w:r>
          </w:p>
          <w:p>
            <w:pPr>
              <w:keepNext w:val="0"/>
              <w:keepLines w:val="0"/>
              <w:suppressLineNumbers w:val="0"/>
              <w:spacing w:before="0" w:beforeAutospacing="0" w:after="0" w:afterAutospacing="0" w:line="300" w:lineRule="exact"/>
              <w:ind w:left="0" w:right="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得分规则：优得</w:t>
            </w:r>
            <w:r>
              <w:rPr>
                <w:rFonts w:hint="eastAsia" w:ascii="宋体" w:hAnsi="宋体" w:eastAsia="宋体" w:cs="宋体"/>
                <w:color w:val="auto"/>
                <w:sz w:val="18"/>
                <w:szCs w:val="18"/>
                <w:highlight w:val="none"/>
                <w:u w:val="single"/>
              </w:rPr>
              <w:t xml:space="preserve">  5 </w:t>
            </w:r>
            <w:r>
              <w:rPr>
                <w:rFonts w:hint="eastAsia" w:ascii="宋体" w:hAnsi="宋体" w:eastAsia="宋体" w:cs="宋体"/>
                <w:color w:val="auto"/>
                <w:sz w:val="18"/>
                <w:szCs w:val="18"/>
                <w:highlight w:val="none"/>
              </w:rPr>
              <w:t>分；良得</w:t>
            </w:r>
            <w:r>
              <w:rPr>
                <w:rFonts w:hint="eastAsia" w:ascii="宋体" w:hAnsi="宋体" w:eastAsia="宋体" w:cs="宋体"/>
                <w:color w:val="auto"/>
                <w:sz w:val="18"/>
                <w:szCs w:val="18"/>
                <w:highlight w:val="none"/>
                <w:u w:val="single"/>
              </w:rPr>
              <w:t xml:space="preserve"> 4 </w:t>
            </w:r>
            <w:r>
              <w:rPr>
                <w:rFonts w:hint="eastAsia" w:ascii="宋体" w:hAnsi="宋体" w:eastAsia="宋体" w:cs="宋体"/>
                <w:color w:val="auto"/>
                <w:sz w:val="18"/>
                <w:szCs w:val="18"/>
                <w:highlight w:val="none"/>
              </w:rPr>
              <w:t xml:space="preserve">分；中得 </w:t>
            </w:r>
            <w:r>
              <w:rPr>
                <w:rFonts w:hint="eastAsia" w:ascii="宋体" w:hAnsi="宋体" w:eastAsia="宋体" w:cs="宋体"/>
                <w:color w:val="auto"/>
                <w:sz w:val="18"/>
                <w:szCs w:val="18"/>
                <w:highlight w:val="none"/>
                <w:u w:val="single"/>
              </w:rPr>
              <w:t xml:space="preserve">3 </w:t>
            </w:r>
            <w:r>
              <w:rPr>
                <w:rFonts w:hint="eastAsia" w:ascii="宋体" w:hAnsi="宋体" w:eastAsia="宋体" w:cs="宋体"/>
                <w:color w:val="auto"/>
                <w:sz w:val="18"/>
                <w:szCs w:val="18"/>
                <w:highlight w:val="none"/>
              </w:rPr>
              <w:t>分；一般得</w:t>
            </w:r>
            <w:r>
              <w:rPr>
                <w:rFonts w:hint="eastAsia" w:ascii="宋体" w:hAnsi="宋体" w:eastAsia="宋体" w:cs="宋体"/>
                <w:color w:val="auto"/>
                <w:sz w:val="18"/>
                <w:szCs w:val="18"/>
                <w:highlight w:val="none"/>
                <w:u w:val="single"/>
              </w:rPr>
              <w:t xml:space="preserve"> 2 </w:t>
            </w:r>
            <w:r>
              <w:rPr>
                <w:rFonts w:hint="eastAsia" w:ascii="宋体" w:hAnsi="宋体" w:eastAsia="宋体" w:cs="宋体"/>
                <w:color w:val="auto"/>
                <w:sz w:val="18"/>
                <w:szCs w:val="18"/>
                <w:highlight w:val="none"/>
              </w:rPr>
              <w:t>分；差得</w:t>
            </w:r>
            <w:r>
              <w:rPr>
                <w:rFonts w:hint="eastAsia" w:ascii="宋体" w:hAnsi="宋体" w:eastAsia="宋体" w:cs="宋体"/>
                <w:color w:val="auto"/>
                <w:sz w:val="18"/>
                <w:szCs w:val="18"/>
                <w:highlight w:val="none"/>
                <w:u w:val="single"/>
              </w:rPr>
              <w:t>0</w:t>
            </w:r>
            <w:r>
              <w:rPr>
                <w:rFonts w:hint="eastAsia" w:ascii="宋体" w:hAnsi="宋体" w:eastAsia="宋体" w:cs="宋体"/>
                <w:color w:val="auto"/>
                <w:sz w:val="18"/>
                <w:szCs w:val="18"/>
                <w:highlight w:val="none"/>
              </w:rPr>
              <w:t>分。</w:t>
            </w:r>
          </w:p>
          <w:p>
            <w:pPr>
              <w:keepNext w:val="0"/>
              <w:keepLines w:val="0"/>
              <w:suppressLineNumbers w:val="0"/>
              <w:spacing w:before="0" w:beforeAutospacing="0" w:after="0" w:afterAutospacing="0" w:line="300" w:lineRule="exact"/>
              <w:ind w:left="1260" w:right="0" w:hanging="1260" w:hangingChars="700"/>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评审标准：优：工作目标与组织架构内容全面，全面涵盖总体目标、施工目标、质量目标、工期目标、组织架构等内容。</w:t>
            </w:r>
          </w:p>
          <w:p>
            <w:pPr>
              <w:keepNext w:val="0"/>
              <w:keepLines w:val="0"/>
              <w:suppressLineNumbers w:val="0"/>
              <w:spacing w:before="0" w:beforeAutospacing="0" w:after="0" w:afterAutospacing="0" w:line="300" w:lineRule="exact"/>
              <w:ind w:left="1309" w:leftChars="486" w:right="0" w:hanging="288" w:hangingChars="160"/>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良：工作目标与组织架构内容较全面，有总体目标，但施工目标、质量目标或工期目标缺少一项。</w:t>
            </w:r>
          </w:p>
          <w:p>
            <w:pPr>
              <w:keepNext w:val="0"/>
              <w:keepLines w:val="0"/>
              <w:suppressLineNumbers w:val="0"/>
              <w:spacing w:before="0" w:beforeAutospacing="0" w:after="0" w:afterAutospacing="0" w:line="300" w:lineRule="exact"/>
              <w:ind w:left="1309" w:leftChars="486" w:right="0" w:hanging="288" w:hangingChars="160"/>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中：工作目标与组织架构内容基本全面，有总体目标，但施工目标、质量目标或工期目标缺少两项。</w:t>
            </w:r>
          </w:p>
          <w:p>
            <w:pPr>
              <w:keepNext w:val="0"/>
              <w:keepLines w:val="0"/>
              <w:suppressLineNumbers w:val="0"/>
              <w:spacing w:before="0" w:beforeAutospacing="0" w:after="0" w:afterAutospacing="0" w:line="300" w:lineRule="exact"/>
              <w:ind w:left="1309" w:leftChars="486" w:right="0" w:hanging="288" w:hangingChars="160"/>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一般：工作目标与组织架构内容不全面，仅有总体目标。</w:t>
            </w:r>
          </w:p>
          <w:p>
            <w:pPr>
              <w:keepNext w:val="0"/>
              <w:keepLines w:val="0"/>
              <w:suppressLineNumbers w:val="0"/>
              <w:spacing w:before="0" w:beforeAutospacing="0" w:after="0" w:afterAutospacing="0" w:line="300" w:lineRule="exact"/>
              <w:ind w:left="1309" w:leftChars="486" w:right="0" w:hanging="288" w:hangingChars="160"/>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差：没有提供对应评审内容。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1309" w:type="dxa"/>
            <w:vMerge w:val="continue"/>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18"/>
                <w:szCs w:val="18"/>
                <w:highlight w:val="none"/>
              </w:rPr>
            </w:pPr>
          </w:p>
        </w:tc>
        <w:tc>
          <w:tcPr>
            <w:tcW w:w="1650"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组织架构</w:t>
            </w:r>
          </w:p>
        </w:tc>
        <w:tc>
          <w:tcPr>
            <w:tcW w:w="793" w:type="dxa"/>
            <w:vMerge w:val="continue"/>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rPr>
            </w:pPr>
          </w:p>
        </w:tc>
        <w:tc>
          <w:tcPr>
            <w:tcW w:w="10787" w:type="dxa"/>
            <w:vMerge w:val="continue"/>
            <w:vAlign w:val="center"/>
          </w:tcPr>
          <w:p>
            <w:pPr>
              <w:keepNext w:val="0"/>
              <w:keepLines w:val="0"/>
              <w:suppressLineNumbers w:val="0"/>
              <w:spacing w:before="0" w:beforeAutospacing="0" w:after="0" w:afterAutospacing="0" w:line="300" w:lineRule="exact"/>
              <w:ind w:left="0" w:right="0"/>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2959" w:type="dxa"/>
            <w:gridSpan w:val="2"/>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第三章 现状调查与分析</w:t>
            </w:r>
          </w:p>
        </w:tc>
        <w:tc>
          <w:tcPr>
            <w:tcW w:w="793"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0787" w:type="dxa"/>
            <w:vAlign w:val="center"/>
          </w:tcPr>
          <w:p>
            <w:pPr>
              <w:keepNext w:val="0"/>
              <w:keepLines w:val="0"/>
              <w:suppressLineNumbers w:val="0"/>
              <w:spacing w:before="0" w:beforeAutospacing="0" w:after="0" w:afterAutospacing="0" w:line="300" w:lineRule="exact"/>
              <w:ind w:left="0" w:right="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正确理解规划建设意图，对项目现状摸查充分；熟悉项目情况，能深入、合理地分析项目的具体特性，针对周边的区位条件、景观资源、植物现状等情况制定全面、合理的施工方案和处理措施。</w:t>
            </w:r>
          </w:p>
          <w:p>
            <w:pPr>
              <w:keepNext w:val="0"/>
              <w:keepLines w:val="0"/>
              <w:suppressLineNumbers w:val="0"/>
              <w:spacing w:before="0" w:beforeAutospacing="0" w:after="0" w:afterAutospacing="0" w:line="300" w:lineRule="exact"/>
              <w:ind w:left="0" w:right="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得分规则：优得 </w:t>
            </w:r>
            <w:r>
              <w:rPr>
                <w:rFonts w:hint="eastAsia" w:ascii="宋体" w:hAnsi="宋体" w:eastAsia="宋体" w:cs="宋体"/>
                <w:color w:val="auto"/>
                <w:sz w:val="18"/>
                <w:szCs w:val="18"/>
                <w:highlight w:val="none"/>
                <w:u w:val="single"/>
              </w:rPr>
              <w:t xml:space="preserve"> 15 </w:t>
            </w:r>
            <w:r>
              <w:rPr>
                <w:rFonts w:hint="eastAsia" w:ascii="宋体" w:hAnsi="宋体" w:eastAsia="宋体" w:cs="宋体"/>
                <w:color w:val="auto"/>
                <w:sz w:val="18"/>
                <w:szCs w:val="18"/>
                <w:highlight w:val="none"/>
              </w:rPr>
              <w:t>分；良得</w:t>
            </w:r>
            <w:r>
              <w:rPr>
                <w:rFonts w:hint="eastAsia" w:ascii="宋体" w:hAnsi="宋体" w:eastAsia="宋体" w:cs="宋体"/>
                <w:color w:val="auto"/>
                <w:sz w:val="18"/>
                <w:szCs w:val="18"/>
                <w:highlight w:val="none"/>
                <w:u w:val="single"/>
              </w:rPr>
              <w:t xml:space="preserve"> 11 </w:t>
            </w:r>
            <w:r>
              <w:rPr>
                <w:rFonts w:hint="eastAsia" w:ascii="宋体" w:hAnsi="宋体" w:eastAsia="宋体" w:cs="宋体"/>
                <w:color w:val="auto"/>
                <w:sz w:val="18"/>
                <w:szCs w:val="18"/>
                <w:highlight w:val="none"/>
              </w:rPr>
              <w:t xml:space="preserve">分；中得 </w:t>
            </w:r>
            <w:r>
              <w:rPr>
                <w:rFonts w:hint="eastAsia" w:ascii="宋体" w:hAnsi="宋体" w:eastAsia="宋体" w:cs="宋体"/>
                <w:color w:val="auto"/>
                <w:sz w:val="18"/>
                <w:szCs w:val="18"/>
                <w:highlight w:val="none"/>
                <w:u w:val="single"/>
              </w:rPr>
              <w:t>7</w:t>
            </w:r>
            <w:r>
              <w:rPr>
                <w:rFonts w:hint="eastAsia" w:ascii="宋体" w:hAnsi="宋体" w:eastAsia="宋体" w:cs="宋体"/>
                <w:color w:val="auto"/>
                <w:sz w:val="18"/>
                <w:szCs w:val="18"/>
                <w:highlight w:val="none"/>
              </w:rPr>
              <w:t>分；一般得</w:t>
            </w:r>
            <w:r>
              <w:rPr>
                <w:rFonts w:hint="eastAsia" w:ascii="宋体" w:hAnsi="宋体" w:eastAsia="宋体" w:cs="宋体"/>
                <w:color w:val="auto"/>
                <w:sz w:val="18"/>
                <w:szCs w:val="18"/>
                <w:highlight w:val="none"/>
                <w:u w:val="single"/>
              </w:rPr>
              <w:t xml:space="preserve"> 3</w:t>
            </w:r>
            <w:r>
              <w:rPr>
                <w:rFonts w:hint="eastAsia" w:ascii="宋体" w:hAnsi="宋体" w:eastAsia="宋体" w:cs="宋体"/>
                <w:color w:val="auto"/>
                <w:sz w:val="18"/>
                <w:szCs w:val="18"/>
                <w:highlight w:val="none"/>
              </w:rPr>
              <w:t>分；差得</w:t>
            </w:r>
            <w:r>
              <w:rPr>
                <w:rFonts w:hint="eastAsia" w:ascii="宋体" w:hAnsi="宋体" w:eastAsia="宋体" w:cs="宋体"/>
                <w:color w:val="auto"/>
                <w:sz w:val="18"/>
                <w:szCs w:val="18"/>
                <w:highlight w:val="none"/>
                <w:u w:val="single"/>
              </w:rPr>
              <w:t>0</w:t>
            </w:r>
            <w:r>
              <w:rPr>
                <w:rFonts w:hint="eastAsia" w:ascii="宋体" w:hAnsi="宋体" w:eastAsia="宋体" w:cs="宋体"/>
                <w:color w:val="auto"/>
                <w:sz w:val="18"/>
                <w:szCs w:val="18"/>
                <w:highlight w:val="none"/>
              </w:rPr>
              <w:t>分。</w:t>
            </w:r>
          </w:p>
          <w:p>
            <w:pPr>
              <w:keepNext w:val="0"/>
              <w:keepLines w:val="0"/>
              <w:suppressLineNumbers w:val="0"/>
              <w:spacing w:before="0" w:beforeAutospacing="0" w:after="0" w:afterAutospacing="0" w:line="300" w:lineRule="exact"/>
              <w:ind w:left="883" w:leftChars="16" w:right="0" w:hanging="849" w:hangingChars="472"/>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评审标准：优：现状调查与分析内容全面，对项目现状摸查充分；熟悉项目情况、分析项目的具体特性、制定全面、合理的施工方案和处理措施。</w:t>
            </w:r>
          </w:p>
          <w:p>
            <w:pPr>
              <w:keepNext w:val="0"/>
              <w:keepLines w:val="0"/>
              <w:suppressLineNumbers w:val="0"/>
              <w:spacing w:before="0" w:beforeAutospacing="0" w:after="0" w:afterAutospacing="0" w:line="300" w:lineRule="exact"/>
              <w:ind w:left="1309" w:leftChars="486" w:right="0" w:hanging="288" w:hangingChars="160"/>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良：现状调查与分析内容较全面，对项目现状摸查较充分；较熟悉项目情况、分析项目的具体特性、制定较全面、较合理的施工方案，但缺乏处理措施。</w:t>
            </w:r>
          </w:p>
          <w:p>
            <w:pPr>
              <w:keepNext w:val="0"/>
              <w:keepLines w:val="0"/>
              <w:suppressLineNumbers w:val="0"/>
              <w:spacing w:before="0" w:beforeAutospacing="0" w:after="0" w:afterAutospacing="0" w:line="300" w:lineRule="exact"/>
              <w:ind w:left="1309" w:leftChars="486" w:right="0" w:hanging="288" w:hangingChars="160"/>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中：有进行现状调查与分析，但对项目现状摸查不清晰；施工方案缺乏合理性，没有处理措施。</w:t>
            </w:r>
          </w:p>
          <w:p>
            <w:pPr>
              <w:keepNext w:val="0"/>
              <w:keepLines w:val="0"/>
              <w:suppressLineNumbers w:val="0"/>
              <w:spacing w:before="0" w:beforeAutospacing="0" w:after="0" w:afterAutospacing="0" w:line="300" w:lineRule="exact"/>
              <w:ind w:left="1309" w:leftChars="486" w:right="0" w:hanging="288" w:hangingChars="160"/>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一般：没有进行现状调查与分析，对项目现状摸查不清晰；施工方案不合理，没有处理措施。</w:t>
            </w:r>
          </w:p>
          <w:p>
            <w:pPr>
              <w:keepNext w:val="0"/>
              <w:keepLines w:val="0"/>
              <w:suppressLineNumbers w:val="0"/>
              <w:spacing w:before="0" w:beforeAutospacing="0" w:after="0" w:afterAutospacing="0" w:line="300" w:lineRule="exact"/>
              <w:ind w:left="1309" w:leftChars="486" w:right="0" w:hanging="288" w:hangingChars="160"/>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差：没有提供对应评审内容。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1309" w:type="dxa"/>
            <w:vMerge w:val="restart"/>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第四章 实施方案</w:t>
            </w:r>
          </w:p>
        </w:tc>
        <w:tc>
          <w:tcPr>
            <w:tcW w:w="1650"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施工总体进度计划</w:t>
            </w:r>
          </w:p>
        </w:tc>
        <w:tc>
          <w:tcPr>
            <w:tcW w:w="793"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0787" w:type="dxa"/>
            <w:vAlign w:val="center"/>
          </w:tcPr>
          <w:p>
            <w:pPr>
              <w:keepNext w:val="0"/>
              <w:keepLines w:val="0"/>
              <w:suppressLineNumbers w:val="0"/>
              <w:spacing w:before="0" w:beforeAutospacing="0" w:after="0" w:afterAutospacing="0" w:line="300" w:lineRule="exact"/>
              <w:ind w:left="0" w:right="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施工总体工作目标明确，应包括施工的总体目标、质量目标和工期目标等。</w:t>
            </w:r>
          </w:p>
          <w:p>
            <w:pPr>
              <w:keepNext w:val="0"/>
              <w:keepLines w:val="0"/>
              <w:suppressLineNumbers w:val="0"/>
              <w:spacing w:before="0" w:beforeAutospacing="0" w:after="0" w:afterAutospacing="0" w:line="300" w:lineRule="exact"/>
              <w:ind w:left="0" w:right="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得分规则：优得</w:t>
            </w:r>
            <w:r>
              <w:rPr>
                <w:rFonts w:hint="eastAsia" w:ascii="宋体" w:hAnsi="宋体" w:eastAsia="宋体" w:cs="宋体"/>
                <w:color w:val="auto"/>
                <w:sz w:val="18"/>
                <w:szCs w:val="18"/>
                <w:highlight w:val="none"/>
                <w:u w:val="single"/>
              </w:rPr>
              <w:t xml:space="preserve"> 10</w:t>
            </w:r>
            <w:r>
              <w:rPr>
                <w:rFonts w:hint="eastAsia" w:ascii="宋体" w:hAnsi="宋体" w:eastAsia="宋体" w:cs="宋体"/>
                <w:color w:val="auto"/>
                <w:sz w:val="18"/>
                <w:szCs w:val="18"/>
                <w:highlight w:val="none"/>
              </w:rPr>
              <w:t>分；良得</w:t>
            </w:r>
            <w:r>
              <w:rPr>
                <w:rFonts w:hint="eastAsia" w:ascii="宋体" w:hAnsi="宋体" w:eastAsia="宋体" w:cs="宋体"/>
                <w:color w:val="auto"/>
                <w:sz w:val="18"/>
                <w:szCs w:val="18"/>
                <w:highlight w:val="none"/>
                <w:u w:val="single"/>
              </w:rPr>
              <w:t xml:space="preserve"> 8 </w:t>
            </w:r>
            <w:r>
              <w:rPr>
                <w:rFonts w:hint="eastAsia" w:ascii="宋体" w:hAnsi="宋体" w:eastAsia="宋体" w:cs="宋体"/>
                <w:color w:val="auto"/>
                <w:sz w:val="18"/>
                <w:szCs w:val="18"/>
                <w:highlight w:val="none"/>
              </w:rPr>
              <w:t>分；中得</w:t>
            </w:r>
            <w:r>
              <w:rPr>
                <w:rFonts w:hint="eastAsia" w:ascii="宋体" w:hAnsi="宋体" w:eastAsia="宋体" w:cs="宋体"/>
                <w:color w:val="auto"/>
                <w:sz w:val="18"/>
                <w:szCs w:val="18"/>
                <w:highlight w:val="none"/>
                <w:u w:val="single"/>
              </w:rPr>
              <w:t>6</w:t>
            </w:r>
            <w:r>
              <w:rPr>
                <w:rFonts w:hint="eastAsia" w:ascii="宋体" w:hAnsi="宋体" w:eastAsia="宋体" w:cs="宋体"/>
                <w:color w:val="auto"/>
                <w:sz w:val="18"/>
                <w:szCs w:val="18"/>
                <w:highlight w:val="none"/>
              </w:rPr>
              <w:t>分；一般得</w:t>
            </w:r>
            <w:r>
              <w:rPr>
                <w:rFonts w:hint="eastAsia" w:ascii="宋体" w:hAnsi="宋体" w:eastAsia="宋体" w:cs="宋体"/>
                <w:color w:val="auto"/>
                <w:sz w:val="18"/>
                <w:szCs w:val="18"/>
                <w:highlight w:val="none"/>
                <w:u w:val="single"/>
              </w:rPr>
              <w:t>4</w:t>
            </w:r>
            <w:r>
              <w:rPr>
                <w:rFonts w:hint="eastAsia" w:ascii="宋体" w:hAnsi="宋体" w:eastAsia="宋体" w:cs="宋体"/>
                <w:color w:val="auto"/>
                <w:sz w:val="18"/>
                <w:szCs w:val="18"/>
                <w:highlight w:val="none"/>
              </w:rPr>
              <w:t>分；差得</w:t>
            </w:r>
            <w:r>
              <w:rPr>
                <w:rFonts w:hint="eastAsia" w:ascii="宋体" w:hAnsi="宋体" w:eastAsia="宋体" w:cs="宋体"/>
                <w:color w:val="auto"/>
                <w:sz w:val="18"/>
                <w:szCs w:val="18"/>
                <w:highlight w:val="none"/>
                <w:u w:val="single"/>
              </w:rPr>
              <w:t>0</w:t>
            </w:r>
            <w:r>
              <w:rPr>
                <w:rFonts w:hint="eastAsia" w:ascii="宋体" w:hAnsi="宋体" w:eastAsia="宋体" w:cs="宋体"/>
                <w:color w:val="auto"/>
                <w:sz w:val="18"/>
                <w:szCs w:val="18"/>
                <w:highlight w:val="none"/>
              </w:rPr>
              <w:t>分。</w:t>
            </w:r>
          </w:p>
          <w:p>
            <w:pPr>
              <w:keepNext w:val="0"/>
              <w:keepLines w:val="0"/>
              <w:suppressLineNumbers w:val="0"/>
              <w:spacing w:before="0" w:beforeAutospacing="0" w:after="0" w:afterAutospacing="0" w:line="300" w:lineRule="exact"/>
              <w:ind w:left="0" w:right="0"/>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评审标准：优：施工总体工作目标内容全面，能详细描述总体目标、质量目标和工期目标。</w:t>
            </w:r>
          </w:p>
          <w:p>
            <w:pPr>
              <w:keepNext w:val="0"/>
              <w:keepLines w:val="0"/>
              <w:suppressLineNumbers w:val="0"/>
              <w:spacing w:before="0" w:beforeAutospacing="0" w:after="0" w:afterAutospacing="0" w:line="300" w:lineRule="exact"/>
              <w:ind w:left="1309" w:leftChars="486" w:right="0" w:hanging="288" w:hangingChars="160"/>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良：施工总体工作目标内容较全面，仅有总体目标、工期目标。</w:t>
            </w:r>
          </w:p>
          <w:p>
            <w:pPr>
              <w:keepNext w:val="0"/>
              <w:keepLines w:val="0"/>
              <w:suppressLineNumbers w:val="0"/>
              <w:spacing w:before="0" w:beforeAutospacing="0" w:after="0" w:afterAutospacing="0" w:line="300" w:lineRule="exact"/>
              <w:ind w:left="1309" w:leftChars="486" w:right="0" w:hanging="288" w:hangingChars="160"/>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中：施工总体工作目标内容基本全面，仅有总体目标。</w:t>
            </w:r>
          </w:p>
          <w:p>
            <w:pPr>
              <w:keepNext w:val="0"/>
              <w:keepLines w:val="0"/>
              <w:suppressLineNumbers w:val="0"/>
              <w:spacing w:before="0" w:beforeAutospacing="0" w:after="0" w:afterAutospacing="0" w:line="300" w:lineRule="exact"/>
              <w:ind w:left="1309" w:leftChars="486" w:right="0" w:hanging="288" w:hangingChars="160"/>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一般：施工总体工作目标内容不全面，没有明确的目标。</w:t>
            </w:r>
          </w:p>
          <w:p>
            <w:pPr>
              <w:keepNext w:val="0"/>
              <w:keepLines w:val="0"/>
              <w:suppressLineNumbers w:val="0"/>
              <w:spacing w:before="0" w:beforeAutospacing="0" w:after="0" w:afterAutospacing="0" w:line="300" w:lineRule="exact"/>
              <w:ind w:left="1309" w:leftChars="486" w:right="0" w:hanging="288" w:hangingChars="160"/>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差：没有提供施工总体工作目标内容。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309" w:type="dxa"/>
            <w:vMerge w:val="continue"/>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18"/>
                <w:szCs w:val="18"/>
                <w:highlight w:val="none"/>
              </w:rPr>
            </w:pPr>
          </w:p>
        </w:tc>
        <w:tc>
          <w:tcPr>
            <w:tcW w:w="1650"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施工组织与部署</w:t>
            </w:r>
          </w:p>
        </w:tc>
        <w:tc>
          <w:tcPr>
            <w:tcW w:w="793" w:type="dxa"/>
            <w:vMerge w:val="restart"/>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10787" w:type="dxa"/>
            <w:vMerge w:val="restart"/>
            <w:vAlign w:val="center"/>
          </w:tcPr>
          <w:p>
            <w:pPr>
              <w:keepNext w:val="0"/>
              <w:keepLines w:val="0"/>
              <w:suppressLineNumbers w:val="0"/>
              <w:spacing w:before="0" w:beforeAutospacing="0" w:after="0" w:afterAutospacing="0" w:line="300" w:lineRule="exact"/>
              <w:ind w:left="0" w:right="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施工组织中的施工组织与部署、主要工程项目施工方法、施工投入（人、机、材等）内容应详实、合理，紧密结合项目现状。能有效保障劳动者权益。</w:t>
            </w:r>
          </w:p>
          <w:p>
            <w:pPr>
              <w:keepNext w:val="0"/>
              <w:keepLines w:val="0"/>
              <w:suppressLineNumbers w:val="0"/>
              <w:spacing w:before="0" w:beforeAutospacing="0" w:after="0" w:afterAutospacing="0" w:line="300" w:lineRule="exact"/>
              <w:ind w:left="0" w:right="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得分规则：优得</w:t>
            </w:r>
            <w:r>
              <w:rPr>
                <w:rFonts w:hint="eastAsia" w:ascii="宋体" w:hAnsi="宋体" w:eastAsia="宋体" w:cs="宋体"/>
                <w:color w:val="auto"/>
                <w:sz w:val="18"/>
                <w:szCs w:val="18"/>
                <w:highlight w:val="none"/>
                <w:u w:val="single"/>
              </w:rPr>
              <w:t xml:space="preserve"> 20</w:t>
            </w:r>
            <w:r>
              <w:rPr>
                <w:rFonts w:hint="eastAsia" w:ascii="宋体" w:hAnsi="宋体" w:eastAsia="宋体" w:cs="宋体"/>
                <w:color w:val="auto"/>
                <w:sz w:val="18"/>
                <w:szCs w:val="18"/>
                <w:highlight w:val="none"/>
              </w:rPr>
              <w:t>分；良得</w:t>
            </w:r>
            <w:r>
              <w:rPr>
                <w:rFonts w:hint="eastAsia" w:ascii="宋体" w:hAnsi="宋体" w:eastAsia="宋体" w:cs="宋体"/>
                <w:color w:val="auto"/>
                <w:sz w:val="18"/>
                <w:szCs w:val="18"/>
                <w:highlight w:val="none"/>
                <w:u w:val="single"/>
              </w:rPr>
              <w:t>15</w:t>
            </w:r>
            <w:r>
              <w:rPr>
                <w:rFonts w:hint="eastAsia" w:ascii="宋体" w:hAnsi="宋体" w:eastAsia="宋体" w:cs="宋体"/>
                <w:color w:val="auto"/>
                <w:sz w:val="18"/>
                <w:szCs w:val="18"/>
                <w:highlight w:val="none"/>
              </w:rPr>
              <w:t>分；中得</w:t>
            </w:r>
            <w:r>
              <w:rPr>
                <w:rFonts w:hint="eastAsia" w:ascii="宋体" w:hAnsi="宋体" w:eastAsia="宋体" w:cs="宋体"/>
                <w:color w:val="auto"/>
                <w:sz w:val="18"/>
                <w:szCs w:val="18"/>
                <w:highlight w:val="none"/>
                <w:u w:val="single"/>
              </w:rPr>
              <w:t>10</w:t>
            </w:r>
            <w:r>
              <w:rPr>
                <w:rFonts w:hint="eastAsia" w:ascii="宋体" w:hAnsi="宋体" w:eastAsia="宋体" w:cs="宋体"/>
                <w:color w:val="auto"/>
                <w:sz w:val="18"/>
                <w:szCs w:val="18"/>
                <w:highlight w:val="none"/>
              </w:rPr>
              <w:t>分；一般得</w:t>
            </w:r>
            <w:r>
              <w:rPr>
                <w:rFonts w:hint="eastAsia" w:ascii="宋体" w:hAnsi="宋体" w:eastAsia="宋体" w:cs="宋体"/>
                <w:color w:val="auto"/>
                <w:sz w:val="18"/>
                <w:szCs w:val="18"/>
                <w:highlight w:val="none"/>
                <w:u w:val="single"/>
              </w:rPr>
              <w:t>5</w:t>
            </w:r>
            <w:r>
              <w:rPr>
                <w:rFonts w:hint="eastAsia" w:ascii="宋体" w:hAnsi="宋体" w:eastAsia="宋体" w:cs="宋体"/>
                <w:color w:val="auto"/>
                <w:sz w:val="18"/>
                <w:szCs w:val="18"/>
                <w:highlight w:val="none"/>
              </w:rPr>
              <w:t>分；差得</w:t>
            </w:r>
            <w:r>
              <w:rPr>
                <w:rFonts w:hint="eastAsia" w:ascii="宋体" w:hAnsi="宋体" w:eastAsia="宋体" w:cs="宋体"/>
                <w:color w:val="auto"/>
                <w:sz w:val="18"/>
                <w:szCs w:val="18"/>
                <w:highlight w:val="none"/>
                <w:u w:val="single"/>
              </w:rPr>
              <w:t>0</w:t>
            </w:r>
            <w:r>
              <w:rPr>
                <w:rFonts w:hint="eastAsia" w:ascii="宋体" w:hAnsi="宋体" w:eastAsia="宋体" w:cs="宋体"/>
                <w:color w:val="auto"/>
                <w:sz w:val="18"/>
                <w:szCs w:val="18"/>
                <w:highlight w:val="none"/>
              </w:rPr>
              <w:t>分。</w:t>
            </w:r>
          </w:p>
          <w:p>
            <w:pPr>
              <w:keepNext w:val="0"/>
              <w:keepLines w:val="0"/>
              <w:suppressLineNumbers w:val="0"/>
              <w:spacing w:before="0" w:beforeAutospacing="0" w:after="0" w:afterAutospacing="0" w:line="300" w:lineRule="exact"/>
              <w:ind w:left="883" w:leftChars="16" w:right="0" w:hanging="849" w:hangingChars="472"/>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评审标准：优：施工组织内容全面，包含施工组织与部署、主要工程项目施工方法、施工投入（人、机、材等）。</w:t>
            </w:r>
          </w:p>
          <w:p>
            <w:pPr>
              <w:keepNext w:val="0"/>
              <w:keepLines w:val="0"/>
              <w:suppressLineNumbers w:val="0"/>
              <w:spacing w:before="0" w:beforeAutospacing="0" w:after="0" w:afterAutospacing="0" w:line="300" w:lineRule="exact"/>
              <w:ind w:left="1297" w:leftChars="450" w:right="0" w:hanging="352" w:hangingChars="196"/>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良：施工组织内容较全面，包含施工组织与部署、主要工程项目施工方法、但施工投入（人、机、材等）基本满足。</w:t>
            </w:r>
          </w:p>
          <w:p>
            <w:pPr>
              <w:keepNext w:val="0"/>
              <w:keepLines w:val="0"/>
              <w:suppressLineNumbers w:val="0"/>
              <w:spacing w:before="0" w:beforeAutospacing="0" w:after="0" w:afterAutospacing="0" w:line="300" w:lineRule="exact"/>
              <w:ind w:left="1297" w:leftChars="450" w:right="0" w:hanging="352" w:hangingChars="196"/>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中：施工组织内容较基本全面，包含施工组织与部署、但主要工程项目施工方法不齐、施工投入（人、机、材等）不足。</w:t>
            </w:r>
          </w:p>
          <w:p>
            <w:pPr>
              <w:keepNext w:val="0"/>
              <w:keepLines w:val="0"/>
              <w:suppressLineNumbers w:val="0"/>
              <w:spacing w:before="0" w:beforeAutospacing="0" w:after="0" w:afterAutospacing="0" w:line="300" w:lineRule="exact"/>
              <w:ind w:left="1297" w:leftChars="450" w:right="0" w:hanging="352" w:hangingChars="196"/>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一般：施工组织内容不全面，仅有施工组织与部署，没有说明施工投入（人、机、材等）。</w:t>
            </w:r>
          </w:p>
          <w:p>
            <w:pPr>
              <w:keepNext w:val="0"/>
              <w:keepLines w:val="0"/>
              <w:suppressLineNumbers w:val="0"/>
              <w:spacing w:before="0" w:beforeAutospacing="0" w:after="0" w:afterAutospacing="0" w:line="300" w:lineRule="exact"/>
              <w:ind w:left="1297" w:leftChars="450" w:right="0" w:hanging="352" w:hangingChars="196"/>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差：没有提供对应评审内容。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309" w:type="dxa"/>
            <w:vMerge w:val="continue"/>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18"/>
                <w:szCs w:val="18"/>
                <w:highlight w:val="none"/>
              </w:rPr>
            </w:pPr>
          </w:p>
        </w:tc>
        <w:tc>
          <w:tcPr>
            <w:tcW w:w="1650"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主要工程项目施工方法</w:t>
            </w:r>
          </w:p>
        </w:tc>
        <w:tc>
          <w:tcPr>
            <w:tcW w:w="793" w:type="dxa"/>
            <w:vMerge w:val="continue"/>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rPr>
            </w:pPr>
          </w:p>
        </w:tc>
        <w:tc>
          <w:tcPr>
            <w:tcW w:w="10787" w:type="dxa"/>
            <w:vMerge w:val="continue"/>
            <w:vAlign w:val="center"/>
          </w:tcPr>
          <w:p>
            <w:pPr>
              <w:keepNext w:val="0"/>
              <w:keepLines w:val="0"/>
              <w:suppressLineNumbers w:val="0"/>
              <w:spacing w:before="0" w:beforeAutospacing="0" w:after="0" w:afterAutospacing="0" w:line="300" w:lineRule="exact"/>
              <w:ind w:left="0" w:right="0"/>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1309" w:type="dxa"/>
            <w:vMerge w:val="continue"/>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18"/>
                <w:szCs w:val="18"/>
                <w:highlight w:val="none"/>
              </w:rPr>
            </w:pPr>
          </w:p>
        </w:tc>
        <w:tc>
          <w:tcPr>
            <w:tcW w:w="1650"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施工投入（人、机、材等）</w:t>
            </w:r>
          </w:p>
        </w:tc>
        <w:tc>
          <w:tcPr>
            <w:tcW w:w="793" w:type="dxa"/>
            <w:vMerge w:val="continue"/>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rPr>
            </w:pPr>
          </w:p>
        </w:tc>
        <w:tc>
          <w:tcPr>
            <w:tcW w:w="10787" w:type="dxa"/>
            <w:vMerge w:val="continue"/>
            <w:vAlign w:val="center"/>
          </w:tcPr>
          <w:p>
            <w:pPr>
              <w:keepNext w:val="0"/>
              <w:keepLines w:val="0"/>
              <w:suppressLineNumbers w:val="0"/>
              <w:spacing w:before="0" w:beforeAutospacing="0" w:after="0" w:afterAutospacing="0" w:line="300" w:lineRule="exact"/>
              <w:ind w:left="0" w:right="0"/>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309" w:type="dxa"/>
            <w:vMerge w:val="continue"/>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18"/>
                <w:szCs w:val="18"/>
                <w:highlight w:val="none"/>
              </w:rPr>
            </w:pPr>
          </w:p>
        </w:tc>
        <w:tc>
          <w:tcPr>
            <w:tcW w:w="1650"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材料设备采购计划</w:t>
            </w:r>
          </w:p>
        </w:tc>
        <w:tc>
          <w:tcPr>
            <w:tcW w:w="793" w:type="dxa"/>
            <w:vMerge w:val="restart"/>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0787" w:type="dxa"/>
            <w:vMerge w:val="restart"/>
            <w:vAlign w:val="center"/>
          </w:tcPr>
          <w:p>
            <w:pPr>
              <w:keepNext w:val="0"/>
              <w:keepLines w:val="0"/>
              <w:suppressLineNumbers w:val="0"/>
              <w:spacing w:before="0" w:beforeAutospacing="0" w:after="0" w:afterAutospacing="0" w:line="300" w:lineRule="exact"/>
              <w:ind w:left="0" w:right="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施工组织中的材料设备采购计划、资金使用计划、质量标准与保障措施、档案管理等内容应详实、合理，紧密结合项目现状。</w:t>
            </w:r>
          </w:p>
          <w:p>
            <w:pPr>
              <w:keepNext w:val="0"/>
              <w:keepLines w:val="0"/>
              <w:suppressLineNumbers w:val="0"/>
              <w:spacing w:before="0" w:beforeAutospacing="0" w:after="0" w:afterAutospacing="0" w:line="300" w:lineRule="exact"/>
              <w:ind w:left="0" w:right="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得分规则：优得</w:t>
            </w:r>
            <w:r>
              <w:rPr>
                <w:rFonts w:hint="eastAsia" w:ascii="宋体" w:hAnsi="宋体" w:eastAsia="宋体" w:cs="宋体"/>
                <w:color w:val="auto"/>
                <w:sz w:val="18"/>
                <w:szCs w:val="18"/>
                <w:highlight w:val="none"/>
                <w:u w:val="single"/>
              </w:rPr>
              <w:t>15</w:t>
            </w:r>
            <w:r>
              <w:rPr>
                <w:rFonts w:hint="eastAsia" w:ascii="宋体" w:hAnsi="宋体" w:eastAsia="宋体" w:cs="宋体"/>
                <w:color w:val="auto"/>
                <w:sz w:val="18"/>
                <w:szCs w:val="18"/>
                <w:highlight w:val="none"/>
              </w:rPr>
              <w:t>分；良得</w:t>
            </w:r>
            <w:r>
              <w:rPr>
                <w:rFonts w:hint="eastAsia" w:ascii="宋体" w:hAnsi="宋体" w:eastAsia="宋体" w:cs="宋体"/>
                <w:color w:val="auto"/>
                <w:sz w:val="18"/>
                <w:szCs w:val="18"/>
                <w:highlight w:val="none"/>
                <w:u w:val="single"/>
              </w:rPr>
              <w:t>11</w:t>
            </w:r>
            <w:r>
              <w:rPr>
                <w:rFonts w:hint="eastAsia" w:ascii="宋体" w:hAnsi="宋体" w:eastAsia="宋体" w:cs="宋体"/>
                <w:color w:val="auto"/>
                <w:sz w:val="18"/>
                <w:szCs w:val="18"/>
                <w:highlight w:val="none"/>
              </w:rPr>
              <w:t>分；中得</w:t>
            </w:r>
            <w:r>
              <w:rPr>
                <w:rFonts w:hint="eastAsia" w:ascii="宋体" w:hAnsi="宋体" w:eastAsia="宋体" w:cs="宋体"/>
                <w:color w:val="auto"/>
                <w:sz w:val="18"/>
                <w:szCs w:val="18"/>
                <w:highlight w:val="none"/>
                <w:u w:val="single"/>
              </w:rPr>
              <w:t>7</w:t>
            </w:r>
            <w:r>
              <w:rPr>
                <w:rFonts w:hint="eastAsia" w:ascii="宋体" w:hAnsi="宋体" w:eastAsia="宋体" w:cs="宋体"/>
                <w:color w:val="auto"/>
                <w:sz w:val="18"/>
                <w:szCs w:val="18"/>
                <w:highlight w:val="none"/>
              </w:rPr>
              <w:t>分；一般得</w:t>
            </w:r>
            <w:r>
              <w:rPr>
                <w:rFonts w:hint="eastAsia" w:ascii="宋体" w:hAnsi="宋体" w:eastAsia="宋体" w:cs="宋体"/>
                <w:color w:val="auto"/>
                <w:sz w:val="18"/>
                <w:szCs w:val="18"/>
                <w:highlight w:val="none"/>
                <w:u w:val="single"/>
              </w:rPr>
              <w:t>3</w:t>
            </w:r>
            <w:r>
              <w:rPr>
                <w:rFonts w:hint="eastAsia" w:ascii="宋体" w:hAnsi="宋体" w:eastAsia="宋体" w:cs="宋体"/>
                <w:color w:val="auto"/>
                <w:sz w:val="18"/>
                <w:szCs w:val="18"/>
                <w:highlight w:val="none"/>
              </w:rPr>
              <w:t>分；差得</w:t>
            </w:r>
            <w:r>
              <w:rPr>
                <w:rFonts w:hint="eastAsia" w:ascii="宋体" w:hAnsi="宋体" w:eastAsia="宋体" w:cs="宋体"/>
                <w:color w:val="auto"/>
                <w:sz w:val="18"/>
                <w:szCs w:val="18"/>
                <w:highlight w:val="none"/>
                <w:u w:val="single"/>
              </w:rPr>
              <w:t>0</w:t>
            </w:r>
            <w:r>
              <w:rPr>
                <w:rFonts w:hint="eastAsia" w:ascii="宋体" w:hAnsi="宋体" w:eastAsia="宋体" w:cs="宋体"/>
                <w:color w:val="auto"/>
                <w:sz w:val="18"/>
                <w:szCs w:val="18"/>
                <w:highlight w:val="none"/>
              </w:rPr>
              <w:t>分。</w:t>
            </w:r>
          </w:p>
          <w:p>
            <w:pPr>
              <w:keepNext w:val="0"/>
              <w:keepLines w:val="0"/>
              <w:suppressLineNumbers w:val="0"/>
              <w:spacing w:before="0" w:beforeAutospacing="0" w:after="0" w:afterAutospacing="0" w:line="300" w:lineRule="exact"/>
              <w:ind w:left="1260" w:right="0" w:hanging="1260" w:hangingChars="700"/>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评审标准：优：施工组织内容全面，详细包含材料设备采购计划、资金使用计划、质量标准与保障措施、档案管理。</w:t>
            </w:r>
          </w:p>
          <w:p>
            <w:pPr>
              <w:keepNext w:val="0"/>
              <w:keepLines w:val="0"/>
              <w:suppressLineNumbers w:val="0"/>
              <w:spacing w:before="0" w:beforeAutospacing="0" w:after="0" w:afterAutospacing="0" w:line="300" w:lineRule="exact"/>
              <w:ind w:left="1297" w:leftChars="450" w:right="0" w:hanging="352" w:hangingChars="196"/>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良：施工组织内容较全面，包含材料设备采购计划、资金使用计划、但质量标准与保障措施、档案管理少一项。</w:t>
            </w:r>
          </w:p>
          <w:p>
            <w:pPr>
              <w:keepNext w:val="0"/>
              <w:keepLines w:val="0"/>
              <w:suppressLineNumbers w:val="0"/>
              <w:spacing w:before="0" w:beforeAutospacing="0" w:after="0" w:afterAutospacing="0" w:line="300" w:lineRule="exact"/>
              <w:ind w:left="1297" w:leftChars="450" w:right="0" w:hanging="352" w:hangingChars="196"/>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中：内容较基本全面，仅有材料设备采购计划、资金使用计划。</w:t>
            </w:r>
          </w:p>
          <w:p>
            <w:pPr>
              <w:keepNext w:val="0"/>
              <w:keepLines w:val="0"/>
              <w:suppressLineNumbers w:val="0"/>
              <w:spacing w:before="0" w:beforeAutospacing="0" w:after="0" w:afterAutospacing="0" w:line="300" w:lineRule="exact"/>
              <w:ind w:left="1297" w:leftChars="450" w:right="0" w:hanging="352" w:hangingChars="196"/>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一般：内容较不全面，计划和措施不全。</w:t>
            </w:r>
          </w:p>
          <w:p>
            <w:pPr>
              <w:keepNext w:val="0"/>
              <w:keepLines w:val="0"/>
              <w:suppressLineNumbers w:val="0"/>
              <w:spacing w:before="0" w:beforeAutospacing="0" w:after="0" w:afterAutospacing="0" w:line="300" w:lineRule="exact"/>
              <w:ind w:left="1297" w:leftChars="450" w:right="0" w:hanging="352" w:hangingChars="196"/>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差：没有提供对应评审内容。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309" w:type="dxa"/>
            <w:vMerge w:val="continue"/>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18"/>
                <w:szCs w:val="18"/>
                <w:highlight w:val="none"/>
              </w:rPr>
            </w:pPr>
          </w:p>
        </w:tc>
        <w:tc>
          <w:tcPr>
            <w:tcW w:w="1650"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资金使用计划</w:t>
            </w:r>
          </w:p>
        </w:tc>
        <w:tc>
          <w:tcPr>
            <w:tcW w:w="793" w:type="dxa"/>
            <w:vMerge w:val="continue"/>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rPr>
            </w:pPr>
          </w:p>
        </w:tc>
        <w:tc>
          <w:tcPr>
            <w:tcW w:w="10787" w:type="dxa"/>
            <w:vMerge w:val="continue"/>
            <w:vAlign w:val="center"/>
          </w:tcPr>
          <w:p>
            <w:pPr>
              <w:keepNext w:val="0"/>
              <w:keepLines w:val="0"/>
              <w:suppressLineNumbers w:val="0"/>
              <w:spacing w:before="0" w:beforeAutospacing="0" w:after="0" w:afterAutospacing="0" w:line="300" w:lineRule="exact"/>
              <w:ind w:left="0" w:right="0"/>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309" w:type="dxa"/>
            <w:vMerge w:val="continue"/>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18"/>
                <w:szCs w:val="18"/>
                <w:highlight w:val="none"/>
              </w:rPr>
            </w:pPr>
          </w:p>
        </w:tc>
        <w:tc>
          <w:tcPr>
            <w:tcW w:w="1650"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质量标准</w:t>
            </w:r>
          </w:p>
        </w:tc>
        <w:tc>
          <w:tcPr>
            <w:tcW w:w="793" w:type="dxa"/>
            <w:vMerge w:val="continue"/>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rPr>
            </w:pPr>
          </w:p>
        </w:tc>
        <w:tc>
          <w:tcPr>
            <w:tcW w:w="10787" w:type="dxa"/>
            <w:vMerge w:val="continue"/>
            <w:vAlign w:val="center"/>
          </w:tcPr>
          <w:p>
            <w:pPr>
              <w:keepNext w:val="0"/>
              <w:keepLines w:val="0"/>
              <w:suppressLineNumbers w:val="0"/>
              <w:spacing w:before="0" w:beforeAutospacing="0" w:after="0" w:afterAutospacing="0" w:line="300" w:lineRule="exact"/>
              <w:ind w:left="0" w:right="0"/>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309" w:type="dxa"/>
            <w:vMerge w:val="continue"/>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18"/>
                <w:szCs w:val="18"/>
                <w:highlight w:val="none"/>
              </w:rPr>
            </w:pPr>
          </w:p>
        </w:tc>
        <w:tc>
          <w:tcPr>
            <w:tcW w:w="1650"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档案管理</w:t>
            </w:r>
          </w:p>
        </w:tc>
        <w:tc>
          <w:tcPr>
            <w:tcW w:w="793" w:type="dxa"/>
            <w:vMerge w:val="continue"/>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rPr>
            </w:pPr>
          </w:p>
        </w:tc>
        <w:tc>
          <w:tcPr>
            <w:tcW w:w="10787" w:type="dxa"/>
            <w:vMerge w:val="continue"/>
            <w:vAlign w:val="center"/>
          </w:tcPr>
          <w:p>
            <w:pPr>
              <w:keepNext w:val="0"/>
              <w:keepLines w:val="0"/>
              <w:suppressLineNumbers w:val="0"/>
              <w:spacing w:before="0" w:beforeAutospacing="0" w:after="0" w:afterAutospacing="0" w:line="300" w:lineRule="exact"/>
              <w:ind w:left="0" w:right="0"/>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309" w:type="dxa"/>
            <w:vMerge w:val="continue"/>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18"/>
                <w:szCs w:val="18"/>
                <w:highlight w:val="none"/>
              </w:rPr>
            </w:pPr>
          </w:p>
        </w:tc>
        <w:tc>
          <w:tcPr>
            <w:tcW w:w="1650"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安全文明施工和绿色施工</w:t>
            </w:r>
          </w:p>
        </w:tc>
        <w:tc>
          <w:tcPr>
            <w:tcW w:w="793"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0787" w:type="dxa"/>
            <w:vAlign w:val="center"/>
          </w:tcPr>
          <w:p>
            <w:pPr>
              <w:keepNext w:val="0"/>
              <w:keepLines w:val="0"/>
              <w:suppressLineNumbers w:val="0"/>
              <w:spacing w:before="0" w:beforeAutospacing="0" w:after="0" w:afterAutospacing="0" w:line="300" w:lineRule="exact"/>
              <w:ind w:left="0" w:right="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安全管理目标明确，防护措施有效；有完善的文明施工管理措施；能合理分析可能存在的应急情况并提出应急处理措施。绿色施工方案合理，能通过科学管理和技术进步，最大限度地节约资源与减少对环境负面影响，实现“四节一环保”；有完善的绿色施工管理体系和管理制度；有环境保护和人员安全与健康等突发事件的应急预案。</w:t>
            </w:r>
          </w:p>
          <w:p>
            <w:pPr>
              <w:keepNext w:val="0"/>
              <w:keepLines w:val="0"/>
              <w:suppressLineNumbers w:val="0"/>
              <w:spacing w:before="0" w:beforeAutospacing="0" w:after="0" w:afterAutospacing="0" w:line="300" w:lineRule="exact"/>
              <w:ind w:left="0" w:right="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得分规则：优得</w:t>
            </w:r>
            <w:r>
              <w:rPr>
                <w:rFonts w:hint="eastAsia" w:ascii="宋体" w:hAnsi="宋体" w:eastAsia="宋体" w:cs="宋体"/>
                <w:color w:val="auto"/>
                <w:sz w:val="18"/>
                <w:szCs w:val="18"/>
                <w:highlight w:val="none"/>
                <w:u w:val="single"/>
              </w:rPr>
              <w:t>10</w:t>
            </w:r>
            <w:r>
              <w:rPr>
                <w:rFonts w:hint="eastAsia" w:ascii="宋体" w:hAnsi="宋体" w:eastAsia="宋体" w:cs="宋体"/>
                <w:color w:val="auto"/>
                <w:sz w:val="18"/>
                <w:szCs w:val="18"/>
                <w:highlight w:val="none"/>
              </w:rPr>
              <w:t>分；良得</w:t>
            </w:r>
            <w:r>
              <w:rPr>
                <w:rFonts w:hint="eastAsia" w:ascii="宋体" w:hAnsi="宋体" w:eastAsia="宋体" w:cs="宋体"/>
                <w:color w:val="auto"/>
                <w:sz w:val="18"/>
                <w:szCs w:val="18"/>
                <w:highlight w:val="none"/>
                <w:u w:val="single"/>
              </w:rPr>
              <w:t>8</w:t>
            </w:r>
            <w:r>
              <w:rPr>
                <w:rFonts w:hint="eastAsia" w:ascii="宋体" w:hAnsi="宋体" w:eastAsia="宋体" w:cs="宋体"/>
                <w:color w:val="auto"/>
                <w:sz w:val="18"/>
                <w:szCs w:val="18"/>
                <w:highlight w:val="none"/>
              </w:rPr>
              <w:t>分；中得</w:t>
            </w:r>
            <w:r>
              <w:rPr>
                <w:rFonts w:hint="eastAsia" w:ascii="宋体" w:hAnsi="宋体" w:eastAsia="宋体" w:cs="宋体"/>
                <w:color w:val="auto"/>
                <w:sz w:val="18"/>
                <w:szCs w:val="18"/>
                <w:highlight w:val="none"/>
                <w:u w:val="single"/>
              </w:rPr>
              <w:t>6</w:t>
            </w:r>
            <w:r>
              <w:rPr>
                <w:rFonts w:hint="eastAsia" w:ascii="宋体" w:hAnsi="宋体" w:eastAsia="宋体" w:cs="宋体"/>
                <w:color w:val="auto"/>
                <w:sz w:val="18"/>
                <w:szCs w:val="18"/>
                <w:highlight w:val="none"/>
              </w:rPr>
              <w:t>分；一般得</w:t>
            </w:r>
            <w:r>
              <w:rPr>
                <w:rFonts w:hint="eastAsia" w:ascii="宋体" w:hAnsi="宋体" w:eastAsia="宋体" w:cs="宋体"/>
                <w:color w:val="auto"/>
                <w:sz w:val="18"/>
                <w:szCs w:val="18"/>
                <w:highlight w:val="none"/>
                <w:u w:val="single"/>
              </w:rPr>
              <w:t>4</w:t>
            </w:r>
            <w:r>
              <w:rPr>
                <w:rFonts w:hint="eastAsia" w:ascii="宋体" w:hAnsi="宋体" w:eastAsia="宋体" w:cs="宋体"/>
                <w:color w:val="auto"/>
                <w:sz w:val="18"/>
                <w:szCs w:val="18"/>
                <w:highlight w:val="none"/>
              </w:rPr>
              <w:t>分；差得</w:t>
            </w:r>
            <w:r>
              <w:rPr>
                <w:rFonts w:hint="eastAsia" w:ascii="宋体" w:hAnsi="宋体" w:eastAsia="宋体" w:cs="宋体"/>
                <w:color w:val="auto"/>
                <w:sz w:val="18"/>
                <w:szCs w:val="18"/>
                <w:highlight w:val="none"/>
                <w:u w:val="single"/>
              </w:rPr>
              <w:t>0</w:t>
            </w:r>
            <w:r>
              <w:rPr>
                <w:rFonts w:hint="eastAsia" w:ascii="宋体" w:hAnsi="宋体" w:eastAsia="宋体" w:cs="宋体"/>
                <w:color w:val="auto"/>
                <w:sz w:val="18"/>
                <w:szCs w:val="18"/>
                <w:highlight w:val="none"/>
              </w:rPr>
              <w:t>分</w:t>
            </w:r>
          </w:p>
          <w:p>
            <w:pPr>
              <w:keepNext w:val="0"/>
              <w:keepLines w:val="0"/>
              <w:suppressLineNumbers w:val="0"/>
              <w:spacing w:before="0" w:beforeAutospacing="0" w:after="0" w:afterAutospacing="0" w:line="300" w:lineRule="exact"/>
              <w:ind w:left="1260" w:right="0" w:hanging="1260" w:hangingChars="700"/>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评审标准：优：内容全面，包含安全管理目标、文明施工管理措施、应急处理措施、绿色施工方案、突发事件的应急预案。</w:t>
            </w:r>
          </w:p>
          <w:p>
            <w:pPr>
              <w:keepNext w:val="0"/>
              <w:keepLines w:val="0"/>
              <w:suppressLineNumbers w:val="0"/>
              <w:spacing w:before="0" w:beforeAutospacing="0" w:after="0" w:afterAutospacing="0" w:line="300" w:lineRule="exact"/>
              <w:ind w:left="1297" w:leftChars="450" w:right="0" w:hanging="352" w:hangingChars="196"/>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良：内容较全面，包含安全管理目标、文明施工管理措施、绿色施工方案，缺乏应急处理措施。</w:t>
            </w:r>
          </w:p>
          <w:p>
            <w:pPr>
              <w:keepNext w:val="0"/>
              <w:keepLines w:val="0"/>
              <w:suppressLineNumbers w:val="0"/>
              <w:spacing w:before="0" w:beforeAutospacing="0" w:after="0" w:afterAutospacing="0" w:line="300" w:lineRule="exact"/>
              <w:ind w:left="1297" w:leftChars="450" w:right="0" w:hanging="352" w:hangingChars="196"/>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中：内容较基本全面，仅包含有安全管理目标、文明施工管理措施。</w:t>
            </w:r>
          </w:p>
          <w:p>
            <w:pPr>
              <w:keepNext w:val="0"/>
              <w:keepLines w:val="0"/>
              <w:suppressLineNumbers w:val="0"/>
              <w:spacing w:before="0" w:beforeAutospacing="0" w:after="0" w:afterAutospacing="0" w:line="300" w:lineRule="exact"/>
              <w:ind w:left="1297" w:leftChars="450" w:right="0" w:hanging="352" w:hangingChars="196"/>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一般：内容较不全面，管理目标和措施不全。</w:t>
            </w:r>
          </w:p>
          <w:p>
            <w:pPr>
              <w:keepNext w:val="0"/>
              <w:keepLines w:val="0"/>
              <w:suppressLineNumbers w:val="0"/>
              <w:spacing w:before="0" w:beforeAutospacing="0" w:after="0" w:afterAutospacing="0" w:line="300" w:lineRule="exact"/>
              <w:ind w:left="1297" w:leftChars="450" w:right="0" w:hanging="352" w:hangingChars="196"/>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差：没有提供对应评审内容。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1309" w:type="dxa"/>
            <w:vMerge w:val="continue"/>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18"/>
                <w:szCs w:val="18"/>
                <w:highlight w:val="none"/>
              </w:rPr>
            </w:pPr>
          </w:p>
        </w:tc>
        <w:tc>
          <w:tcPr>
            <w:tcW w:w="1650"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工程保修和养护管理措施</w:t>
            </w:r>
          </w:p>
        </w:tc>
        <w:tc>
          <w:tcPr>
            <w:tcW w:w="793"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0787" w:type="dxa"/>
            <w:vAlign w:val="center"/>
          </w:tcPr>
          <w:p>
            <w:pPr>
              <w:keepNext w:val="0"/>
              <w:keepLines w:val="0"/>
              <w:suppressLineNumbers w:val="0"/>
              <w:spacing w:before="0" w:beforeAutospacing="0" w:after="0" w:afterAutospacing="0" w:line="300" w:lineRule="exact"/>
              <w:ind w:left="0" w:right="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工程保修和养护管理措施内容应详实、合理，紧密结合项目现状。</w:t>
            </w:r>
          </w:p>
          <w:p>
            <w:pPr>
              <w:keepNext w:val="0"/>
              <w:keepLines w:val="0"/>
              <w:suppressLineNumbers w:val="0"/>
              <w:spacing w:before="0" w:beforeAutospacing="0" w:after="0" w:afterAutospacing="0" w:line="300" w:lineRule="exact"/>
              <w:ind w:left="0" w:right="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得分规则：优得</w:t>
            </w:r>
            <w:r>
              <w:rPr>
                <w:rFonts w:hint="eastAsia" w:ascii="宋体" w:hAnsi="宋体" w:eastAsia="宋体" w:cs="宋体"/>
                <w:color w:val="auto"/>
                <w:sz w:val="18"/>
                <w:szCs w:val="18"/>
                <w:highlight w:val="none"/>
                <w:u w:val="single"/>
              </w:rPr>
              <w:t>10</w:t>
            </w:r>
            <w:r>
              <w:rPr>
                <w:rFonts w:hint="eastAsia" w:ascii="宋体" w:hAnsi="宋体" w:eastAsia="宋体" w:cs="宋体"/>
                <w:color w:val="auto"/>
                <w:sz w:val="18"/>
                <w:szCs w:val="18"/>
                <w:highlight w:val="none"/>
              </w:rPr>
              <w:t>分；良得</w:t>
            </w:r>
            <w:r>
              <w:rPr>
                <w:rFonts w:hint="eastAsia" w:ascii="宋体" w:hAnsi="宋体" w:eastAsia="宋体" w:cs="宋体"/>
                <w:color w:val="auto"/>
                <w:sz w:val="18"/>
                <w:szCs w:val="18"/>
                <w:highlight w:val="none"/>
                <w:u w:val="single"/>
              </w:rPr>
              <w:t>8</w:t>
            </w:r>
            <w:r>
              <w:rPr>
                <w:rFonts w:hint="eastAsia" w:ascii="宋体" w:hAnsi="宋体" w:eastAsia="宋体" w:cs="宋体"/>
                <w:color w:val="auto"/>
                <w:sz w:val="18"/>
                <w:szCs w:val="18"/>
                <w:highlight w:val="none"/>
              </w:rPr>
              <w:t>分；中得</w:t>
            </w:r>
            <w:r>
              <w:rPr>
                <w:rFonts w:hint="eastAsia" w:ascii="宋体" w:hAnsi="宋体" w:eastAsia="宋体" w:cs="宋体"/>
                <w:color w:val="auto"/>
                <w:sz w:val="18"/>
                <w:szCs w:val="18"/>
                <w:highlight w:val="none"/>
                <w:u w:val="single"/>
              </w:rPr>
              <w:t>6</w:t>
            </w:r>
            <w:r>
              <w:rPr>
                <w:rFonts w:hint="eastAsia" w:ascii="宋体" w:hAnsi="宋体" w:eastAsia="宋体" w:cs="宋体"/>
                <w:color w:val="auto"/>
                <w:sz w:val="18"/>
                <w:szCs w:val="18"/>
                <w:highlight w:val="none"/>
              </w:rPr>
              <w:t>分；一般得</w:t>
            </w:r>
            <w:r>
              <w:rPr>
                <w:rFonts w:hint="eastAsia" w:ascii="宋体" w:hAnsi="宋体" w:eastAsia="宋体" w:cs="宋体"/>
                <w:color w:val="auto"/>
                <w:sz w:val="18"/>
                <w:szCs w:val="18"/>
                <w:highlight w:val="none"/>
                <w:u w:val="single"/>
              </w:rPr>
              <w:t>4</w:t>
            </w:r>
            <w:r>
              <w:rPr>
                <w:rFonts w:hint="eastAsia" w:ascii="宋体" w:hAnsi="宋体" w:eastAsia="宋体" w:cs="宋体"/>
                <w:color w:val="auto"/>
                <w:sz w:val="18"/>
                <w:szCs w:val="18"/>
                <w:highlight w:val="none"/>
              </w:rPr>
              <w:t>分；差得</w:t>
            </w:r>
            <w:r>
              <w:rPr>
                <w:rFonts w:hint="eastAsia" w:ascii="宋体" w:hAnsi="宋体" w:eastAsia="宋体" w:cs="宋体"/>
                <w:color w:val="auto"/>
                <w:sz w:val="18"/>
                <w:szCs w:val="18"/>
                <w:highlight w:val="none"/>
                <w:u w:val="single"/>
              </w:rPr>
              <w:t>0</w:t>
            </w:r>
            <w:r>
              <w:rPr>
                <w:rFonts w:hint="eastAsia" w:ascii="宋体" w:hAnsi="宋体" w:eastAsia="宋体" w:cs="宋体"/>
                <w:color w:val="auto"/>
                <w:sz w:val="18"/>
                <w:szCs w:val="18"/>
                <w:highlight w:val="none"/>
              </w:rPr>
              <w:t>分。</w:t>
            </w:r>
          </w:p>
          <w:p>
            <w:pPr>
              <w:keepNext w:val="0"/>
              <w:keepLines w:val="0"/>
              <w:suppressLineNumbers w:val="0"/>
              <w:spacing w:before="0" w:beforeAutospacing="0" w:after="0" w:afterAutospacing="0" w:line="300" w:lineRule="exact"/>
              <w:ind w:left="0" w:right="0"/>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评审标准：优：内容详实、合理，能结合项目现状，提出工程保修和养护管理措施。</w:t>
            </w:r>
          </w:p>
          <w:p>
            <w:pPr>
              <w:keepNext w:val="0"/>
              <w:keepLines w:val="0"/>
              <w:suppressLineNumbers w:val="0"/>
              <w:spacing w:before="0" w:beforeAutospacing="0" w:after="0" w:afterAutospacing="0" w:line="300" w:lineRule="exact"/>
              <w:ind w:left="1297" w:leftChars="450" w:right="0" w:hanging="352" w:hangingChars="196"/>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良：内容较详实、较合理，有工程保修和养护管理措施。</w:t>
            </w:r>
          </w:p>
          <w:p>
            <w:pPr>
              <w:keepNext w:val="0"/>
              <w:keepLines w:val="0"/>
              <w:suppressLineNumbers w:val="0"/>
              <w:spacing w:before="0" w:beforeAutospacing="0" w:after="0" w:afterAutospacing="0" w:line="300" w:lineRule="exact"/>
              <w:ind w:left="1297" w:leftChars="450" w:right="0" w:hanging="352" w:hangingChars="196"/>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中：内容较简单，仅有工程保修内容，没有养护管理措施。</w:t>
            </w:r>
          </w:p>
          <w:p>
            <w:pPr>
              <w:keepNext w:val="0"/>
              <w:keepLines w:val="0"/>
              <w:suppressLineNumbers w:val="0"/>
              <w:spacing w:before="0" w:beforeAutospacing="0" w:after="0" w:afterAutospacing="0" w:line="300" w:lineRule="exact"/>
              <w:ind w:left="1297" w:leftChars="450" w:right="0" w:hanging="352" w:hangingChars="196"/>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一般：内容不全面，措施不明确。</w:t>
            </w:r>
          </w:p>
          <w:p>
            <w:pPr>
              <w:keepNext w:val="0"/>
              <w:keepLines w:val="0"/>
              <w:suppressLineNumbers w:val="0"/>
              <w:spacing w:before="0" w:beforeAutospacing="0" w:after="0" w:afterAutospacing="0" w:line="300" w:lineRule="exact"/>
              <w:ind w:left="1297" w:leftChars="450" w:right="0" w:hanging="352" w:hangingChars="196"/>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差：没有提供对应评审内容。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309" w:type="dxa"/>
            <w:vMerge w:val="restart"/>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第五章 投资及风险控制</w:t>
            </w:r>
          </w:p>
        </w:tc>
        <w:tc>
          <w:tcPr>
            <w:tcW w:w="1650" w:type="dxa"/>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工程投资节约措施</w:t>
            </w:r>
          </w:p>
        </w:tc>
        <w:tc>
          <w:tcPr>
            <w:tcW w:w="793" w:type="dxa"/>
            <w:vMerge w:val="restart"/>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0787" w:type="dxa"/>
            <w:vMerge w:val="restart"/>
            <w:vAlign w:val="center"/>
          </w:tcPr>
          <w:p>
            <w:pPr>
              <w:keepNext w:val="0"/>
              <w:keepLines w:val="0"/>
              <w:suppressLineNumbers w:val="0"/>
              <w:spacing w:before="0" w:beforeAutospacing="0" w:after="0" w:afterAutospacing="0" w:line="300" w:lineRule="exact"/>
              <w:ind w:left="0" w:right="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节约工程投资的措施及理由合理、可信、可行；能合理分析可能存在的应急情况并提出应急处理措施，做到配合、协调、服务方案考虑全面。</w:t>
            </w:r>
          </w:p>
          <w:p>
            <w:pPr>
              <w:keepNext w:val="0"/>
              <w:keepLines w:val="0"/>
              <w:suppressLineNumbers w:val="0"/>
              <w:spacing w:before="0" w:beforeAutospacing="0" w:after="0" w:afterAutospacing="0" w:line="300" w:lineRule="exact"/>
              <w:ind w:left="0" w:right="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得分规则：优得</w:t>
            </w:r>
            <w:r>
              <w:rPr>
                <w:rFonts w:hint="eastAsia" w:ascii="宋体" w:hAnsi="宋体" w:eastAsia="宋体" w:cs="宋体"/>
                <w:color w:val="auto"/>
                <w:sz w:val="18"/>
                <w:szCs w:val="18"/>
                <w:highlight w:val="none"/>
                <w:u w:val="single"/>
              </w:rPr>
              <w:t xml:space="preserve"> 10 </w:t>
            </w:r>
            <w:r>
              <w:rPr>
                <w:rFonts w:hint="eastAsia" w:ascii="宋体" w:hAnsi="宋体" w:eastAsia="宋体" w:cs="宋体"/>
                <w:color w:val="auto"/>
                <w:sz w:val="18"/>
                <w:szCs w:val="18"/>
                <w:highlight w:val="none"/>
              </w:rPr>
              <w:t xml:space="preserve">分；良得 </w:t>
            </w:r>
            <w:r>
              <w:rPr>
                <w:rFonts w:hint="eastAsia" w:ascii="宋体" w:hAnsi="宋体" w:eastAsia="宋体" w:cs="宋体"/>
                <w:color w:val="auto"/>
                <w:sz w:val="18"/>
                <w:szCs w:val="18"/>
                <w:highlight w:val="none"/>
                <w:u w:val="single"/>
              </w:rPr>
              <w:t xml:space="preserve">8 </w:t>
            </w:r>
            <w:r>
              <w:rPr>
                <w:rFonts w:hint="eastAsia" w:ascii="宋体" w:hAnsi="宋体" w:eastAsia="宋体" w:cs="宋体"/>
                <w:color w:val="auto"/>
                <w:sz w:val="18"/>
                <w:szCs w:val="18"/>
                <w:highlight w:val="none"/>
              </w:rPr>
              <w:t>分；中得</w:t>
            </w:r>
            <w:r>
              <w:rPr>
                <w:rFonts w:hint="eastAsia" w:ascii="宋体" w:hAnsi="宋体" w:eastAsia="宋体" w:cs="宋体"/>
                <w:color w:val="auto"/>
                <w:sz w:val="18"/>
                <w:szCs w:val="18"/>
                <w:highlight w:val="none"/>
                <w:u w:val="single"/>
              </w:rPr>
              <w:t xml:space="preserve"> 6 </w:t>
            </w:r>
            <w:r>
              <w:rPr>
                <w:rFonts w:hint="eastAsia" w:ascii="宋体" w:hAnsi="宋体" w:eastAsia="宋体" w:cs="宋体"/>
                <w:color w:val="auto"/>
                <w:sz w:val="18"/>
                <w:szCs w:val="18"/>
                <w:highlight w:val="none"/>
              </w:rPr>
              <w:t>分；一般得</w:t>
            </w:r>
            <w:r>
              <w:rPr>
                <w:rFonts w:hint="eastAsia" w:ascii="宋体" w:hAnsi="宋体" w:eastAsia="宋体" w:cs="宋体"/>
                <w:color w:val="auto"/>
                <w:sz w:val="18"/>
                <w:szCs w:val="18"/>
                <w:highlight w:val="none"/>
                <w:u w:val="single"/>
              </w:rPr>
              <w:t xml:space="preserve"> 4 </w:t>
            </w:r>
            <w:r>
              <w:rPr>
                <w:rFonts w:hint="eastAsia" w:ascii="宋体" w:hAnsi="宋体" w:eastAsia="宋体" w:cs="宋体"/>
                <w:color w:val="auto"/>
                <w:sz w:val="18"/>
                <w:szCs w:val="18"/>
                <w:highlight w:val="none"/>
              </w:rPr>
              <w:t>分；差得</w:t>
            </w:r>
            <w:r>
              <w:rPr>
                <w:rFonts w:hint="eastAsia" w:ascii="宋体" w:hAnsi="宋体" w:eastAsia="宋体" w:cs="宋体"/>
                <w:color w:val="auto"/>
                <w:sz w:val="18"/>
                <w:szCs w:val="18"/>
                <w:highlight w:val="none"/>
                <w:u w:val="single"/>
              </w:rPr>
              <w:t xml:space="preserve"> 0 </w:t>
            </w:r>
            <w:r>
              <w:rPr>
                <w:rFonts w:hint="eastAsia" w:ascii="宋体" w:hAnsi="宋体" w:eastAsia="宋体" w:cs="宋体"/>
                <w:color w:val="auto"/>
                <w:sz w:val="18"/>
                <w:szCs w:val="18"/>
                <w:highlight w:val="none"/>
              </w:rPr>
              <w:t>分。</w:t>
            </w:r>
          </w:p>
          <w:p>
            <w:pPr>
              <w:keepNext w:val="0"/>
              <w:keepLines w:val="0"/>
              <w:suppressLineNumbers w:val="0"/>
              <w:spacing w:before="0" w:beforeAutospacing="0" w:after="0" w:afterAutospacing="0" w:line="300" w:lineRule="exact"/>
              <w:ind w:left="878" w:right="0" w:hanging="878" w:hangingChars="488"/>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评审标准：优：内容全面、合理，包含节约工程投资的措施及理由合理、可信、可行；能合理分析可能存在的应急情况并提出应急处理措施，有配合、协调、服务方案。</w:t>
            </w:r>
          </w:p>
          <w:p>
            <w:pPr>
              <w:keepNext w:val="0"/>
              <w:keepLines w:val="0"/>
              <w:suppressLineNumbers w:val="0"/>
              <w:spacing w:before="0" w:beforeAutospacing="0" w:after="0" w:afterAutospacing="0" w:line="300" w:lineRule="exact"/>
              <w:ind w:left="1309" w:leftChars="486" w:right="0" w:hanging="288" w:hangingChars="160"/>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良：内容较全面、较合理，有节约工程投资的措施，应急处理措施。</w:t>
            </w:r>
          </w:p>
          <w:p>
            <w:pPr>
              <w:keepNext w:val="0"/>
              <w:keepLines w:val="0"/>
              <w:suppressLineNumbers w:val="0"/>
              <w:spacing w:before="0" w:beforeAutospacing="0" w:after="0" w:afterAutospacing="0" w:line="300" w:lineRule="exact"/>
              <w:ind w:left="1309" w:leftChars="486" w:right="0" w:hanging="288" w:hangingChars="160"/>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中：内容较基本全面，仅有工程投资节约措施。</w:t>
            </w:r>
          </w:p>
          <w:p>
            <w:pPr>
              <w:keepNext w:val="0"/>
              <w:keepLines w:val="0"/>
              <w:suppressLineNumbers w:val="0"/>
              <w:spacing w:before="0" w:beforeAutospacing="0" w:after="0" w:afterAutospacing="0" w:line="300" w:lineRule="exact"/>
              <w:ind w:left="1309" w:leftChars="486" w:right="0" w:hanging="288" w:hangingChars="160"/>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一般：内容较不全面。</w:t>
            </w:r>
          </w:p>
          <w:p>
            <w:pPr>
              <w:keepNext w:val="0"/>
              <w:keepLines w:val="0"/>
              <w:suppressLineNumbers w:val="0"/>
              <w:spacing w:before="0" w:beforeAutospacing="0" w:after="0" w:afterAutospacing="0" w:line="300" w:lineRule="exact"/>
              <w:ind w:left="1309" w:leftChars="486" w:right="0" w:hanging="288" w:hangingChars="160"/>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差：没有提供对应评审内容。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1309" w:type="dxa"/>
            <w:vMerge w:val="continue"/>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color w:val="auto"/>
                <w:sz w:val="18"/>
                <w:szCs w:val="18"/>
                <w:highlight w:val="none"/>
              </w:rPr>
            </w:pPr>
          </w:p>
        </w:tc>
        <w:tc>
          <w:tcPr>
            <w:tcW w:w="1650"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color w:val="auto"/>
                <w:sz w:val="18"/>
                <w:szCs w:val="18"/>
                <w:highlight w:val="none"/>
              </w:rPr>
            </w:pPr>
            <w:r>
              <w:rPr>
                <w:rFonts w:hint="eastAsia" w:ascii="宋体" w:hAnsi="宋体" w:eastAsia="宋体" w:cs="宋体"/>
                <w:color w:val="auto"/>
                <w:sz w:val="18"/>
                <w:szCs w:val="18"/>
                <w:highlight w:val="none"/>
              </w:rPr>
              <w:t>应急预案和抵抗风险措施</w:t>
            </w:r>
          </w:p>
        </w:tc>
        <w:tc>
          <w:tcPr>
            <w:tcW w:w="793" w:type="dxa"/>
            <w:vMerge w:val="continue"/>
            <w:vAlign w:val="center"/>
          </w:tcPr>
          <w:p>
            <w:pPr>
              <w:keepNext w:val="0"/>
              <w:keepLines w:val="0"/>
              <w:suppressLineNumbers w:val="0"/>
              <w:spacing w:before="0" w:beforeAutospacing="0" w:after="0" w:afterAutospacing="0" w:line="360" w:lineRule="exact"/>
              <w:ind w:left="0" w:right="0"/>
              <w:jc w:val="center"/>
              <w:rPr>
                <w:rFonts w:hint="default" w:ascii="宋体" w:hAnsi="宋体" w:cs="宋体"/>
                <w:color w:val="auto"/>
                <w:szCs w:val="21"/>
                <w:highlight w:val="none"/>
              </w:rPr>
            </w:pPr>
          </w:p>
        </w:tc>
        <w:tc>
          <w:tcPr>
            <w:tcW w:w="10787" w:type="dxa"/>
            <w:vMerge w:val="continue"/>
            <w:vAlign w:val="center"/>
          </w:tcPr>
          <w:p>
            <w:pPr>
              <w:keepNext w:val="0"/>
              <w:keepLines w:val="0"/>
              <w:suppressLineNumbers w:val="0"/>
              <w:spacing w:before="0" w:beforeAutospacing="0" w:after="0" w:afterAutospacing="0" w:line="360" w:lineRule="exact"/>
              <w:ind w:left="0" w:right="0"/>
              <w:rPr>
                <w:rFonts w:hint="default" w:ascii="宋体" w:hAnsi="宋体" w:cs="宋体"/>
                <w:color w:val="auto"/>
                <w:szCs w:val="21"/>
                <w:highlight w:val="none"/>
              </w:rPr>
            </w:pPr>
          </w:p>
        </w:tc>
      </w:tr>
    </w:tbl>
    <w:p>
      <w:pPr>
        <w:spacing w:line="240" w:lineRule="exact"/>
        <w:ind w:left="-540" w:leftChars="-257" w:right="-827" w:rightChars="-394"/>
        <w:rPr>
          <w:rFonts w:hint="eastAsia" w:ascii="宋体" w:hAnsi="宋体" w:eastAsia="宋体"/>
          <w:color w:val="auto"/>
          <w:sz w:val="18"/>
          <w:szCs w:val="18"/>
          <w:highlight w:val="none"/>
        </w:rPr>
      </w:pPr>
    </w:p>
    <w:p>
      <w:pPr>
        <w:spacing w:line="240" w:lineRule="exact"/>
        <w:ind w:left="-540" w:leftChars="-257" w:right="-827" w:rightChars="-394"/>
        <w:rPr>
          <w:rFonts w:hint="eastAsia" w:ascii="宋体" w:hAnsi="宋体" w:eastAsia="宋体"/>
          <w:color w:val="auto"/>
          <w:sz w:val="18"/>
          <w:szCs w:val="18"/>
          <w:highlight w:val="none"/>
        </w:rPr>
      </w:pPr>
      <w:r>
        <w:rPr>
          <w:rFonts w:hint="eastAsia" w:ascii="宋体" w:hAnsi="宋体" w:eastAsia="宋体"/>
          <w:color w:val="auto"/>
          <w:sz w:val="18"/>
          <w:szCs w:val="18"/>
          <w:highlight w:val="none"/>
        </w:rPr>
        <w:t>备注：1.招标人可根据招标项目实际需要合理设置评审内容，不得设置排斥性条款及明显高于或偏离项目实施要求的内容；设置等次得分的，得分应为等差排列。</w:t>
      </w:r>
    </w:p>
    <w:p>
      <w:pPr>
        <w:spacing w:line="240" w:lineRule="exact"/>
        <w:ind w:left="-540" w:leftChars="-257" w:right="-827" w:rightChars="-394"/>
        <w:rPr>
          <w:rFonts w:ascii="宋体" w:hAnsi="宋体" w:eastAsia="宋体"/>
          <w:color w:val="auto"/>
          <w:sz w:val="18"/>
          <w:szCs w:val="18"/>
          <w:highlight w:val="none"/>
        </w:rPr>
      </w:pPr>
      <w:r>
        <w:rPr>
          <w:rFonts w:hint="eastAsia" w:ascii="宋体" w:hAnsi="宋体" w:eastAsia="宋体"/>
          <w:color w:val="auto"/>
          <w:sz w:val="18"/>
          <w:szCs w:val="18"/>
          <w:highlight w:val="none"/>
        </w:rPr>
        <w:t xml:space="preserve">      2.评审项目总分应为100分,各评审子项的分值不得超出取值范围。</w:t>
      </w:r>
    </w:p>
    <w:p>
      <w:pPr>
        <w:spacing w:line="240" w:lineRule="exact"/>
        <w:ind w:left="-540" w:leftChars="-257" w:right="-827" w:rightChars="-394" w:firstLine="540" w:firstLineChars="300"/>
        <w:rPr>
          <w:rFonts w:hint="eastAsia" w:ascii="宋体" w:hAnsi="宋体" w:eastAsia="宋体"/>
          <w:color w:val="auto"/>
          <w:sz w:val="18"/>
          <w:szCs w:val="18"/>
          <w:highlight w:val="none"/>
        </w:rPr>
      </w:pPr>
      <w:r>
        <w:rPr>
          <w:rFonts w:hint="eastAsia" w:ascii="宋体" w:hAnsi="宋体" w:eastAsia="宋体"/>
          <w:color w:val="auto"/>
          <w:sz w:val="18"/>
          <w:szCs w:val="18"/>
          <w:highlight w:val="none"/>
        </w:rPr>
        <w:t>3.最终得分按投标须知前附表第32项所规定的方式进行汇总；分数出现小数点，保留小数点后二位小数，第三位小数四舍五入。</w:t>
      </w:r>
    </w:p>
    <w:p>
      <w:pPr>
        <w:ind w:left="-718" w:leftChars="-342" w:right="-827" w:rightChars="-394"/>
        <w:rPr>
          <w:rFonts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评标委员会签名：                                                                      日期：</w:t>
      </w:r>
    </w:p>
    <w:p>
      <w:pPr>
        <w:outlineLvl w:val="2"/>
        <w:rPr>
          <w:rFonts w:hint="eastAsia" w:ascii="宋体" w:hAnsi="宋体" w:eastAsia="宋体"/>
          <w:color w:val="auto"/>
          <w:sz w:val="24"/>
          <w:szCs w:val="24"/>
          <w:highlight w:val="none"/>
        </w:rPr>
      </w:pPr>
      <w:bookmarkStart w:id="218" w:name="_Toc16072"/>
      <w:r>
        <w:rPr>
          <w:rFonts w:hint="eastAsia" w:ascii="宋体" w:hAnsi="宋体" w:eastAsia="宋体"/>
          <w:color w:val="auto"/>
          <w:sz w:val="24"/>
          <w:szCs w:val="24"/>
          <w:highlight w:val="none"/>
        </w:rPr>
        <w:br w:type="page"/>
      </w:r>
      <w:bookmarkStart w:id="219" w:name="_Toc25947"/>
      <w:r>
        <w:rPr>
          <w:rFonts w:hint="eastAsia" w:ascii="宋体" w:hAnsi="宋体" w:eastAsia="宋体"/>
          <w:color w:val="auto"/>
          <w:sz w:val="24"/>
          <w:szCs w:val="24"/>
          <w:highlight w:val="none"/>
        </w:rPr>
        <w:t>附件13（适用于办法二）</w:t>
      </w:r>
      <w:bookmarkEnd w:id="218"/>
      <w:bookmarkEnd w:id="219"/>
    </w:p>
    <w:p>
      <w:pPr>
        <w:spacing w:line="40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技术部分（项目实施能力）审查评分表</w:t>
      </w:r>
    </w:p>
    <w:tbl>
      <w:tblPr>
        <w:tblStyle w:val="18"/>
        <w:tblW w:w="14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167"/>
        <w:gridCol w:w="741"/>
        <w:gridCol w:w="1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评审项目</w:t>
            </w:r>
          </w:p>
        </w:tc>
        <w:tc>
          <w:tcPr>
            <w:tcW w:w="741" w:type="dxa"/>
            <w:vMerge w:val="restar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取值范围</w:t>
            </w:r>
          </w:p>
        </w:tc>
        <w:tc>
          <w:tcPr>
            <w:tcW w:w="11060" w:type="dxa"/>
            <w:vMerge w:val="restar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116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子项</w:t>
            </w:r>
          </w:p>
        </w:tc>
        <w:tc>
          <w:tcPr>
            <w:tcW w:w="741"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szCs w:val="21"/>
                <w:highlight w:val="none"/>
              </w:rPr>
            </w:pPr>
          </w:p>
        </w:tc>
        <w:tc>
          <w:tcPr>
            <w:tcW w:w="11060"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jc w:val="center"/>
        </w:trPr>
        <w:tc>
          <w:tcPr>
            <w:tcW w:w="1117"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一、项目管理机构能力</w:t>
            </w:r>
          </w:p>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rPr>
            </w:pPr>
          </w:p>
        </w:tc>
        <w:tc>
          <w:tcPr>
            <w:tcW w:w="116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项目负责人能力</w:t>
            </w:r>
          </w:p>
        </w:tc>
        <w:tc>
          <w:tcPr>
            <w:tcW w:w="74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1106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一、拟委派项目负责人从业经历按以下条件计取得分：</w:t>
            </w:r>
            <w:r>
              <w:rPr>
                <w:rFonts w:hint="eastAsia" w:ascii="宋体" w:hAnsi="宋体" w:eastAsia="宋体" w:cs="宋体"/>
                <w:color w:val="auto"/>
                <w:szCs w:val="21"/>
                <w:highlight w:val="none"/>
              </w:rPr>
              <w:t xml:space="preserve"> </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①从业经历为</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0年（含本数）或以上的，得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0分；</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②从业经历为</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年（含本数）-</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年（不含本数）的，得</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分；</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③从业经历为</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年（不含本数）以下的，得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p>
            <w:pPr>
              <w:keepNext w:val="0"/>
              <w:keepLines w:val="0"/>
              <w:suppressLineNumbers w:val="0"/>
              <w:spacing w:before="0" w:beforeAutospacing="0" w:after="0" w:afterAutospacing="0"/>
              <w:ind w:left="0" w:right="0"/>
              <w:rPr>
                <w:rFonts w:hint="eastAsia" w:eastAsia="宋体"/>
                <w:color w:val="auto"/>
                <w:szCs w:val="22"/>
                <w:highlight w:val="none"/>
                <w:lang w:eastAsia="zh-CN"/>
              </w:rPr>
            </w:pPr>
            <w:r>
              <w:rPr>
                <w:rFonts w:hint="eastAsia" w:ascii="宋体" w:hAnsi="宋体" w:eastAsia="宋体" w:cs="宋体"/>
                <w:color w:val="auto"/>
                <w:szCs w:val="21"/>
                <w:highlight w:val="none"/>
              </w:rPr>
              <w:t>注：须提供相应证书扫描件（从业经历以具有大专或以上学历毕业证的发证日期起计，如果投标人同时提供了多个学历毕业证书，则任一毕业证书能达到上述评审从业经历年限要求的即可得分，但不得累计得分）、投标</w:t>
            </w:r>
            <w:r>
              <w:rPr>
                <w:rFonts w:hint="eastAsia" w:ascii="宋体" w:hAnsi="宋体" w:eastAsia="宋体" w:cs="宋体"/>
                <w:color w:val="auto"/>
                <w:szCs w:val="22"/>
                <w:highlight w:val="none"/>
              </w:rPr>
              <w:t>投标截止时间前近</w:t>
            </w:r>
            <w:r>
              <w:rPr>
                <w:rFonts w:hint="eastAsia" w:ascii="宋体" w:hAnsi="宋体" w:eastAsia="宋体" w:cs="宋体"/>
                <w:color w:val="auto"/>
                <w:szCs w:val="22"/>
                <w:highlight w:val="none"/>
                <w:lang w:val="en-US" w:eastAsia="zh-CN"/>
              </w:rPr>
              <w:t>1</w:t>
            </w:r>
            <w:r>
              <w:rPr>
                <w:rFonts w:hint="eastAsia" w:ascii="宋体" w:hAnsi="宋体" w:eastAsia="宋体" w:cs="宋体"/>
                <w:color w:val="auto"/>
                <w:szCs w:val="22"/>
                <w:highlight w:val="none"/>
              </w:rPr>
              <w:t>月社保证明材料（</w:t>
            </w:r>
            <w:r>
              <w:rPr>
                <w:rFonts w:hint="eastAsia" w:ascii="宋体" w:hAnsi="宋体" w:eastAsia="宋体" w:cs="宋体"/>
                <w:color w:val="auto"/>
                <w:szCs w:val="22"/>
                <w:highlight w:val="none"/>
                <w:lang w:bidi="ar"/>
              </w:rPr>
              <w:t>不含投标截止当月</w:t>
            </w:r>
            <w:r>
              <w:rPr>
                <w:rFonts w:hint="eastAsia" w:ascii="宋体" w:hAnsi="宋体" w:eastAsia="宋体" w:cs="宋体"/>
                <w:color w:val="auto"/>
                <w:szCs w:val="22"/>
                <w:highlight w:val="none"/>
              </w:rPr>
              <w:t>）</w:t>
            </w:r>
            <w:r>
              <w:rPr>
                <w:rFonts w:hint="eastAsia" w:ascii="宋体" w:hAnsi="宋体" w:eastAsia="宋体" w:cs="宋体"/>
                <w:color w:val="auto"/>
                <w:szCs w:val="21"/>
                <w:highlight w:val="none"/>
              </w:rPr>
              <w:t>在本单位购买社保的证明材料）。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1167" w:type="dxa"/>
            <w:vMerge w:val="restar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企业技术力量配备情况</w:t>
            </w:r>
          </w:p>
        </w:tc>
        <w:tc>
          <w:tcPr>
            <w:tcW w:w="741" w:type="dxa"/>
            <w:vMerge w:val="restar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1106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一、技术负责人（1名）</w:t>
            </w:r>
            <w:r>
              <w:rPr>
                <w:rFonts w:hint="eastAsia" w:ascii="宋体" w:hAnsi="宋体" w:eastAsia="宋体" w:cs="宋体"/>
                <w:b/>
                <w:bCs/>
                <w:color w:val="auto"/>
                <w:szCs w:val="21"/>
                <w:highlight w:val="none"/>
                <w:lang w:eastAsia="zh-CN"/>
              </w:rPr>
              <w:t>：</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1、从业经历按以下条件计取得分：</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①从业经历为</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年（含本数）或以上的，得</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分；</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②从业经历为</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年（含本数）-</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年（不含本数）的，得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③从业经历为</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年（不含本数）以下的，得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注：本小项最多得</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分，须提供相应证书扫描件（从业经历以具有大专或以上学历毕业证的发证日期起计，如果投标人同时提供了多个学历毕业证书，则任一毕业证书能达到上述评审从业经历年限要求的即可得分，但不得累计得分）、投标</w:t>
            </w:r>
            <w:r>
              <w:rPr>
                <w:rFonts w:hint="eastAsia" w:ascii="宋体" w:hAnsi="宋体" w:eastAsia="宋体" w:cs="宋体"/>
                <w:color w:val="auto"/>
                <w:szCs w:val="22"/>
                <w:highlight w:val="none"/>
              </w:rPr>
              <w:t>投标截止时间前近</w:t>
            </w:r>
            <w:r>
              <w:rPr>
                <w:rFonts w:hint="eastAsia" w:ascii="宋体" w:hAnsi="宋体" w:eastAsia="宋体" w:cs="宋体"/>
                <w:color w:val="auto"/>
                <w:szCs w:val="22"/>
                <w:highlight w:val="none"/>
                <w:lang w:val="en-US" w:eastAsia="zh-CN"/>
              </w:rPr>
              <w:t>1</w:t>
            </w:r>
            <w:r>
              <w:rPr>
                <w:rFonts w:hint="eastAsia" w:ascii="宋体" w:hAnsi="宋体" w:eastAsia="宋体" w:cs="宋体"/>
                <w:color w:val="auto"/>
                <w:szCs w:val="22"/>
                <w:highlight w:val="none"/>
              </w:rPr>
              <w:t>个月社保证明材料（</w:t>
            </w:r>
            <w:r>
              <w:rPr>
                <w:rFonts w:hint="eastAsia" w:ascii="宋体" w:hAnsi="宋体" w:eastAsia="宋体" w:cs="宋体"/>
                <w:color w:val="auto"/>
                <w:szCs w:val="22"/>
                <w:highlight w:val="none"/>
                <w:lang w:bidi="ar"/>
              </w:rPr>
              <w:t>不含投标截止当月</w:t>
            </w:r>
            <w:r>
              <w:rPr>
                <w:rFonts w:hint="eastAsia" w:ascii="宋体" w:hAnsi="宋体" w:eastAsia="宋体" w:cs="宋体"/>
                <w:color w:val="auto"/>
                <w:szCs w:val="22"/>
                <w:highlight w:val="none"/>
              </w:rPr>
              <w:t>）</w:t>
            </w:r>
            <w:r>
              <w:rPr>
                <w:rFonts w:hint="eastAsia" w:ascii="宋体" w:hAnsi="宋体" w:eastAsia="宋体" w:cs="宋体"/>
                <w:color w:val="auto"/>
                <w:szCs w:val="21"/>
                <w:highlight w:val="none"/>
              </w:rPr>
              <w:t>在本单位购买社保的证明材料）。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1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1167"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741"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1106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Cs w:val="22"/>
                <w:highlight w:val="none"/>
              </w:rPr>
            </w:pPr>
            <w:r>
              <w:rPr>
                <w:rFonts w:hint="eastAsia" w:ascii="宋体" w:hAnsi="宋体" w:eastAsia="宋体" w:cs="宋体"/>
                <w:color w:val="auto"/>
                <w:szCs w:val="21"/>
                <w:highlight w:val="none"/>
              </w:rPr>
              <w:t>二、</w:t>
            </w:r>
            <w:r>
              <w:rPr>
                <w:rFonts w:hint="eastAsia" w:ascii="宋体" w:hAnsi="宋体" w:eastAsia="宋体" w:cs="宋体"/>
                <w:b/>
                <w:bCs/>
                <w:color w:val="auto"/>
                <w:szCs w:val="21"/>
                <w:highlight w:val="none"/>
              </w:rPr>
              <w:t>安全负责人（1名）</w:t>
            </w:r>
            <w:r>
              <w:rPr>
                <w:rFonts w:hint="eastAsia" w:ascii="宋体" w:hAnsi="宋体" w:eastAsia="宋体" w:cs="宋体"/>
                <w:color w:val="auto"/>
                <w:szCs w:val="21"/>
                <w:highlight w:val="none"/>
              </w:rPr>
              <w:t>：</w:t>
            </w:r>
          </w:p>
          <w:p>
            <w:pPr>
              <w:keepNext w:val="0"/>
              <w:keepLines w:val="0"/>
              <w:widowControl/>
              <w:suppressLineNumbers w:val="0"/>
              <w:shd w:val="clear" w:color="auto" w:fill="FFFFFF"/>
              <w:spacing w:before="0" w:beforeAutospacing="0" w:after="0" w:afterAutospacing="0" w:line="320" w:lineRule="exact"/>
              <w:ind w:left="0" w:right="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color w:val="auto"/>
                <w:szCs w:val="22"/>
                <w:highlight w:val="none"/>
                <w:lang w:bidi="ar"/>
              </w:rPr>
              <w:t>具有</w:t>
            </w:r>
            <w:r>
              <w:rPr>
                <w:rFonts w:hint="eastAsia" w:ascii="宋体" w:hAnsi="宋体" w:eastAsia="宋体" w:cs="宋体"/>
                <w:color w:val="auto"/>
                <w:szCs w:val="22"/>
                <w:highlight w:val="none"/>
              </w:rPr>
              <w:t>园林绿化类</w:t>
            </w:r>
            <w:r>
              <w:rPr>
                <w:rFonts w:hint="eastAsia" w:ascii="宋体" w:hAnsi="宋体" w:eastAsia="宋体" w:cs="宋体"/>
                <w:color w:val="auto"/>
                <w:szCs w:val="22"/>
                <w:highlight w:val="none"/>
                <w:lang w:bidi="ar"/>
              </w:rPr>
              <w:t>专业</w:t>
            </w:r>
            <w:r>
              <w:rPr>
                <w:rFonts w:hint="eastAsia" w:ascii="宋体" w:hAnsi="宋体" w:eastAsia="宋体" w:cs="宋体"/>
                <w:color w:val="auto"/>
                <w:szCs w:val="22"/>
                <w:highlight w:val="none"/>
                <w:lang w:eastAsia="zh-CN" w:bidi="ar"/>
              </w:rPr>
              <w:t>中级或以上</w:t>
            </w:r>
            <w:r>
              <w:rPr>
                <w:rFonts w:hint="eastAsia" w:ascii="宋体" w:hAnsi="宋体" w:eastAsia="宋体" w:cs="宋体"/>
                <w:color w:val="auto"/>
                <w:szCs w:val="22"/>
                <w:highlight w:val="none"/>
                <w:lang w:bidi="ar"/>
              </w:rPr>
              <w:t>技术职称的，得</w:t>
            </w:r>
            <w:r>
              <w:rPr>
                <w:rFonts w:hint="eastAsia" w:ascii="宋体" w:hAnsi="宋体" w:eastAsia="宋体" w:cs="宋体"/>
                <w:color w:val="auto"/>
                <w:szCs w:val="22"/>
                <w:highlight w:val="none"/>
                <w:lang w:val="en-US" w:eastAsia="zh-CN" w:bidi="ar"/>
              </w:rPr>
              <w:t>3</w:t>
            </w:r>
            <w:r>
              <w:rPr>
                <w:rFonts w:hint="eastAsia" w:ascii="宋体" w:hAnsi="宋体" w:eastAsia="宋体" w:cs="宋体"/>
                <w:color w:val="auto"/>
                <w:szCs w:val="22"/>
                <w:highlight w:val="none"/>
                <w:lang w:bidi="ar"/>
              </w:rPr>
              <w:t>分，无或其他不得分</w:t>
            </w:r>
            <w:r>
              <w:rPr>
                <w:rFonts w:hint="eastAsia" w:ascii="宋体" w:hAnsi="宋体" w:eastAsia="宋体" w:cs="宋体"/>
                <w:bCs/>
                <w:color w:val="auto"/>
                <w:szCs w:val="21"/>
                <w:highlight w:val="none"/>
              </w:rPr>
              <w:t>；</w:t>
            </w:r>
          </w:p>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bCs/>
                <w:color w:val="auto"/>
                <w:szCs w:val="21"/>
                <w:highlight w:val="none"/>
                <w:lang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、具有专职安全员须具有在有效期内的安全生产考核合格证书（C类）或建筑施工企业专职安全生产管理人员安全生产考核合格证书（C3）的</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分，无或其他不得分。</w:t>
            </w:r>
          </w:p>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注：本项最高得</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分，须相应提供职称证</w:t>
            </w:r>
            <w:r>
              <w:rPr>
                <w:rFonts w:hint="eastAsia" w:ascii="宋体" w:hAnsi="宋体" w:eastAsia="宋体" w:cs="宋体"/>
                <w:bCs/>
                <w:color w:val="auto"/>
                <w:szCs w:val="21"/>
                <w:highlight w:val="none"/>
                <w:lang w:eastAsia="zh-CN"/>
              </w:rPr>
              <w:t>、考核合格证书</w:t>
            </w:r>
            <w:r>
              <w:rPr>
                <w:rFonts w:hint="eastAsia" w:ascii="宋体" w:hAnsi="宋体" w:eastAsia="宋体" w:cs="宋体"/>
                <w:color w:val="auto"/>
                <w:szCs w:val="24"/>
                <w:highlight w:val="none"/>
              </w:rPr>
              <w:t>及</w:t>
            </w:r>
            <w:r>
              <w:rPr>
                <w:rFonts w:hint="eastAsia" w:ascii="宋体" w:hAnsi="宋体" w:eastAsia="宋体" w:cs="宋体"/>
                <w:color w:val="auto"/>
                <w:szCs w:val="22"/>
                <w:highlight w:val="none"/>
              </w:rPr>
              <w:t>投标截止时间前近</w:t>
            </w:r>
            <w:r>
              <w:rPr>
                <w:rFonts w:hint="eastAsia" w:ascii="宋体" w:hAnsi="宋体" w:eastAsia="宋体" w:cs="宋体"/>
                <w:color w:val="auto"/>
                <w:szCs w:val="22"/>
                <w:highlight w:val="none"/>
                <w:lang w:val="en-US" w:eastAsia="zh-CN"/>
              </w:rPr>
              <w:t>1</w:t>
            </w:r>
            <w:r>
              <w:rPr>
                <w:rFonts w:hint="eastAsia" w:ascii="宋体" w:hAnsi="宋体" w:eastAsia="宋体" w:cs="宋体"/>
                <w:color w:val="auto"/>
                <w:szCs w:val="22"/>
                <w:highlight w:val="none"/>
              </w:rPr>
              <w:t>个月社保证明材料（</w:t>
            </w:r>
            <w:r>
              <w:rPr>
                <w:rFonts w:hint="eastAsia" w:ascii="宋体" w:hAnsi="宋体" w:eastAsia="宋体" w:cs="宋体"/>
                <w:color w:val="auto"/>
                <w:szCs w:val="22"/>
                <w:highlight w:val="none"/>
                <w:lang w:bidi="ar"/>
              </w:rPr>
              <w:t>不含投标截止当月</w:t>
            </w:r>
            <w:r>
              <w:rPr>
                <w:rFonts w:hint="eastAsia" w:ascii="宋体" w:hAnsi="宋体" w:eastAsia="宋体" w:cs="宋体"/>
                <w:color w:val="auto"/>
                <w:szCs w:val="22"/>
                <w:highlight w:val="none"/>
              </w:rPr>
              <w:t>）</w:t>
            </w:r>
            <w:r>
              <w:rPr>
                <w:rFonts w:hint="eastAsia" w:ascii="宋体" w:hAnsi="宋体" w:eastAsia="宋体" w:cs="宋体"/>
                <w:color w:val="auto"/>
                <w:szCs w:val="24"/>
                <w:highlight w:val="none"/>
              </w:rPr>
              <w:t>在本单位购买社保的证明</w:t>
            </w:r>
            <w:r>
              <w:rPr>
                <w:rFonts w:hint="eastAsia" w:ascii="宋体" w:hAnsi="宋体" w:eastAsia="宋体" w:cs="宋体"/>
                <w:color w:val="auto"/>
                <w:szCs w:val="21"/>
                <w:highlight w:val="none"/>
              </w:rPr>
              <w:t>扫描件</w:t>
            </w:r>
            <w:r>
              <w:rPr>
                <w:rFonts w:hint="eastAsia" w:ascii="宋体" w:hAnsi="宋体" w:eastAsia="宋体" w:cs="宋体"/>
                <w:bCs/>
                <w:color w:val="auto"/>
                <w:szCs w:val="21"/>
                <w:highlight w:val="none"/>
              </w:rPr>
              <w:t>；同时提交注册安全工程师注册信息查询网站（https://zwfw.mem.gov.cn/zwthlw/pages/hlwmh/yyfw/zcaqgcscx/index.html）查询结果网页截图，能证明其注册在投标人单位，且状态有效方可计分</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9" w:hRule="atLeast"/>
          <w:jc w:val="center"/>
        </w:trPr>
        <w:tc>
          <w:tcPr>
            <w:tcW w:w="111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1167"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741"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110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三、</w:t>
            </w:r>
            <w:r>
              <w:rPr>
                <w:rFonts w:hint="eastAsia" w:ascii="宋体" w:hAnsi="宋体" w:eastAsia="宋体" w:cs="宋体"/>
                <w:b/>
                <w:bCs/>
                <w:color w:val="auto"/>
                <w:szCs w:val="22"/>
                <w:highlight w:val="none"/>
              </w:rPr>
              <w:t>造价负责人（1名）</w:t>
            </w:r>
            <w:r>
              <w:rPr>
                <w:rFonts w:hint="eastAsia" w:ascii="宋体" w:hAnsi="宋体" w:eastAsia="宋体" w:cs="宋体"/>
                <w:color w:val="auto"/>
                <w:szCs w:val="22"/>
                <w:highlight w:val="none"/>
              </w:rPr>
              <w:t>：</w:t>
            </w:r>
          </w:p>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bCs/>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bCs/>
                <w:color w:val="auto"/>
                <w:szCs w:val="21"/>
                <w:highlight w:val="none"/>
              </w:rPr>
              <w:t>具有有效期内的注册造价工程师（或注册一级造价工程师）证书的，得2分，</w:t>
            </w:r>
            <w:r>
              <w:rPr>
                <w:rFonts w:hint="eastAsia" w:ascii="宋体" w:hAnsi="宋体" w:eastAsia="宋体" w:cs="宋体"/>
                <w:color w:val="auto"/>
                <w:szCs w:val="22"/>
                <w:highlight w:val="none"/>
                <w:lang w:bidi="ar"/>
              </w:rPr>
              <w:t>无或其他不得分</w:t>
            </w:r>
            <w:r>
              <w:rPr>
                <w:rFonts w:hint="eastAsia" w:ascii="宋体" w:hAnsi="宋体" w:eastAsia="宋体" w:cs="宋体"/>
                <w:bCs/>
                <w:color w:val="auto"/>
                <w:szCs w:val="21"/>
                <w:highlight w:val="none"/>
                <w:lang w:eastAsia="zh-CN"/>
              </w:rPr>
              <w:t>。</w:t>
            </w:r>
          </w:p>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bCs/>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bCs/>
                <w:color w:val="auto"/>
                <w:szCs w:val="21"/>
                <w:highlight w:val="none"/>
              </w:rPr>
              <w:t>具有工程造价类专业</w:t>
            </w:r>
            <w:r>
              <w:rPr>
                <w:rFonts w:hint="eastAsia" w:ascii="宋体" w:hAnsi="宋体" w:eastAsia="宋体" w:cs="宋体"/>
                <w:color w:val="auto"/>
                <w:szCs w:val="22"/>
                <w:highlight w:val="none"/>
                <w:lang w:eastAsia="zh-CN" w:bidi="ar"/>
              </w:rPr>
              <w:t>中级或以上</w:t>
            </w:r>
            <w:r>
              <w:rPr>
                <w:rFonts w:hint="eastAsia" w:ascii="宋体" w:hAnsi="宋体" w:eastAsia="宋体" w:cs="宋体"/>
                <w:color w:val="auto"/>
                <w:szCs w:val="22"/>
                <w:highlight w:val="none"/>
                <w:lang w:bidi="ar"/>
              </w:rPr>
              <w:t>技术职称的，</w:t>
            </w:r>
            <w:r>
              <w:rPr>
                <w:rFonts w:hint="eastAsia" w:ascii="宋体" w:hAnsi="宋体" w:eastAsia="宋体" w:cs="宋体"/>
                <w:bCs/>
                <w:color w:val="auto"/>
                <w:szCs w:val="21"/>
                <w:highlight w:val="none"/>
              </w:rPr>
              <w:t>得</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分</w:t>
            </w:r>
            <w:r>
              <w:rPr>
                <w:rFonts w:hint="eastAsia" w:ascii="宋体" w:hAnsi="宋体" w:eastAsia="宋体" w:cs="宋体"/>
                <w:bCs/>
                <w:color w:val="auto"/>
                <w:szCs w:val="21"/>
                <w:highlight w:val="none"/>
                <w:lang w:eastAsia="zh-CN"/>
              </w:rPr>
              <w:t>；</w:t>
            </w:r>
            <w:r>
              <w:rPr>
                <w:rFonts w:hint="eastAsia" w:ascii="宋体" w:hAnsi="宋体" w:eastAsia="宋体" w:cs="宋体"/>
                <w:color w:val="auto"/>
                <w:szCs w:val="22"/>
                <w:highlight w:val="none"/>
                <w:lang w:bidi="ar"/>
              </w:rPr>
              <w:t>无或其他不得分</w:t>
            </w:r>
            <w:r>
              <w:rPr>
                <w:rFonts w:hint="eastAsia" w:ascii="宋体" w:hAnsi="宋体" w:eastAsia="宋体" w:cs="宋体"/>
                <w:bCs/>
                <w:color w:val="auto"/>
                <w:szCs w:val="21"/>
                <w:highlight w:val="none"/>
                <w:lang w:eastAsia="zh-CN"/>
              </w:rPr>
              <w:t>。</w:t>
            </w:r>
          </w:p>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w:t>
            </w:r>
            <w:r>
              <w:rPr>
                <w:rFonts w:hint="eastAsia" w:ascii="宋体" w:hAnsi="宋体" w:eastAsia="宋体" w:cs="宋体"/>
                <w:color w:val="auto"/>
                <w:szCs w:val="21"/>
                <w:highlight w:val="none"/>
              </w:rPr>
              <w:t>①</w:t>
            </w:r>
            <w:r>
              <w:rPr>
                <w:rFonts w:hint="eastAsia" w:ascii="宋体" w:hAnsi="宋体" w:eastAsia="宋体" w:cs="宋体"/>
                <w:bCs/>
                <w:color w:val="auto"/>
                <w:szCs w:val="21"/>
                <w:highlight w:val="none"/>
              </w:rPr>
              <w:t>本项最高得</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分，须相应提供职称证、注册证</w:t>
            </w:r>
            <w:r>
              <w:rPr>
                <w:rFonts w:hint="eastAsia" w:ascii="宋体" w:hAnsi="宋体" w:eastAsia="宋体" w:cs="宋体"/>
                <w:color w:val="auto"/>
                <w:szCs w:val="24"/>
                <w:highlight w:val="none"/>
              </w:rPr>
              <w:t>及</w:t>
            </w:r>
            <w:r>
              <w:rPr>
                <w:rFonts w:hint="eastAsia" w:ascii="宋体" w:hAnsi="宋体" w:eastAsia="宋体" w:cs="宋体"/>
                <w:color w:val="auto"/>
                <w:szCs w:val="22"/>
                <w:highlight w:val="none"/>
              </w:rPr>
              <w:t>投标截止时间前近</w:t>
            </w:r>
            <w:r>
              <w:rPr>
                <w:rFonts w:hint="eastAsia" w:ascii="宋体" w:hAnsi="宋体" w:eastAsia="宋体" w:cs="宋体"/>
                <w:color w:val="auto"/>
                <w:szCs w:val="22"/>
                <w:highlight w:val="none"/>
                <w:lang w:val="en-US" w:eastAsia="zh-CN"/>
              </w:rPr>
              <w:t>1</w:t>
            </w:r>
            <w:r>
              <w:rPr>
                <w:rFonts w:hint="eastAsia" w:ascii="宋体" w:hAnsi="宋体" w:eastAsia="宋体" w:cs="宋体"/>
                <w:color w:val="auto"/>
                <w:szCs w:val="22"/>
                <w:highlight w:val="none"/>
              </w:rPr>
              <w:t>个月社保证明材料（</w:t>
            </w:r>
            <w:r>
              <w:rPr>
                <w:rFonts w:hint="eastAsia" w:ascii="宋体" w:hAnsi="宋体" w:eastAsia="宋体" w:cs="宋体"/>
                <w:color w:val="auto"/>
                <w:szCs w:val="22"/>
                <w:highlight w:val="none"/>
                <w:lang w:bidi="ar"/>
              </w:rPr>
              <w:t>不含投标截止当月</w:t>
            </w:r>
            <w:r>
              <w:rPr>
                <w:rFonts w:hint="eastAsia" w:ascii="宋体" w:hAnsi="宋体" w:eastAsia="宋体" w:cs="宋体"/>
                <w:color w:val="auto"/>
                <w:szCs w:val="22"/>
                <w:highlight w:val="none"/>
              </w:rPr>
              <w:t>）</w:t>
            </w:r>
            <w:r>
              <w:rPr>
                <w:rFonts w:hint="eastAsia" w:ascii="宋体" w:hAnsi="宋体" w:eastAsia="宋体" w:cs="宋体"/>
                <w:color w:val="auto"/>
                <w:szCs w:val="24"/>
                <w:highlight w:val="none"/>
              </w:rPr>
              <w:t>在本单位购买社保的证明</w:t>
            </w:r>
            <w:r>
              <w:rPr>
                <w:rFonts w:hint="eastAsia" w:ascii="宋体" w:hAnsi="宋体" w:eastAsia="宋体" w:cs="宋体"/>
                <w:color w:val="auto"/>
                <w:szCs w:val="21"/>
                <w:highlight w:val="none"/>
              </w:rPr>
              <w:t>扫描件</w:t>
            </w:r>
            <w:r>
              <w:rPr>
                <w:rFonts w:hint="eastAsia" w:ascii="宋体" w:hAnsi="宋体" w:eastAsia="宋体" w:cs="宋体"/>
                <w:bCs/>
                <w:color w:val="auto"/>
                <w:szCs w:val="21"/>
                <w:highlight w:val="none"/>
              </w:rPr>
              <w:t>；同时提交注册造价工程师注册信息查询网站（http://zaojiasys.jianshe99.com/cecaopsys/queryAndSearch/view.do?op=queryUserInfoInit）查询结果网页截图，能证明其注册在投标人的总公司，且状态有效方可计分</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 xml:space="preserve"> </w:t>
            </w:r>
          </w:p>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bCs/>
                <w:color w:val="auto"/>
                <w:szCs w:val="21"/>
                <w:highlight w:val="none"/>
                <w:lang w:eastAsia="zh-CN"/>
              </w:rPr>
            </w:pPr>
            <w:r>
              <w:rPr>
                <w:rFonts w:hint="eastAsia" w:ascii="宋体" w:hAnsi="宋体" w:eastAsia="宋体" w:cs="宋体"/>
                <w:color w:val="auto"/>
                <w:szCs w:val="21"/>
                <w:highlight w:val="none"/>
              </w:rPr>
              <w:t>②</w:t>
            </w:r>
            <w:r>
              <w:rPr>
                <w:rFonts w:hint="eastAsia" w:ascii="宋体" w:hAnsi="宋体" w:eastAsia="宋体" w:cs="宋体"/>
                <w:bCs/>
                <w:color w:val="auto"/>
                <w:szCs w:val="21"/>
                <w:highlight w:val="none"/>
              </w:rPr>
              <w:t>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r>
              <w:rPr>
                <w:rFonts w:hint="eastAsia" w:ascii="宋体" w:hAnsi="宋体" w:eastAsia="宋体" w:cs="宋体"/>
                <w:bCs/>
                <w:color w:val="auto"/>
                <w:szCs w:val="21"/>
                <w:highlight w:val="none"/>
                <w:lang w:eastAsia="zh-CN"/>
              </w:rPr>
              <w:t>。</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111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1167"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741"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11060" w:type="dxa"/>
            <w:tcBorders>
              <w:top w:val="single" w:color="auto" w:sz="4" w:space="0"/>
              <w:left w:val="nil"/>
              <w:bottom w:val="single" w:color="auto" w:sz="4" w:space="0"/>
              <w:right w:val="single" w:color="auto" w:sz="4" w:space="0"/>
            </w:tcBorders>
            <w:vAlign w:val="center"/>
          </w:tcPr>
          <w:p>
            <w:pPr>
              <w:pStyle w:val="8"/>
              <w:keepNext w:val="0"/>
              <w:keepLines w:val="0"/>
              <w:suppressLineNumbers w:val="0"/>
              <w:spacing w:before="0" w:beforeAutospacing="0" w:afterAutospacing="0"/>
              <w:ind w:left="0" w:right="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eastAsia="zh-CN"/>
              </w:rPr>
              <w:t>四</w:t>
            </w:r>
            <w:r>
              <w:rPr>
                <w:rFonts w:hint="eastAsia" w:ascii="宋体" w:hAnsi="宋体" w:eastAsia="宋体" w:cs="宋体"/>
                <w:b/>
                <w:bCs/>
                <w:color w:val="auto"/>
                <w:szCs w:val="21"/>
                <w:highlight w:val="none"/>
              </w:rPr>
              <w:t>、其他技术管理人员要求（除项目负责人、技术负责人、造价负责人、安全负责人外）</w:t>
            </w:r>
            <w:r>
              <w:rPr>
                <w:rFonts w:hint="eastAsia" w:ascii="宋体" w:hAnsi="宋体" w:eastAsia="宋体" w:cs="宋体"/>
                <w:color w:val="auto"/>
                <w:szCs w:val="21"/>
                <w:highlight w:val="none"/>
              </w:rPr>
              <w:t>：</w:t>
            </w:r>
          </w:p>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b/>
                <w:bCs/>
                <w:color w:val="auto"/>
                <w:szCs w:val="22"/>
                <w:highlight w:val="none"/>
                <w:lang w:val="en-US" w:eastAsia="zh-CN"/>
              </w:rPr>
            </w:pPr>
            <w:r>
              <w:rPr>
                <w:rFonts w:hint="eastAsia" w:ascii="宋体" w:hAnsi="宋体" w:eastAsia="宋体" w:cs="宋体"/>
                <w:b/>
                <w:bCs/>
                <w:color w:val="auto"/>
                <w:szCs w:val="22"/>
                <w:highlight w:val="none"/>
                <w:lang w:val="en-US" w:eastAsia="zh-CN"/>
              </w:rPr>
              <w:t>1、园林绿化专业工程师（1名）</w:t>
            </w:r>
          </w:p>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b/>
                <w:bCs/>
                <w:color w:val="auto"/>
                <w:szCs w:val="22"/>
                <w:highlight w:val="none"/>
                <w:lang w:val="en-US" w:eastAsia="zh-CN"/>
              </w:rPr>
            </w:pPr>
            <w:r>
              <w:rPr>
                <w:rFonts w:hint="eastAsia" w:ascii="宋体" w:hAnsi="宋体" w:eastAsia="宋体" w:cs="宋体"/>
                <w:color w:val="auto"/>
                <w:szCs w:val="22"/>
                <w:highlight w:val="none"/>
                <w:lang w:bidi="ar"/>
              </w:rPr>
              <w:t>具有</w:t>
            </w:r>
            <w:r>
              <w:rPr>
                <w:rFonts w:hint="eastAsia" w:ascii="宋体" w:hAnsi="宋体" w:eastAsia="宋体" w:cs="宋体"/>
                <w:color w:val="auto"/>
                <w:szCs w:val="22"/>
                <w:highlight w:val="none"/>
                <w:lang w:eastAsia="zh-CN" w:bidi="ar"/>
              </w:rPr>
              <w:t>园林绿化</w:t>
            </w:r>
            <w:r>
              <w:rPr>
                <w:rFonts w:hint="eastAsia" w:ascii="宋体" w:hAnsi="宋体" w:eastAsia="宋体" w:cs="宋体"/>
                <w:color w:val="auto"/>
                <w:szCs w:val="22"/>
                <w:highlight w:val="none"/>
                <w:lang w:bidi="ar"/>
              </w:rPr>
              <w:t>专业工程师</w:t>
            </w:r>
            <w:r>
              <w:rPr>
                <w:rFonts w:hint="eastAsia" w:ascii="宋体" w:hAnsi="宋体" w:eastAsia="宋体" w:cs="宋体"/>
                <w:color w:val="auto"/>
                <w:szCs w:val="22"/>
                <w:highlight w:val="none"/>
                <w:lang w:eastAsia="zh-CN" w:bidi="ar"/>
              </w:rPr>
              <w:t>中级或以上</w:t>
            </w:r>
            <w:r>
              <w:rPr>
                <w:rFonts w:hint="eastAsia" w:ascii="宋体" w:hAnsi="宋体" w:eastAsia="宋体" w:cs="宋体"/>
                <w:color w:val="auto"/>
                <w:szCs w:val="22"/>
                <w:highlight w:val="none"/>
                <w:lang w:bidi="ar"/>
              </w:rPr>
              <w:t>技术职称的，得</w:t>
            </w:r>
            <w:r>
              <w:rPr>
                <w:rFonts w:hint="eastAsia" w:ascii="宋体" w:hAnsi="宋体" w:eastAsia="宋体" w:cs="宋体"/>
                <w:color w:val="auto"/>
                <w:szCs w:val="22"/>
                <w:highlight w:val="none"/>
                <w:lang w:val="en-US" w:eastAsia="zh-CN" w:bidi="ar"/>
              </w:rPr>
              <w:t>4</w:t>
            </w:r>
            <w:r>
              <w:rPr>
                <w:rFonts w:hint="eastAsia" w:ascii="宋体" w:hAnsi="宋体" w:eastAsia="宋体" w:cs="宋体"/>
                <w:color w:val="auto"/>
                <w:szCs w:val="22"/>
                <w:highlight w:val="none"/>
                <w:lang w:bidi="ar"/>
              </w:rPr>
              <w:t>分，无或其他不得分。</w:t>
            </w:r>
          </w:p>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lang w:val="en-US" w:eastAsia="zh-CN"/>
              </w:rPr>
              <w:t>2、</w:t>
            </w:r>
            <w:r>
              <w:rPr>
                <w:rFonts w:hint="eastAsia" w:ascii="宋体" w:hAnsi="宋体" w:eastAsia="宋体" w:cs="宋体"/>
                <w:b/>
                <w:bCs/>
                <w:color w:val="auto"/>
                <w:szCs w:val="22"/>
                <w:highlight w:val="none"/>
              </w:rPr>
              <w:t>给排水专业工程师(1名)</w:t>
            </w:r>
          </w:p>
          <w:p>
            <w:pPr>
              <w:keepNext w:val="0"/>
              <w:keepLines w:val="0"/>
              <w:widowControl/>
              <w:suppressLineNumbers w:val="0"/>
              <w:shd w:val="clear" w:color="auto" w:fill="FFFFFF"/>
              <w:spacing w:before="0" w:beforeAutospacing="0" w:after="0" w:afterAutospacing="0" w:line="320" w:lineRule="exact"/>
              <w:ind w:left="0" w:right="0"/>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lang w:bidi="ar"/>
              </w:rPr>
              <w:t>具有给排水专业</w:t>
            </w:r>
            <w:r>
              <w:rPr>
                <w:rFonts w:hint="eastAsia" w:ascii="宋体" w:hAnsi="宋体" w:eastAsia="宋体" w:cs="宋体"/>
                <w:color w:val="auto"/>
                <w:szCs w:val="22"/>
                <w:highlight w:val="none"/>
                <w:lang w:eastAsia="zh-CN" w:bidi="ar"/>
              </w:rPr>
              <w:t>中级或以上</w:t>
            </w:r>
            <w:r>
              <w:rPr>
                <w:rFonts w:hint="eastAsia" w:ascii="宋体" w:hAnsi="宋体" w:eastAsia="宋体" w:cs="宋体"/>
                <w:color w:val="auto"/>
                <w:szCs w:val="22"/>
                <w:highlight w:val="none"/>
                <w:lang w:bidi="ar"/>
              </w:rPr>
              <w:t>技术职称的，得</w:t>
            </w:r>
            <w:r>
              <w:rPr>
                <w:rFonts w:hint="eastAsia" w:ascii="宋体" w:hAnsi="宋体" w:eastAsia="宋体" w:cs="宋体"/>
                <w:color w:val="auto"/>
                <w:szCs w:val="22"/>
                <w:highlight w:val="none"/>
                <w:lang w:val="en-US" w:eastAsia="zh-CN" w:bidi="ar"/>
              </w:rPr>
              <w:t>4</w:t>
            </w:r>
            <w:r>
              <w:rPr>
                <w:rFonts w:hint="eastAsia" w:ascii="宋体" w:hAnsi="宋体" w:eastAsia="宋体" w:cs="宋体"/>
                <w:color w:val="auto"/>
                <w:szCs w:val="22"/>
                <w:highlight w:val="none"/>
                <w:lang w:bidi="ar"/>
              </w:rPr>
              <w:t>分，无或其他不得分。</w:t>
            </w:r>
          </w:p>
          <w:p>
            <w:pPr>
              <w:keepNext w:val="0"/>
              <w:keepLines w:val="0"/>
              <w:widowControl/>
              <w:suppressLineNumbers w:val="0"/>
              <w:spacing w:before="0" w:beforeAutospacing="0" w:after="0" w:afterAutospacing="0" w:line="320" w:lineRule="exact"/>
              <w:ind w:left="0" w:right="0"/>
              <w:jc w:val="left"/>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lang w:val="en-US" w:eastAsia="zh-CN"/>
              </w:rPr>
              <w:t>3</w:t>
            </w:r>
            <w:r>
              <w:rPr>
                <w:rFonts w:hint="eastAsia" w:ascii="宋体" w:hAnsi="宋体" w:eastAsia="宋体" w:cs="宋体"/>
                <w:b/>
                <w:bCs/>
                <w:color w:val="auto"/>
                <w:szCs w:val="22"/>
                <w:highlight w:val="none"/>
              </w:rPr>
              <w:t>、测量专业工程师（1名）</w:t>
            </w:r>
          </w:p>
          <w:p>
            <w:pPr>
              <w:keepNext w:val="0"/>
              <w:keepLines w:val="0"/>
              <w:widowControl/>
              <w:suppressLineNumbers w:val="0"/>
              <w:shd w:val="clear" w:color="auto" w:fill="FFFFFF"/>
              <w:spacing w:before="0" w:beforeAutospacing="0" w:after="0" w:afterAutospacing="0" w:line="320" w:lineRule="exact"/>
              <w:ind w:left="0" w:right="0"/>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lang w:bidi="ar"/>
              </w:rPr>
              <w:t>具有给</w:t>
            </w:r>
            <w:r>
              <w:rPr>
                <w:rFonts w:hint="eastAsia" w:ascii="宋体" w:hAnsi="宋体" w:eastAsia="宋体" w:cs="宋体"/>
                <w:bCs/>
                <w:color w:val="auto"/>
                <w:szCs w:val="21"/>
                <w:highlight w:val="none"/>
              </w:rPr>
              <w:t>测量专业</w:t>
            </w:r>
            <w:r>
              <w:rPr>
                <w:rFonts w:hint="eastAsia" w:ascii="宋体" w:hAnsi="宋体" w:eastAsia="宋体" w:cs="宋体"/>
                <w:color w:val="auto"/>
                <w:szCs w:val="22"/>
                <w:highlight w:val="none"/>
                <w:lang w:eastAsia="zh-CN" w:bidi="ar"/>
              </w:rPr>
              <w:t>中级或以上</w:t>
            </w:r>
            <w:r>
              <w:rPr>
                <w:rFonts w:hint="eastAsia" w:ascii="宋体" w:hAnsi="宋体" w:eastAsia="宋体" w:cs="宋体"/>
                <w:color w:val="auto"/>
                <w:szCs w:val="22"/>
                <w:highlight w:val="none"/>
                <w:lang w:bidi="ar"/>
              </w:rPr>
              <w:t>技术职称的，得</w:t>
            </w:r>
            <w:r>
              <w:rPr>
                <w:rFonts w:hint="eastAsia" w:ascii="宋体" w:hAnsi="宋体" w:eastAsia="宋体" w:cs="宋体"/>
                <w:color w:val="auto"/>
                <w:szCs w:val="22"/>
                <w:highlight w:val="none"/>
                <w:lang w:val="en-US" w:eastAsia="zh-CN" w:bidi="ar"/>
              </w:rPr>
              <w:t>4</w:t>
            </w:r>
            <w:r>
              <w:rPr>
                <w:rFonts w:hint="eastAsia" w:ascii="宋体" w:hAnsi="宋体" w:eastAsia="宋体" w:cs="宋体"/>
                <w:color w:val="auto"/>
                <w:szCs w:val="22"/>
                <w:highlight w:val="none"/>
                <w:lang w:bidi="ar"/>
              </w:rPr>
              <w:t>分，无或其他不得分。</w:t>
            </w:r>
          </w:p>
          <w:p>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注：不提供相关证书或不符合上述条件的不得分。须提供相应证书扫描件（职称证）、</w:t>
            </w:r>
            <w:r>
              <w:rPr>
                <w:rFonts w:hint="eastAsia" w:ascii="宋体" w:hAnsi="宋体" w:eastAsia="宋体" w:cs="宋体"/>
                <w:color w:val="auto"/>
                <w:szCs w:val="22"/>
                <w:highlight w:val="none"/>
              </w:rPr>
              <w:t>投标截止时间前近</w:t>
            </w:r>
            <w:r>
              <w:rPr>
                <w:rFonts w:hint="eastAsia" w:ascii="宋体" w:hAnsi="宋体" w:eastAsia="宋体" w:cs="宋体"/>
                <w:color w:val="auto"/>
                <w:szCs w:val="22"/>
                <w:highlight w:val="none"/>
                <w:lang w:val="en-US" w:eastAsia="zh-CN"/>
              </w:rPr>
              <w:t>1</w:t>
            </w:r>
            <w:r>
              <w:rPr>
                <w:rFonts w:hint="eastAsia" w:ascii="宋体" w:hAnsi="宋体" w:eastAsia="宋体" w:cs="宋体"/>
                <w:color w:val="auto"/>
                <w:szCs w:val="22"/>
                <w:highlight w:val="none"/>
              </w:rPr>
              <w:t>个月社保证明材料（</w:t>
            </w:r>
            <w:r>
              <w:rPr>
                <w:rFonts w:hint="eastAsia" w:ascii="宋体" w:hAnsi="宋体" w:eastAsia="宋体" w:cs="宋体"/>
                <w:color w:val="auto"/>
                <w:szCs w:val="22"/>
                <w:highlight w:val="none"/>
                <w:lang w:bidi="ar"/>
              </w:rPr>
              <w:t>不含投标截止当月</w:t>
            </w:r>
            <w:r>
              <w:rPr>
                <w:rFonts w:hint="eastAsia" w:ascii="宋体" w:hAnsi="宋体" w:eastAsia="宋体" w:cs="宋体"/>
                <w:color w:val="auto"/>
                <w:szCs w:val="22"/>
                <w:highlight w:val="none"/>
              </w:rPr>
              <w:t>）在本单位购买社保的证明材料。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jc w:val="center"/>
        </w:trPr>
        <w:tc>
          <w:tcPr>
            <w:tcW w:w="11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二、机械设备投入情况</w:t>
            </w:r>
          </w:p>
        </w:tc>
        <w:tc>
          <w:tcPr>
            <w:tcW w:w="116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机械设备</w:t>
            </w:r>
          </w:p>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配备</w:t>
            </w:r>
          </w:p>
        </w:tc>
        <w:tc>
          <w:tcPr>
            <w:tcW w:w="74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1060"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为满足施工要求，配备机械设备如下：货车3台、洒水车3台。</w:t>
            </w:r>
          </w:p>
          <w:p>
            <w:pPr>
              <w:keepNext w:val="0"/>
              <w:keepLines w:val="0"/>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得分规则：自有和租赁设备视为同等施工能力，齐全得1</w:t>
            </w:r>
            <w:r>
              <w:rPr>
                <w:rFonts w:hint="eastAsia" w:ascii="宋体" w:hAnsi="宋体" w:eastAsia="宋体" w:cs="宋体"/>
                <w:b w:val="0"/>
                <w:bCs w:val="0"/>
                <w:color w:val="auto"/>
                <w:szCs w:val="21"/>
                <w:highlight w:val="none"/>
                <w:u w:val="none"/>
              </w:rPr>
              <w:t>0分。每缺少一台设备或每出现一台设备证明资料提供不齐全的扣</w:t>
            </w:r>
            <w:r>
              <w:rPr>
                <w:rFonts w:hint="eastAsia" w:ascii="宋体" w:hAnsi="宋体" w:eastAsia="宋体" w:cs="宋体"/>
                <w:b w:val="0"/>
                <w:bCs w:val="0"/>
                <w:color w:val="auto"/>
                <w:szCs w:val="21"/>
                <w:highlight w:val="none"/>
                <w:u w:val="none"/>
                <w:lang w:val="en-US" w:eastAsia="zh-CN"/>
              </w:rPr>
              <w:t>2</w:t>
            </w:r>
            <w:r>
              <w:rPr>
                <w:rFonts w:hint="eastAsia" w:ascii="宋体" w:hAnsi="宋体" w:eastAsia="宋体" w:cs="宋体"/>
                <w:b w:val="0"/>
                <w:bCs w:val="0"/>
                <w:color w:val="auto"/>
                <w:szCs w:val="21"/>
                <w:highlight w:val="none"/>
                <w:u w:val="none"/>
              </w:rPr>
              <w:t>分，最多扣10分。不提供相关证书或不符合上述条件</w:t>
            </w:r>
            <w:r>
              <w:rPr>
                <w:rFonts w:hint="eastAsia" w:ascii="宋体" w:hAnsi="宋体" w:eastAsia="宋体" w:cs="宋体"/>
                <w:color w:val="auto"/>
                <w:szCs w:val="21"/>
                <w:highlight w:val="none"/>
              </w:rPr>
              <w:t>的不得分。</w:t>
            </w:r>
          </w:p>
          <w:p>
            <w:pPr>
              <w:keepNext w:val="0"/>
              <w:keepLines w:val="0"/>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注：设备证明材料须按如下要求提供：设备为自有的，提供设备发票及有效的行驶证复印件并加盖公章；如为租赁的，须提供有效的租赁合同（租赁</w:t>
            </w:r>
            <w:r>
              <w:rPr>
                <w:rFonts w:hint="eastAsia" w:ascii="宋体" w:hAnsi="宋体" w:eastAsia="宋体" w:cs="宋体"/>
                <w:color w:val="auto"/>
                <w:szCs w:val="21"/>
                <w:highlight w:val="none"/>
                <w:lang w:eastAsia="zh-CN"/>
              </w:rPr>
              <w:t>期满足本项目总工期</w:t>
            </w:r>
            <w:r>
              <w:rPr>
                <w:rFonts w:hint="eastAsia" w:ascii="宋体" w:hAnsi="宋体" w:eastAsia="宋体" w:cs="宋体"/>
                <w:color w:val="auto"/>
                <w:szCs w:val="21"/>
                <w:highlight w:val="none"/>
              </w:rPr>
              <w:t>）、出租方购买机械设备的发票复印件或承租方缴纳的租金发票复印件及有效的行驶证复印件并加盖公章。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jc w:val="center"/>
        </w:trPr>
        <w:tc>
          <w:tcPr>
            <w:tcW w:w="11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三、企业施工经验</w:t>
            </w:r>
          </w:p>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rPr>
            </w:pPr>
          </w:p>
        </w:tc>
        <w:tc>
          <w:tcPr>
            <w:tcW w:w="116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类似业绩</w:t>
            </w:r>
          </w:p>
        </w:tc>
        <w:tc>
          <w:tcPr>
            <w:tcW w:w="74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11060"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得分规则：企业自2021年1月1日至今已完成过质量合格的类似业绩</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类似业绩指中标金额大于或等于</w:t>
            </w:r>
            <w:r>
              <w:rPr>
                <w:rFonts w:hint="eastAsia" w:ascii="宋体" w:hAnsi="宋体" w:eastAsia="宋体" w:cs="宋体"/>
                <w:color w:val="auto"/>
                <w:szCs w:val="21"/>
                <w:highlight w:val="none"/>
                <w:lang w:val="en-US" w:eastAsia="zh-CN"/>
              </w:rPr>
              <w:t>800</w:t>
            </w:r>
            <w:r>
              <w:rPr>
                <w:rFonts w:hint="eastAsia" w:ascii="宋体" w:hAnsi="宋体" w:eastAsia="宋体" w:cs="宋体"/>
                <w:color w:val="auto"/>
                <w:szCs w:val="21"/>
                <w:highlight w:val="none"/>
              </w:rPr>
              <w:t>万元的园林绿化施工项目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，每项得</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分，本项最多得30分。</w:t>
            </w:r>
          </w:p>
          <w:p>
            <w:pPr>
              <w:keepNext w:val="0"/>
              <w:keepLines w:val="0"/>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注：</w:t>
            </w:r>
            <w:r>
              <w:rPr>
                <w:rFonts w:hint="eastAsia" w:ascii="宋体" w:hAnsi="宋体" w:eastAsia="宋体" w:cs="宋体"/>
                <w:color w:val="auto"/>
                <w:szCs w:val="21"/>
                <w:highlight w:val="none"/>
              </w:rPr>
              <w:t>①业绩取自广州公共资源交易中心城市园林绿化企业工程业绩库。②业绩金额以中标通知书为准，中标通知书上没有金额或免招标的，以施工合同（不含补充合同）为准，完成时间以竣工验收时间为准。③由总承包单位依法分包的园林绿化工程业绩，需提供经业主和总承包单位确认的分包合同、竣工验收报告或竣工验收证明。④属于联合体业绩的，按中标通知书金额乘以联合体双方盖章确认的协议书比例为准或施工合同（不含补充合同）的金额为准。提交的业绩证明材料不齐全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1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四、其他评审内容</w:t>
            </w:r>
          </w:p>
        </w:tc>
        <w:tc>
          <w:tcPr>
            <w:tcW w:w="116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其他评审内容</w:t>
            </w:r>
          </w:p>
        </w:tc>
        <w:tc>
          <w:tcPr>
            <w:tcW w:w="74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1060"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同时</w:t>
            </w:r>
            <w:r>
              <w:rPr>
                <w:rFonts w:hint="eastAsia" w:ascii="宋体" w:hAnsi="宋体" w:eastAsia="宋体" w:cs="宋体"/>
                <w:color w:val="auto"/>
                <w:szCs w:val="21"/>
                <w:highlight w:val="none"/>
              </w:rPr>
              <w:t>具有质量管理体系认证证书、环境管理体系认证证书、职业健康安全管理体系认证证书，得1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；每缺一种扣</w:t>
            </w:r>
            <w:r>
              <w:rPr>
                <w:rFonts w:hint="eastAsia" w:ascii="宋体" w:hAnsi="宋体" w:eastAsia="宋体" w:cs="宋体"/>
                <w:color w:val="auto"/>
                <w:szCs w:val="21"/>
                <w:highlight w:val="none"/>
                <w:lang w:val="en-US" w:eastAsia="zh-CN"/>
              </w:rPr>
              <w:t>4分，扣完为止</w:t>
            </w:r>
            <w:r>
              <w:rPr>
                <w:rFonts w:hint="eastAsia" w:ascii="宋体" w:hAnsi="宋体" w:eastAsia="宋体" w:cs="宋体"/>
                <w:color w:val="auto"/>
                <w:szCs w:val="21"/>
                <w:highlight w:val="none"/>
              </w:rPr>
              <w:t>。(认证证书须在有效期内)</w:t>
            </w:r>
          </w:p>
        </w:tc>
      </w:tr>
    </w:tbl>
    <w:p>
      <w:pPr>
        <w:widowControl/>
        <w:spacing w:line="240" w:lineRule="atLeast"/>
        <w:ind w:firstLine="420" w:firstLineChars="200"/>
        <w:rPr>
          <w:rFonts w:hint="eastAsia" w:ascii="宋体" w:hAnsi="宋体" w:eastAsia="宋体" w:cs="宋体"/>
          <w:color w:val="auto"/>
          <w:kern w:val="0"/>
          <w:sz w:val="21"/>
          <w:szCs w:val="21"/>
          <w:highlight w:val="none"/>
        </w:rPr>
      </w:pPr>
    </w:p>
    <w:p>
      <w:pPr>
        <w:widowControl/>
        <w:spacing w:line="240" w:lineRule="atLeast"/>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备注：</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业绩</w:t>
      </w:r>
      <w:r>
        <w:rPr>
          <w:rFonts w:hint="eastAsia" w:ascii="宋体" w:hAnsi="宋体" w:eastAsia="宋体" w:cs="宋体"/>
          <w:color w:val="auto"/>
          <w:kern w:val="0"/>
          <w:sz w:val="21"/>
          <w:szCs w:val="21"/>
          <w:highlight w:val="none"/>
          <w:lang w:eastAsia="zh-CN"/>
        </w:rPr>
        <w:t>取自广州公共资源交易中心企业库，</w:t>
      </w:r>
      <w:r>
        <w:rPr>
          <w:rFonts w:hint="eastAsia" w:ascii="宋体" w:hAnsi="宋体" w:eastAsia="宋体" w:cs="宋体"/>
          <w:color w:val="auto"/>
          <w:kern w:val="0"/>
          <w:sz w:val="21"/>
          <w:szCs w:val="21"/>
          <w:highlight w:val="none"/>
        </w:rPr>
        <w:t>金额以中标通知书为准，中标通知书没有金额的，以施工合同（不含补充合同）为准，完成时间以竣工验收时间为准。需同时提供招标公告和中标候选人公示页的打印页、中标通知书或免招标证明、施工合同、竣工验收报告或竣工验收证明扫描件</w:t>
      </w:r>
      <w:r>
        <w:rPr>
          <w:rFonts w:hint="eastAsia" w:ascii="宋体" w:hAnsi="宋体" w:eastAsia="宋体" w:cs="宋体"/>
          <w:color w:val="auto"/>
          <w:kern w:val="0"/>
          <w:sz w:val="21"/>
          <w:szCs w:val="21"/>
          <w:highlight w:val="none"/>
          <w:lang w:eastAsia="zh-CN"/>
        </w:rPr>
        <w:t>，并加盖公章确认</w:t>
      </w:r>
      <w:r>
        <w:rPr>
          <w:rFonts w:hint="eastAsia" w:ascii="宋体" w:hAnsi="宋体" w:eastAsia="宋体" w:cs="宋体"/>
          <w:color w:val="auto"/>
          <w:kern w:val="0"/>
          <w:sz w:val="21"/>
          <w:szCs w:val="21"/>
          <w:highlight w:val="none"/>
        </w:rPr>
        <w:t>。如以上资料不能证明业绩规模的，须另提供可证明业绩指标的其他资料</w:t>
      </w:r>
      <w:r>
        <w:rPr>
          <w:rFonts w:hint="eastAsia" w:ascii="宋体" w:hAnsi="宋体" w:eastAsia="宋体" w:cs="宋体"/>
          <w:color w:val="auto"/>
          <w:kern w:val="0"/>
          <w:sz w:val="21"/>
          <w:szCs w:val="21"/>
          <w:highlight w:val="none"/>
          <w:lang w:eastAsia="zh-CN"/>
        </w:rPr>
        <w:t>。</w:t>
      </w:r>
    </w:p>
    <w:p>
      <w:pPr>
        <w:widowControl/>
        <w:spacing w:line="240" w:lineRule="atLeas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.最终得分按投标须知前附表第32项所规定的方式进行汇总；分数出现小数点，保留小数点后二位小数，第三位小数四舍五入。</w:t>
      </w:r>
    </w:p>
    <w:p>
      <w:pPr>
        <w:widowControl/>
        <w:spacing w:line="240" w:lineRule="atLeas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.中标通知书发出前，招标人有权核查中标候选人上述所有资料的原件。</w:t>
      </w:r>
    </w:p>
    <w:p>
      <w:pPr>
        <w:widowControl/>
        <w:spacing w:line="240" w:lineRule="atLeast"/>
        <w:ind w:left="12395" w:leftChars="170" w:hanging="12038" w:hangingChars="6688"/>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评标委员会签名：                                                               日期：</w:t>
      </w:r>
      <w:r>
        <w:rPr>
          <w:rFonts w:hint="eastAsia" w:ascii="宋体" w:hAnsi="宋体" w:eastAsia="宋体" w:cs="宋体"/>
          <w:color w:val="auto"/>
          <w:kern w:val="0"/>
          <w:sz w:val="18"/>
          <w:szCs w:val="18"/>
          <w:highlight w:val="none"/>
        </w:rPr>
        <w:br w:type="page"/>
      </w:r>
      <w:bookmarkStart w:id="220" w:name="_Toc19350"/>
      <w:bookmarkStart w:id="221" w:name="_Toc19126"/>
    </w:p>
    <w:p>
      <w:pPr>
        <w:widowControl/>
        <w:spacing w:line="240" w:lineRule="atLeast"/>
        <w:ind w:left="16408" w:leftChars="170" w:hanging="16051" w:hangingChars="6688"/>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附件14（适用于办法二）</w:t>
      </w:r>
      <w:bookmarkEnd w:id="220"/>
      <w:bookmarkEnd w:id="221"/>
    </w:p>
    <w:p>
      <w:pPr>
        <w:rPr>
          <w:rFonts w:ascii="宋体" w:hAnsi="宋体" w:eastAsia="宋体"/>
          <w:color w:val="auto"/>
          <w:sz w:val="24"/>
          <w:szCs w:val="24"/>
          <w:highlight w:val="none"/>
        </w:rPr>
      </w:pPr>
    </w:p>
    <w:p>
      <w:pPr>
        <w:jc w:val="center"/>
        <w:rPr>
          <w:rFonts w:ascii="宋体" w:hAnsi="宋体" w:eastAsia="宋体"/>
          <w:b/>
          <w:color w:val="auto"/>
          <w:sz w:val="36"/>
          <w:szCs w:val="36"/>
          <w:highlight w:val="none"/>
        </w:rPr>
      </w:pPr>
      <w:r>
        <w:rPr>
          <w:rFonts w:hint="eastAsia" w:ascii="宋体" w:hAnsi="宋体" w:eastAsia="宋体"/>
          <w:b/>
          <w:color w:val="auto"/>
          <w:sz w:val="36"/>
          <w:szCs w:val="36"/>
          <w:highlight w:val="none"/>
        </w:rPr>
        <w:t>投标报价评分表</w:t>
      </w:r>
    </w:p>
    <w:p>
      <w:pPr>
        <w:rPr>
          <w:rFonts w:ascii="宋体" w:hAnsi="宋体" w:eastAsia="宋体"/>
          <w:color w:val="auto"/>
          <w:szCs w:val="21"/>
          <w:highlight w:val="none"/>
        </w:rPr>
      </w:pPr>
      <w:r>
        <w:rPr>
          <w:rFonts w:hint="eastAsia" w:ascii="宋体" w:hAnsi="宋体" w:eastAsia="宋体"/>
          <w:color w:val="auto"/>
          <w:szCs w:val="21"/>
          <w:highlight w:val="none"/>
        </w:rPr>
        <w:t>工程名称：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1048"/>
        <w:gridCol w:w="1048"/>
        <w:gridCol w:w="1048"/>
        <w:gridCol w:w="1048"/>
        <w:gridCol w:w="1048"/>
        <w:gridCol w:w="1048"/>
        <w:gridCol w:w="1048"/>
        <w:gridCol w:w="1048"/>
        <w:gridCol w:w="1048"/>
        <w:gridCol w:w="1048"/>
        <w:gridCol w:w="1048"/>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投标人名称</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投标报价</w:t>
            </w:r>
            <w:r>
              <w:rPr>
                <w:rFonts w:hint="default" w:ascii="宋体" w:hAnsi="宋体" w:eastAsia="宋体"/>
                <w:color w:val="auto"/>
                <w:szCs w:val="21"/>
                <w:highlight w:val="none"/>
              </w:rPr>
              <w:t>PT</w:t>
            </w:r>
            <w:r>
              <w:rPr>
                <w:rFonts w:hint="eastAsia" w:ascii="宋体" w:hAnsi="宋体" w:eastAsia="宋体"/>
                <w:color w:val="auto"/>
                <w:szCs w:val="21"/>
                <w:highlight w:val="none"/>
              </w:rPr>
              <w:t>（元）</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计算评标参考价的下浮率X%</w:t>
            </w:r>
          </w:p>
        </w:tc>
        <w:tc>
          <w:tcPr>
            <w:tcW w:w="12577" w:type="dxa"/>
            <w:gridSpan w:val="1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评标参考价PC（元）</w:t>
            </w:r>
          </w:p>
        </w:tc>
        <w:tc>
          <w:tcPr>
            <w:tcW w:w="12577" w:type="dxa"/>
            <w:gridSpan w:val="1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偏差（（</w:t>
            </w:r>
            <w:r>
              <w:rPr>
                <w:rFonts w:hint="default" w:ascii="宋体" w:hAnsi="宋体" w:eastAsia="宋体"/>
                <w:color w:val="auto"/>
                <w:szCs w:val="21"/>
                <w:highlight w:val="none"/>
              </w:rPr>
              <w:t>PT-PC</w:t>
            </w:r>
            <w:r>
              <w:rPr>
                <w:rFonts w:hint="eastAsia" w:ascii="宋体" w:hAnsi="宋体" w:eastAsia="宋体"/>
                <w:color w:val="auto"/>
                <w:szCs w:val="21"/>
                <w:highlight w:val="none"/>
              </w:rPr>
              <w:t>）</w:t>
            </w:r>
            <w:r>
              <w:rPr>
                <w:rFonts w:hint="default" w:ascii="宋体" w:hAnsi="宋体" w:eastAsia="宋体"/>
                <w:color w:val="auto"/>
                <w:szCs w:val="21"/>
                <w:highlight w:val="none"/>
              </w:rPr>
              <w:t>/PC</w:t>
            </w:r>
            <w:r>
              <w:rPr>
                <w:rFonts w:hint="eastAsia" w:ascii="宋体" w:hAnsi="宋体" w:eastAsia="宋体"/>
                <w:color w:val="auto"/>
                <w:szCs w:val="21"/>
                <w:highlight w:val="none"/>
              </w:rPr>
              <w:t>）（</w:t>
            </w:r>
            <w:r>
              <w:rPr>
                <w:rFonts w:hint="default" w:ascii="宋体" w:hAnsi="宋体" w:eastAsia="宋体"/>
                <w:color w:val="auto"/>
                <w:szCs w:val="21"/>
                <w:highlight w:val="none"/>
              </w:rPr>
              <w:t>%</w:t>
            </w:r>
            <w:r>
              <w:rPr>
                <w:rFonts w:hint="eastAsia" w:ascii="宋体" w:hAnsi="宋体" w:eastAsia="宋体"/>
                <w:color w:val="auto"/>
                <w:szCs w:val="21"/>
                <w:highlight w:val="none"/>
              </w:rPr>
              <w:t>）</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减分（</w:t>
            </w:r>
            <w:r>
              <w:rPr>
                <w:rFonts w:hint="default" w:ascii="宋体" w:hAnsi="宋体" w:eastAsia="宋体"/>
                <w:color w:val="auto"/>
                <w:szCs w:val="21"/>
                <w:highlight w:val="none"/>
              </w:rPr>
              <w:t>A</w:t>
            </w:r>
            <w:r>
              <w:rPr>
                <w:rFonts w:hint="eastAsia" w:ascii="宋体" w:hAnsi="宋体" w:eastAsia="宋体"/>
                <w:color w:val="auto"/>
                <w:szCs w:val="21"/>
                <w:highlight w:val="none"/>
              </w:rPr>
              <w:t>）</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olor w:val="auto"/>
                <w:szCs w:val="21"/>
                <w:highlight w:val="none"/>
              </w:rPr>
            </w:pPr>
            <w:r>
              <w:rPr>
                <w:rFonts w:hint="eastAsia" w:ascii="宋体" w:hAnsi="宋体" w:eastAsia="宋体"/>
                <w:color w:val="auto"/>
                <w:szCs w:val="21"/>
                <w:highlight w:val="none"/>
              </w:rPr>
              <w:t>得分</w:t>
            </w:r>
            <w:r>
              <w:rPr>
                <w:rFonts w:hint="default" w:ascii="宋体" w:hAnsi="宋体" w:eastAsia="宋体"/>
                <w:color w:val="auto"/>
                <w:szCs w:val="21"/>
                <w:highlight w:val="none"/>
              </w:rPr>
              <w:t>(I=100-A)</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ascii="宋体" w:hAnsi="宋体" w:eastAsia="宋体"/>
                <w:color w:val="auto"/>
                <w:szCs w:val="21"/>
                <w:highlight w:val="none"/>
              </w:rPr>
            </w:pPr>
          </w:p>
        </w:tc>
      </w:tr>
    </w:tbl>
    <w:p>
      <w:pPr>
        <w:ind w:left="-199" w:leftChars="-95" w:right="-827" w:rightChars="-394"/>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评委签名：</w:t>
      </w:r>
    </w:p>
    <w:p>
      <w:pPr>
        <w:rPr>
          <w:rFonts w:ascii="宋体" w:hAnsi="宋体" w:eastAsia="宋体"/>
          <w:b/>
          <w:color w:val="auto"/>
          <w:sz w:val="24"/>
          <w:highlight w:val="none"/>
        </w:rPr>
      </w:pPr>
    </w:p>
    <w:p>
      <w:pPr>
        <w:widowControl/>
        <w:jc w:val="left"/>
        <w:rPr>
          <w:rFonts w:ascii="宋体" w:hAnsi="宋体" w:eastAsia="宋体"/>
          <w:color w:val="auto"/>
          <w:szCs w:val="21"/>
          <w:highlight w:val="none"/>
        </w:rPr>
        <w:sectPr>
          <w:endnotePr>
            <w:numFmt w:val="decimal"/>
          </w:endnotePr>
          <w:pgSz w:w="16783" w:h="11850" w:orient="landscape"/>
          <w:pgMar w:top="567" w:right="1616" w:bottom="567" w:left="1293" w:header="851" w:footer="907" w:gutter="567"/>
          <w:pgNumType w:fmt="decimal"/>
          <w:cols w:space="720" w:num="1"/>
        </w:sectPr>
      </w:pPr>
    </w:p>
    <w:p>
      <w:pPr>
        <w:outlineLvl w:val="2"/>
        <w:rPr>
          <w:rFonts w:ascii="宋体" w:hAnsi="宋体" w:eastAsia="宋体"/>
          <w:strike/>
          <w:color w:val="auto"/>
          <w:sz w:val="24"/>
          <w:szCs w:val="24"/>
          <w:highlight w:val="none"/>
        </w:rPr>
      </w:pPr>
      <w:bookmarkStart w:id="222" w:name="_第三章__合同条款"/>
      <w:bookmarkEnd w:id="222"/>
      <w:bookmarkStart w:id="223" w:name="_Toc12342"/>
      <w:bookmarkStart w:id="224" w:name="_Toc4097"/>
      <w:bookmarkStart w:id="225" w:name="_Toc5739"/>
      <w:bookmarkStart w:id="226" w:name="_Toc14657"/>
      <w:bookmarkStart w:id="227" w:name="_Toc14247"/>
      <w:bookmarkStart w:id="228" w:name="_Toc262229174"/>
      <w:bookmarkStart w:id="229" w:name="_Toc16566"/>
      <w:r>
        <w:rPr>
          <w:rFonts w:hint="eastAsia" w:ascii="宋体" w:hAnsi="宋体" w:eastAsia="宋体"/>
          <w:strike/>
          <w:color w:val="auto"/>
          <w:sz w:val="24"/>
          <w:szCs w:val="24"/>
          <w:highlight w:val="none"/>
        </w:rPr>
        <w:t>附件15 定标委员会组建办法及定标方法</w:t>
      </w:r>
      <w:bookmarkEnd w:id="223"/>
      <w:bookmarkEnd w:id="224"/>
      <w:bookmarkEnd w:id="225"/>
      <w:bookmarkEnd w:id="226"/>
      <w:bookmarkEnd w:id="227"/>
    </w:p>
    <w:p>
      <w:pPr>
        <w:rPr>
          <w:rFonts w:hint="eastAsia" w:ascii="宋体" w:hAnsi="宋体" w:eastAsia="宋体"/>
          <w:strike/>
          <w:color w:val="auto"/>
          <w:sz w:val="24"/>
          <w:szCs w:val="24"/>
          <w:highlight w:val="none"/>
        </w:rPr>
      </w:pPr>
    </w:p>
    <w:p>
      <w:pPr>
        <w:jc w:val="center"/>
        <w:rPr>
          <w:rFonts w:hint="eastAsia" w:ascii="宋体" w:hAnsi="宋体" w:eastAsia="宋体"/>
          <w:b/>
          <w:bCs/>
          <w:strike/>
          <w:color w:val="auto"/>
          <w:sz w:val="36"/>
          <w:szCs w:val="36"/>
          <w:highlight w:val="none"/>
        </w:rPr>
      </w:pPr>
    </w:p>
    <w:p>
      <w:pPr>
        <w:jc w:val="center"/>
        <w:rPr>
          <w:rFonts w:hint="eastAsia" w:ascii="宋体" w:hAnsi="宋体" w:eastAsia="宋体"/>
          <w:b/>
          <w:bCs/>
          <w:strike/>
          <w:color w:val="auto"/>
          <w:sz w:val="36"/>
          <w:szCs w:val="36"/>
          <w:highlight w:val="none"/>
        </w:rPr>
      </w:pPr>
      <w:r>
        <w:rPr>
          <w:rFonts w:hint="eastAsia" w:ascii="宋体" w:hAnsi="宋体" w:eastAsia="宋体"/>
          <w:b/>
          <w:bCs/>
          <w:strike/>
          <w:color w:val="auto"/>
          <w:sz w:val="36"/>
          <w:szCs w:val="36"/>
          <w:highlight w:val="none"/>
        </w:rPr>
        <w:t>定标委员会组建办法及定标办法</w:t>
      </w:r>
    </w:p>
    <w:p>
      <w:pPr>
        <w:jc w:val="left"/>
        <w:rPr>
          <w:rFonts w:hint="eastAsia" w:ascii="宋体" w:hAnsi="宋体" w:eastAsia="宋体"/>
          <w:strike/>
          <w:color w:val="auto"/>
          <w:szCs w:val="21"/>
          <w:highlight w:val="none"/>
        </w:rPr>
      </w:pPr>
    </w:p>
    <w:p>
      <w:pPr>
        <w:jc w:val="left"/>
        <w:rPr>
          <w:rFonts w:hint="eastAsia" w:ascii="宋体" w:eastAsia="宋体"/>
          <w:strike/>
          <w:color w:val="auto"/>
          <w:highlight w:val="none"/>
        </w:rPr>
      </w:pPr>
      <w:r>
        <w:rPr>
          <w:rFonts w:hint="eastAsia" w:ascii="宋体" w:hAnsi="宋体" w:eastAsia="宋体"/>
          <w:strike/>
          <w:color w:val="auto"/>
          <w:sz w:val="24"/>
          <w:szCs w:val="24"/>
          <w:highlight w:val="none"/>
        </w:rPr>
        <w:t>注：本项由招标人自行制定。</w:t>
      </w:r>
    </w:p>
    <w:p>
      <w:pPr>
        <w:pStyle w:val="23"/>
        <w:rPr>
          <w:rFonts w:hint="eastAsia"/>
          <w:strike/>
          <w:color w:val="auto"/>
          <w:highlight w:val="none"/>
        </w:rPr>
      </w:pPr>
    </w:p>
    <w:p>
      <w:pPr>
        <w:spacing w:line="360" w:lineRule="auto"/>
        <w:jc w:val="left"/>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定标办法设置说明：</w:t>
      </w:r>
    </w:p>
    <w:p>
      <w:pPr>
        <w:pStyle w:val="23"/>
        <w:spacing w:line="360" w:lineRule="auto"/>
        <w:ind w:firstLine="480" w:firstLineChars="200"/>
        <w:rPr>
          <w:rFonts w:hint="eastAsia" w:ascii="宋体" w:hAnsi="宋体" w:cs="宋体"/>
          <w:strike/>
          <w:color w:val="auto"/>
          <w:highlight w:val="none"/>
        </w:rPr>
      </w:pPr>
      <w:r>
        <w:rPr>
          <w:rFonts w:hint="eastAsia" w:ascii="宋体" w:hAnsi="宋体" w:cs="宋体"/>
          <w:strike/>
          <w:color w:val="auto"/>
          <w:highlight w:val="none"/>
        </w:rPr>
        <w:t>一、招标公告发布前，招标人应当根据招标项目特点，事先制定科学、合理的定标委员会组建及定标办法，并在招标文件中详细载明。定标时必须严格遵守定标办法，不得临时改变。</w:t>
      </w:r>
    </w:p>
    <w:p>
      <w:pPr>
        <w:pStyle w:val="23"/>
        <w:spacing w:line="360" w:lineRule="auto"/>
        <w:ind w:firstLine="480" w:firstLineChars="200"/>
        <w:rPr>
          <w:rFonts w:hint="eastAsia" w:ascii="宋体" w:hAnsi="宋体" w:cs="宋体"/>
          <w:strike/>
          <w:color w:val="auto"/>
          <w:highlight w:val="none"/>
        </w:rPr>
      </w:pPr>
      <w:r>
        <w:rPr>
          <w:rFonts w:hint="eastAsia" w:ascii="宋体" w:hAnsi="宋体" w:cs="宋体"/>
          <w:strike/>
          <w:color w:val="auto"/>
          <w:highlight w:val="none"/>
        </w:rPr>
        <w:t>二、定标办法应当对定标因素、定标程序等内容予以明确。可采用价格优势排名、票决、抽签、集体议事决策等办法。</w:t>
      </w:r>
    </w:p>
    <w:p>
      <w:pPr>
        <w:pStyle w:val="23"/>
        <w:spacing w:line="360" w:lineRule="auto"/>
        <w:ind w:firstLine="480" w:firstLineChars="200"/>
        <w:rPr>
          <w:rFonts w:hint="eastAsia" w:ascii="宋体" w:hAnsi="宋体" w:cs="宋体"/>
          <w:strike/>
          <w:color w:val="auto"/>
          <w:highlight w:val="none"/>
        </w:rPr>
      </w:pPr>
      <w:r>
        <w:rPr>
          <w:rFonts w:hint="eastAsia" w:ascii="宋体" w:hAnsi="宋体" w:cs="宋体"/>
          <w:strike/>
          <w:color w:val="auto"/>
          <w:highlight w:val="none"/>
        </w:rPr>
        <w:t>定标委员会成员原则上从招标人、项目业主或者使用单位的领导班子成员、经营管理人员中产生，成员数量为3人以上单数。</w:t>
      </w:r>
    </w:p>
    <w:p>
      <w:pPr>
        <w:pStyle w:val="23"/>
        <w:spacing w:line="360" w:lineRule="auto"/>
        <w:ind w:firstLine="480" w:firstLineChars="200"/>
        <w:rPr>
          <w:rFonts w:hint="eastAsia" w:ascii="宋体" w:hAnsi="宋体" w:cs="宋体"/>
          <w:strike/>
          <w:color w:val="auto"/>
          <w:highlight w:val="none"/>
        </w:rPr>
      </w:pPr>
      <w:r>
        <w:rPr>
          <w:rFonts w:hint="eastAsia" w:ascii="宋体" w:hAnsi="宋体" w:cs="宋体"/>
          <w:strike/>
          <w:color w:val="auto"/>
          <w:highlight w:val="none"/>
        </w:rPr>
        <w:t>评标结束后，评标过程中使用的文件、表格及其他纸质资料由招标人收齐并妥善保管。招标人应当自中标候选人公示结束后5个工作日内进入交易中心召开定标会。定标过程应当公开、公平、公正，定标委员会按有关规定及招标文件约定的定标办法确定中标人。</w:t>
      </w:r>
    </w:p>
    <w:p>
      <w:pPr>
        <w:pStyle w:val="23"/>
        <w:spacing w:line="360" w:lineRule="auto"/>
        <w:ind w:firstLine="480" w:firstLineChars="200"/>
        <w:rPr>
          <w:rFonts w:hint="eastAsia" w:ascii="宋体" w:hAnsi="宋体" w:cs="宋体"/>
          <w:strike/>
          <w:color w:val="auto"/>
          <w:highlight w:val="none"/>
        </w:rPr>
      </w:pPr>
      <w:r>
        <w:rPr>
          <w:rFonts w:hint="eastAsia" w:ascii="宋体" w:hAnsi="宋体" w:cs="宋体"/>
          <w:strike/>
          <w:color w:val="auto"/>
          <w:highlight w:val="none"/>
        </w:rPr>
        <w:t>三、招标人应当对定标过程进行记录，并存档备查。</w:t>
      </w:r>
    </w:p>
    <w:p>
      <w:pPr>
        <w:pStyle w:val="17"/>
        <w:rPr>
          <w:rFonts w:hint="eastAsia" w:ascii="宋体"/>
          <w:strike/>
          <w:color w:val="auto"/>
          <w:highlight w:val="none"/>
        </w:rPr>
      </w:pPr>
    </w:p>
    <w:p>
      <w:pPr>
        <w:pStyle w:val="17"/>
        <w:rPr>
          <w:rFonts w:hint="eastAsia" w:ascii="宋体"/>
          <w:color w:val="auto"/>
          <w:highlight w:val="none"/>
        </w:rPr>
      </w:pPr>
    </w:p>
    <w:p>
      <w:pPr>
        <w:pStyle w:val="17"/>
        <w:rPr>
          <w:rFonts w:hint="eastAsia" w:ascii="宋体"/>
          <w:color w:val="auto"/>
          <w:highlight w:val="none"/>
        </w:rPr>
      </w:pPr>
    </w:p>
    <w:p>
      <w:pPr>
        <w:pStyle w:val="17"/>
        <w:rPr>
          <w:rFonts w:hint="eastAsia" w:ascii="宋体"/>
          <w:color w:val="auto"/>
          <w:highlight w:val="none"/>
        </w:rPr>
      </w:pPr>
    </w:p>
    <w:p>
      <w:pPr>
        <w:pStyle w:val="17"/>
        <w:rPr>
          <w:rFonts w:hint="eastAsia" w:ascii="宋体"/>
          <w:color w:val="auto"/>
          <w:highlight w:val="none"/>
        </w:rPr>
      </w:pPr>
    </w:p>
    <w:p>
      <w:pPr>
        <w:pStyle w:val="17"/>
        <w:rPr>
          <w:rFonts w:hint="eastAsia" w:ascii="宋体"/>
          <w:color w:val="auto"/>
          <w:highlight w:val="none"/>
        </w:rPr>
      </w:pPr>
    </w:p>
    <w:p>
      <w:pPr>
        <w:pStyle w:val="17"/>
        <w:rPr>
          <w:rFonts w:hint="eastAsia" w:ascii="宋体"/>
          <w:color w:val="auto"/>
          <w:highlight w:val="none"/>
        </w:rPr>
      </w:pPr>
    </w:p>
    <w:p>
      <w:pPr>
        <w:pStyle w:val="17"/>
        <w:rPr>
          <w:rFonts w:hint="eastAsia" w:ascii="宋体"/>
          <w:color w:val="auto"/>
          <w:highlight w:val="none"/>
        </w:rPr>
      </w:pPr>
    </w:p>
    <w:p>
      <w:pPr>
        <w:pStyle w:val="17"/>
        <w:rPr>
          <w:rFonts w:hint="eastAsia" w:ascii="宋体"/>
          <w:color w:val="auto"/>
          <w:highlight w:val="none"/>
        </w:rPr>
      </w:pPr>
    </w:p>
    <w:p>
      <w:pPr>
        <w:pStyle w:val="17"/>
        <w:rPr>
          <w:rFonts w:hint="eastAsia" w:ascii="宋体"/>
          <w:color w:val="auto"/>
          <w:highlight w:val="none"/>
        </w:rPr>
      </w:pPr>
    </w:p>
    <w:p>
      <w:pPr>
        <w:pStyle w:val="17"/>
        <w:rPr>
          <w:rFonts w:hint="eastAsia" w:ascii="宋体"/>
          <w:color w:val="auto"/>
          <w:highlight w:val="none"/>
        </w:rPr>
      </w:pPr>
    </w:p>
    <w:p>
      <w:pPr>
        <w:pStyle w:val="17"/>
        <w:rPr>
          <w:rFonts w:hint="eastAsia" w:ascii="宋体"/>
          <w:color w:val="auto"/>
          <w:highlight w:val="none"/>
        </w:rPr>
      </w:pPr>
    </w:p>
    <w:p>
      <w:pPr>
        <w:pStyle w:val="17"/>
        <w:rPr>
          <w:rFonts w:hint="eastAsia" w:ascii="宋体"/>
          <w:color w:val="auto"/>
          <w:highlight w:val="none"/>
        </w:rPr>
      </w:pPr>
    </w:p>
    <w:bookmarkEnd w:id="228"/>
    <w:bookmarkEnd w:id="229"/>
    <w:p>
      <w:pPr>
        <w:pStyle w:val="17"/>
        <w:spacing w:line="360" w:lineRule="auto"/>
        <w:ind w:firstLine="0"/>
        <w:rPr>
          <w:rFonts w:ascii="宋体" w:hAnsi="宋体"/>
          <w:color w:val="auto"/>
          <w:sz w:val="24"/>
          <w:szCs w:val="24"/>
          <w:highlight w:val="none"/>
        </w:rPr>
      </w:pPr>
    </w:p>
    <w:p>
      <w:pPr>
        <w:pStyle w:val="17"/>
        <w:spacing w:line="360" w:lineRule="auto"/>
        <w:ind w:firstLine="0"/>
        <w:rPr>
          <w:rFonts w:hint="eastAsia" w:ascii="宋体" w:hAnsi="宋体"/>
          <w:color w:val="auto"/>
          <w:sz w:val="24"/>
          <w:szCs w:val="24"/>
          <w:highlight w:val="none"/>
        </w:rPr>
      </w:pPr>
    </w:p>
    <w:p>
      <w:pPr>
        <w:pStyle w:val="17"/>
        <w:spacing w:line="360" w:lineRule="auto"/>
        <w:ind w:firstLine="0"/>
        <w:rPr>
          <w:rFonts w:hint="eastAsia" w:ascii="宋体" w:hAnsi="宋体"/>
          <w:color w:val="auto"/>
          <w:sz w:val="24"/>
          <w:szCs w:val="24"/>
          <w:highlight w:val="none"/>
        </w:rPr>
      </w:pPr>
    </w:p>
    <w:p>
      <w:pPr>
        <w:pStyle w:val="2"/>
        <w:rPr>
          <w:rFonts w:hint="eastAsia" w:ascii="宋体" w:eastAsia="宋体"/>
          <w:color w:val="auto"/>
          <w:highlight w:val="none"/>
        </w:rPr>
      </w:pPr>
      <w:bookmarkStart w:id="230" w:name="_Toc27866"/>
      <w:bookmarkStart w:id="231" w:name="_Toc22595"/>
      <w:bookmarkStart w:id="232" w:name="_Toc8475"/>
      <w:bookmarkStart w:id="233" w:name="_Toc12568"/>
      <w:bookmarkStart w:id="234" w:name="_Toc2939"/>
      <w:bookmarkStart w:id="235" w:name="_Toc21721"/>
      <w:bookmarkStart w:id="236" w:name="_Toc27406"/>
      <w:bookmarkStart w:id="237" w:name="_Toc17798"/>
      <w:r>
        <w:rPr>
          <w:rFonts w:hint="eastAsia" w:ascii="宋体" w:eastAsia="宋体"/>
          <w:color w:val="auto"/>
          <w:highlight w:val="none"/>
        </w:rPr>
        <w:t>第三章  合同条款</w:t>
      </w:r>
      <w:bookmarkEnd w:id="230"/>
      <w:bookmarkEnd w:id="231"/>
      <w:bookmarkEnd w:id="232"/>
      <w:bookmarkEnd w:id="233"/>
      <w:bookmarkEnd w:id="234"/>
      <w:bookmarkEnd w:id="235"/>
      <w:bookmarkEnd w:id="236"/>
      <w:bookmarkEnd w:id="237"/>
    </w:p>
    <w:p>
      <w:pPr>
        <w:pStyle w:val="17"/>
        <w:spacing w:line="360" w:lineRule="auto"/>
        <w:ind w:firstLine="0"/>
        <w:rPr>
          <w:rFonts w:hint="eastAsia"/>
          <w:color w:val="auto"/>
          <w:highlight w:val="none"/>
        </w:rPr>
      </w:pPr>
      <w:r>
        <w:rPr>
          <w:rFonts w:hint="eastAsia" w:ascii="宋体" w:hAnsi="宋体"/>
          <w:color w:val="auto"/>
          <w:sz w:val="24"/>
          <w:szCs w:val="24"/>
          <w:highlight w:val="none"/>
        </w:rPr>
        <w:t>注：本章由招标人自行制定，另册。</w:t>
      </w:r>
    </w:p>
    <w:p>
      <w:pPr>
        <w:pStyle w:val="17"/>
        <w:spacing w:line="360" w:lineRule="auto"/>
        <w:ind w:firstLine="0"/>
        <w:jc w:val="left"/>
        <w:rPr>
          <w:rFonts w:hint="eastAsia" w:ascii="宋体" w:hAnsi="宋体"/>
          <w:color w:val="auto"/>
          <w:sz w:val="24"/>
          <w:szCs w:val="24"/>
          <w:highlight w:val="none"/>
        </w:rPr>
      </w:pPr>
    </w:p>
    <w:p>
      <w:pPr>
        <w:pStyle w:val="17"/>
        <w:spacing w:line="360" w:lineRule="auto"/>
        <w:ind w:firstLine="0"/>
        <w:jc w:val="left"/>
        <w:rPr>
          <w:rFonts w:hint="eastAsia" w:ascii="宋体" w:hAnsi="宋体"/>
          <w:color w:val="auto"/>
          <w:sz w:val="24"/>
          <w:szCs w:val="24"/>
          <w:highlight w:val="none"/>
        </w:rPr>
      </w:pPr>
    </w:p>
    <w:p>
      <w:pPr>
        <w:pStyle w:val="17"/>
        <w:spacing w:line="360" w:lineRule="auto"/>
        <w:ind w:firstLine="0"/>
        <w:jc w:val="left"/>
        <w:rPr>
          <w:rFonts w:hint="eastAsia" w:ascii="宋体" w:hAnsi="宋体"/>
          <w:color w:val="auto"/>
          <w:sz w:val="24"/>
          <w:szCs w:val="24"/>
          <w:highlight w:val="none"/>
        </w:rPr>
      </w:pPr>
    </w:p>
    <w:p>
      <w:pPr>
        <w:pStyle w:val="17"/>
        <w:spacing w:line="360" w:lineRule="auto"/>
        <w:ind w:firstLine="0"/>
        <w:jc w:val="left"/>
        <w:rPr>
          <w:rFonts w:hint="eastAsia" w:ascii="宋体" w:hAnsi="宋体"/>
          <w:color w:val="auto"/>
          <w:sz w:val="24"/>
          <w:szCs w:val="24"/>
          <w:highlight w:val="none"/>
        </w:rPr>
      </w:pPr>
    </w:p>
    <w:p>
      <w:pPr>
        <w:pStyle w:val="17"/>
        <w:spacing w:line="360" w:lineRule="auto"/>
        <w:ind w:firstLine="0"/>
        <w:jc w:val="left"/>
        <w:rPr>
          <w:rFonts w:hint="eastAsia" w:ascii="宋体" w:hAnsi="宋体"/>
          <w:color w:val="auto"/>
          <w:sz w:val="24"/>
          <w:szCs w:val="24"/>
          <w:highlight w:val="none"/>
        </w:rPr>
      </w:pPr>
    </w:p>
    <w:p>
      <w:pPr>
        <w:pStyle w:val="17"/>
        <w:spacing w:line="360" w:lineRule="auto"/>
        <w:ind w:firstLine="0"/>
        <w:jc w:val="left"/>
        <w:rPr>
          <w:rFonts w:hint="eastAsia" w:ascii="宋体" w:hAnsi="宋体"/>
          <w:color w:val="auto"/>
          <w:sz w:val="24"/>
          <w:szCs w:val="24"/>
          <w:highlight w:val="none"/>
        </w:rPr>
      </w:pPr>
    </w:p>
    <w:p>
      <w:pPr>
        <w:pStyle w:val="17"/>
        <w:spacing w:line="360" w:lineRule="auto"/>
        <w:ind w:firstLine="0"/>
        <w:jc w:val="left"/>
        <w:rPr>
          <w:rFonts w:hint="eastAsia" w:ascii="宋体" w:hAnsi="宋体"/>
          <w:color w:val="auto"/>
          <w:sz w:val="24"/>
          <w:szCs w:val="24"/>
          <w:highlight w:val="none"/>
        </w:rPr>
      </w:pPr>
    </w:p>
    <w:p>
      <w:pPr>
        <w:pStyle w:val="17"/>
        <w:spacing w:line="360" w:lineRule="auto"/>
        <w:ind w:firstLine="0"/>
        <w:jc w:val="left"/>
        <w:rPr>
          <w:rFonts w:hint="eastAsia" w:ascii="宋体" w:hAnsi="宋体"/>
          <w:color w:val="auto"/>
          <w:sz w:val="24"/>
          <w:szCs w:val="24"/>
          <w:highlight w:val="none"/>
        </w:rPr>
      </w:pPr>
    </w:p>
    <w:p>
      <w:pPr>
        <w:pStyle w:val="17"/>
        <w:spacing w:line="360" w:lineRule="auto"/>
        <w:ind w:firstLine="0"/>
        <w:jc w:val="left"/>
        <w:rPr>
          <w:rFonts w:hint="eastAsia" w:ascii="宋体" w:hAnsi="宋体"/>
          <w:color w:val="auto"/>
          <w:sz w:val="24"/>
          <w:szCs w:val="24"/>
          <w:highlight w:val="none"/>
        </w:rPr>
      </w:pPr>
    </w:p>
    <w:p>
      <w:pPr>
        <w:pStyle w:val="17"/>
        <w:spacing w:line="360" w:lineRule="auto"/>
        <w:ind w:firstLine="0"/>
        <w:jc w:val="left"/>
        <w:rPr>
          <w:rFonts w:hint="eastAsia" w:ascii="宋体" w:hAnsi="宋体"/>
          <w:color w:val="auto"/>
          <w:sz w:val="24"/>
          <w:szCs w:val="24"/>
          <w:highlight w:val="none"/>
        </w:rPr>
      </w:pPr>
    </w:p>
    <w:p>
      <w:pPr>
        <w:pStyle w:val="17"/>
        <w:spacing w:line="360" w:lineRule="auto"/>
        <w:ind w:firstLine="0"/>
        <w:jc w:val="left"/>
        <w:rPr>
          <w:rFonts w:hint="eastAsia" w:ascii="宋体" w:hAnsi="宋体"/>
          <w:color w:val="auto"/>
          <w:sz w:val="24"/>
          <w:szCs w:val="24"/>
          <w:highlight w:val="none"/>
        </w:rPr>
      </w:pPr>
    </w:p>
    <w:p>
      <w:pPr>
        <w:pStyle w:val="17"/>
        <w:spacing w:line="360" w:lineRule="auto"/>
        <w:ind w:firstLine="0"/>
        <w:jc w:val="left"/>
        <w:rPr>
          <w:rFonts w:hint="eastAsia" w:ascii="宋体" w:hAnsi="宋体"/>
          <w:color w:val="auto"/>
          <w:sz w:val="24"/>
          <w:szCs w:val="24"/>
          <w:highlight w:val="none"/>
        </w:rPr>
      </w:pPr>
    </w:p>
    <w:p>
      <w:pPr>
        <w:pStyle w:val="17"/>
        <w:spacing w:line="360" w:lineRule="auto"/>
        <w:ind w:firstLine="0"/>
        <w:jc w:val="left"/>
        <w:rPr>
          <w:rFonts w:hint="eastAsia" w:ascii="宋体" w:hAnsi="宋体"/>
          <w:color w:val="auto"/>
          <w:sz w:val="24"/>
          <w:szCs w:val="24"/>
          <w:highlight w:val="none"/>
        </w:rPr>
      </w:pPr>
    </w:p>
    <w:p>
      <w:pPr>
        <w:pStyle w:val="17"/>
        <w:spacing w:line="360" w:lineRule="auto"/>
        <w:ind w:firstLine="0"/>
        <w:jc w:val="left"/>
        <w:rPr>
          <w:rFonts w:hint="eastAsia" w:ascii="宋体" w:hAnsi="宋体"/>
          <w:color w:val="auto"/>
          <w:sz w:val="24"/>
          <w:szCs w:val="24"/>
          <w:highlight w:val="none"/>
        </w:rPr>
      </w:pPr>
    </w:p>
    <w:p>
      <w:pPr>
        <w:pStyle w:val="17"/>
        <w:spacing w:line="360" w:lineRule="auto"/>
        <w:ind w:firstLine="0"/>
        <w:jc w:val="left"/>
        <w:rPr>
          <w:rFonts w:hint="eastAsia" w:ascii="宋体" w:hAnsi="宋体"/>
          <w:color w:val="auto"/>
          <w:sz w:val="24"/>
          <w:szCs w:val="24"/>
          <w:highlight w:val="none"/>
        </w:rPr>
      </w:pPr>
    </w:p>
    <w:p>
      <w:pPr>
        <w:pStyle w:val="17"/>
        <w:spacing w:line="360" w:lineRule="auto"/>
        <w:ind w:firstLine="0"/>
        <w:jc w:val="left"/>
        <w:rPr>
          <w:rFonts w:hint="eastAsia" w:ascii="宋体" w:hAnsi="宋体"/>
          <w:color w:val="auto"/>
          <w:sz w:val="24"/>
          <w:szCs w:val="24"/>
          <w:highlight w:val="none"/>
        </w:rPr>
      </w:pPr>
    </w:p>
    <w:p>
      <w:pPr>
        <w:pStyle w:val="17"/>
        <w:jc w:val="left"/>
        <w:rPr>
          <w:rFonts w:hint="eastAsia" w:ascii="宋体" w:hAnsi="宋体"/>
          <w:color w:val="auto"/>
          <w:sz w:val="24"/>
          <w:szCs w:val="24"/>
          <w:highlight w:val="none"/>
        </w:rPr>
      </w:pPr>
      <w:bookmarkStart w:id="238" w:name="_第四章__投标文件格式"/>
      <w:bookmarkEnd w:id="238"/>
      <w:bookmarkStart w:id="239" w:name="_Toc12872"/>
      <w:bookmarkStart w:id="240" w:name="_Toc262229175"/>
      <w:bookmarkStart w:id="241" w:name="_Toc85854822"/>
      <w:bookmarkStart w:id="242" w:name="_Toc101777645"/>
    </w:p>
    <w:p>
      <w:pPr>
        <w:pStyle w:val="17"/>
        <w:jc w:val="left"/>
        <w:rPr>
          <w:rFonts w:hint="eastAsia" w:ascii="宋体" w:hAnsi="宋体"/>
          <w:color w:val="auto"/>
          <w:sz w:val="24"/>
          <w:szCs w:val="24"/>
          <w:highlight w:val="none"/>
        </w:rPr>
      </w:pPr>
    </w:p>
    <w:p>
      <w:pPr>
        <w:pStyle w:val="17"/>
        <w:spacing w:line="360" w:lineRule="auto"/>
        <w:ind w:firstLine="0"/>
        <w:jc w:val="left"/>
        <w:rPr>
          <w:rFonts w:hint="eastAsia" w:ascii="宋体" w:hAnsi="宋体"/>
          <w:color w:val="auto"/>
          <w:sz w:val="24"/>
          <w:szCs w:val="24"/>
          <w:highlight w:val="none"/>
        </w:rPr>
      </w:pPr>
    </w:p>
    <w:p>
      <w:pPr>
        <w:pStyle w:val="17"/>
        <w:spacing w:line="360" w:lineRule="auto"/>
        <w:ind w:firstLine="0"/>
        <w:jc w:val="left"/>
        <w:rPr>
          <w:rFonts w:hint="eastAsia" w:ascii="宋体" w:hAnsi="宋体"/>
          <w:color w:val="auto"/>
          <w:sz w:val="24"/>
          <w:szCs w:val="24"/>
          <w:highlight w:val="none"/>
        </w:rPr>
      </w:pPr>
    </w:p>
    <w:p>
      <w:pPr>
        <w:pStyle w:val="17"/>
        <w:jc w:val="left"/>
        <w:rPr>
          <w:rFonts w:hint="eastAsia" w:ascii="宋体" w:hAnsi="宋体"/>
          <w:color w:val="auto"/>
          <w:sz w:val="24"/>
          <w:szCs w:val="24"/>
          <w:highlight w:val="none"/>
        </w:rPr>
      </w:pPr>
      <w:bookmarkStart w:id="243" w:name="_Toc18379"/>
      <w:bookmarkStart w:id="244" w:name="_Toc23279"/>
      <w:bookmarkStart w:id="245" w:name="_Toc623"/>
    </w:p>
    <w:p>
      <w:pPr>
        <w:pStyle w:val="17"/>
        <w:jc w:val="left"/>
        <w:rPr>
          <w:rFonts w:hint="eastAsia" w:ascii="宋体" w:hAnsi="宋体"/>
          <w:color w:val="auto"/>
          <w:sz w:val="24"/>
          <w:szCs w:val="24"/>
          <w:highlight w:val="none"/>
        </w:rPr>
      </w:pPr>
    </w:p>
    <w:bookmarkEnd w:id="239"/>
    <w:bookmarkEnd w:id="240"/>
    <w:bookmarkEnd w:id="243"/>
    <w:bookmarkEnd w:id="244"/>
    <w:bookmarkEnd w:id="245"/>
    <w:p>
      <w:pPr>
        <w:pStyle w:val="2"/>
        <w:rPr>
          <w:rFonts w:hint="eastAsia" w:ascii="宋体" w:eastAsia="宋体"/>
          <w:color w:val="auto"/>
          <w:highlight w:val="none"/>
        </w:rPr>
      </w:pPr>
      <w:bookmarkStart w:id="246" w:name="_Toc19987"/>
      <w:bookmarkStart w:id="247" w:name="_Toc27821"/>
      <w:bookmarkStart w:id="248" w:name="_Toc5442"/>
      <w:bookmarkStart w:id="249" w:name="_Toc16137"/>
      <w:bookmarkStart w:id="250" w:name="_Toc27060"/>
      <w:r>
        <w:rPr>
          <w:rFonts w:hint="eastAsia" w:ascii="宋体" w:eastAsia="宋体"/>
          <w:color w:val="auto"/>
          <w:highlight w:val="none"/>
        </w:rPr>
        <w:t>第四章  投标文件格式</w:t>
      </w:r>
      <w:bookmarkEnd w:id="246"/>
      <w:bookmarkEnd w:id="247"/>
      <w:bookmarkEnd w:id="248"/>
      <w:bookmarkEnd w:id="249"/>
      <w:bookmarkEnd w:id="250"/>
    </w:p>
    <w:p>
      <w:pPr>
        <w:pStyle w:val="17"/>
        <w:spacing w:after="0" w:line="360" w:lineRule="auto"/>
        <w:ind w:firstLine="480" w:firstLineChars="200"/>
        <w:rPr>
          <w:rFonts w:hint="eastAsia" w:ascii="宋体" w:hAnsi="宋体"/>
          <w:color w:val="auto"/>
          <w:sz w:val="24"/>
          <w:szCs w:val="24"/>
          <w:highlight w:val="none"/>
        </w:rPr>
      </w:pPr>
    </w:p>
    <w:p>
      <w:pPr>
        <w:pStyle w:val="17"/>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投标人应按以下规定的格式及要求编制投标文件，如电子投标文件没有按招标文件规定的格式及要求编制，因其所引起系统无法检索、读取电子投标文件中的数据时，其后果将由投标人承担。本格式及要求规定适用于电子评标项目的投标文件的编制。</w:t>
      </w:r>
    </w:p>
    <w:p>
      <w:pPr>
        <w:pStyle w:val="17"/>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1.1《广州园林绿化工程施工招标投标书》是投标文件的重要组成部分，其内容是投标人开标信息的主要来源，投标人应准确填写《广州园林绿化工程施工招标投标书》的相关内容。</w:t>
      </w:r>
    </w:p>
    <w:p>
      <w:pPr>
        <w:pStyle w:val="17"/>
        <w:spacing w:after="0" w:line="360" w:lineRule="auto"/>
        <w:ind w:firstLine="480" w:firstLineChars="200"/>
        <w:rPr>
          <w:rFonts w:ascii="宋体" w:hAnsi="宋体"/>
          <w:bCs/>
          <w:color w:val="auto"/>
          <w:sz w:val="24"/>
          <w:szCs w:val="24"/>
          <w:highlight w:val="none"/>
        </w:rPr>
      </w:pPr>
      <w:r>
        <w:rPr>
          <w:rFonts w:hint="eastAsia" w:ascii="宋体" w:hAnsi="宋体"/>
          <w:color w:val="auto"/>
          <w:sz w:val="24"/>
          <w:szCs w:val="24"/>
          <w:highlight w:val="none"/>
        </w:rPr>
        <w:t>1.2</w:t>
      </w:r>
      <w:r>
        <w:rPr>
          <w:rFonts w:hint="eastAsia" w:ascii="宋体" w:hAnsi="宋体"/>
          <w:bCs/>
          <w:color w:val="auto"/>
          <w:sz w:val="24"/>
          <w:szCs w:val="24"/>
          <w:highlight w:val="none"/>
        </w:rPr>
        <w:t>工程量清单报价表应符合广东省《建设工程造价文件数据交换标准（电子评标部分）》的有关规定，《广州园林绿化工程施工招标投标书》使用广州公共资源交易中心提供的电子投标文件管理软件直接填写，投标文件的其他内容均以电子文件编制。扫描图片电子文件要求为从扫描原纸质文件所形成的电子图片。图片文件格式要求为JPG格式，文件名称要求与上述对应名称一致且唯一，文件内容（即扫描图片内容）要求与文件名称相符，电子图片要求清晰可辨，每个JPG文件可包含多张扫描图片，单个JPG文件大小要求在1M以下。</w:t>
      </w:r>
    </w:p>
    <w:p>
      <w:pPr>
        <w:pStyle w:val="17"/>
        <w:spacing w:after="0" w:line="360" w:lineRule="auto"/>
        <w:ind w:firstLine="480" w:firstLineChars="200"/>
        <w:rPr>
          <w:rFonts w:hint="eastAsia" w:ascii="宋体" w:hAnsi="宋体"/>
          <w:bCs/>
          <w:strike/>
          <w:dstrike w:val="0"/>
          <w:color w:val="auto"/>
          <w:sz w:val="24"/>
          <w:szCs w:val="24"/>
          <w:highlight w:val="none"/>
        </w:rPr>
      </w:pPr>
      <w:r>
        <w:rPr>
          <w:rFonts w:hint="eastAsia" w:ascii="宋体" w:hAnsi="宋体"/>
          <w:bCs/>
          <w:strike/>
          <w:dstrike w:val="0"/>
          <w:color w:val="auto"/>
          <w:sz w:val="24"/>
          <w:szCs w:val="24"/>
          <w:highlight w:val="none"/>
        </w:rPr>
        <w:t>1.3投标人为联合体投标时，应按以下规定填写：</w:t>
      </w:r>
    </w:p>
    <w:p>
      <w:pPr>
        <w:pStyle w:val="17"/>
        <w:spacing w:after="0" w:line="360" w:lineRule="auto"/>
        <w:ind w:firstLine="480" w:firstLineChars="200"/>
        <w:rPr>
          <w:rFonts w:hint="eastAsia" w:ascii="宋体" w:hAnsi="宋体"/>
          <w:bCs/>
          <w:strike/>
          <w:dstrike w:val="0"/>
          <w:color w:val="auto"/>
          <w:sz w:val="24"/>
          <w:szCs w:val="24"/>
          <w:highlight w:val="none"/>
        </w:rPr>
      </w:pPr>
      <w:r>
        <w:rPr>
          <w:rFonts w:hint="eastAsia" w:ascii="宋体" w:hAnsi="宋体"/>
          <w:bCs/>
          <w:strike/>
          <w:dstrike w:val="0"/>
          <w:color w:val="auto"/>
          <w:sz w:val="24"/>
          <w:szCs w:val="24"/>
          <w:highlight w:val="none"/>
        </w:rPr>
        <w:t>联合体投标的，除《联合体投标协议》必须由联合体各方按要求签字或盖章外，其他资料可由联合体主办方签字或盖章，“投标人”应填写联合体各方的单位全称【格式：（主）XX公司；（成）XX公司】。法定代表人证明书及法定代表人授权书可由联合体主办方出具。</w:t>
      </w:r>
    </w:p>
    <w:p>
      <w:pPr>
        <w:pStyle w:val="17"/>
        <w:spacing w:after="0" w:line="360" w:lineRule="auto"/>
        <w:ind w:firstLine="480" w:firstLineChars="200"/>
        <w:rPr>
          <w:rFonts w:ascii="宋体" w:hAnsi="宋体"/>
          <w:strike/>
          <w:dstrike w:val="0"/>
          <w:color w:val="auto"/>
          <w:sz w:val="24"/>
          <w:szCs w:val="24"/>
          <w:highlight w:val="none"/>
        </w:rPr>
      </w:pPr>
      <w:r>
        <w:rPr>
          <w:rFonts w:hint="eastAsia" w:ascii="宋体" w:hAnsi="宋体"/>
          <w:bCs/>
          <w:strike/>
          <w:dstrike w:val="0"/>
          <w:color w:val="auto"/>
          <w:sz w:val="24"/>
          <w:szCs w:val="24"/>
          <w:highlight w:val="none"/>
        </w:rPr>
        <w:t>联合体投标的，在编制工程量清单时应只填写联合体主办方单位全称，且要求填写的全称与广州公共资源交易中心企业库登记名称完全一致。</w:t>
      </w:r>
    </w:p>
    <w:p>
      <w:pPr>
        <w:outlineLvl w:val="2"/>
        <w:rPr>
          <w:rFonts w:ascii="宋体" w:hAnsi="宋体" w:eastAsia="宋体"/>
          <w:color w:val="auto"/>
          <w:highlight w:val="none"/>
        </w:rPr>
      </w:pPr>
      <w:r>
        <w:rPr>
          <w:rFonts w:ascii="宋体" w:hAnsi="宋体" w:eastAsia="宋体"/>
          <w:color w:val="auto"/>
          <w:highlight w:val="none"/>
        </w:rPr>
        <w:br w:type="page"/>
      </w:r>
      <w:bookmarkStart w:id="251" w:name="_Toc23381"/>
      <w:bookmarkStart w:id="252" w:name="_Toc17380"/>
      <w:bookmarkStart w:id="253" w:name="_Toc31563"/>
      <w:bookmarkStart w:id="254" w:name="_Toc18466"/>
      <w:bookmarkStart w:id="255" w:name="_Toc23204"/>
      <w:r>
        <w:rPr>
          <w:rFonts w:hint="eastAsia" w:ascii="宋体" w:hAnsi="宋体" w:eastAsia="宋体"/>
          <w:color w:val="auto"/>
          <w:sz w:val="24"/>
          <w:szCs w:val="24"/>
          <w:highlight w:val="none"/>
        </w:rPr>
        <w:t>附件16 投标函</w:t>
      </w:r>
      <w:bookmarkEnd w:id="251"/>
      <w:bookmarkEnd w:id="252"/>
      <w:bookmarkEnd w:id="253"/>
      <w:bookmarkEnd w:id="254"/>
      <w:bookmarkEnd w:id="255"/>
    </w:p>
    <w:p>
      <w:pPr>
        <w:pStyle w:val="17"/>
        <w:spacing w:after="0" w:line="440" w:lineRule="exact"/>
        <w:ind w:firstLine="0"/>
        <w:jc w:val="center"/>
        <w:rPr>
          <w:rFonts w:hint="eastAsia" w:ascii="宋体" w:hAnsi="宋体"/>
          <w:b/>
          <w:color w:val="auto"/>
          <w:sz w:val="36"/>
          <w:szCs w:val="36"/>
          <w:highlight w:val="none"/>
        </w:rPr>
      </w:pPr>
      <w:r>
        <w:rPr>
          <w:rFonts w:hint="eastAsia" w:ascii="宋体" w:hAnsi="宋体"/>
          <w:b/>
          <w:color w:val="auto"/>
          <w:sz w:val="36"/>
          <w:szCs w:val="36"/>
          <w:highlight w:val="none"/>
        </w:rPr>
        <w:t xml:space="preserve">投  </w:t>
      </w:r>
      <w:r>
        <w:rPr>
          <w:rFonts w:hint="eastAsia" w:ascii="宋体" w:hAnsi="宋体" w:cs="宋体"/>
          <w:b/>
          <w:color w:val="auto"/>
          <w:sz w:val="36"/>
          <w:szCs w:val="36"/>
          <w:highlight w:val="none"/>
        </w:rPr>
        <w:t>标</w:t>
      </w:r>
      <w:r>
        <w:rPr>
          <w:rFonts w:hint="eastAsia" w:ascii="宋体" w:hAnsi="宋体"/>
          <w:b/>
          <w:color w:val="auto"/>
          <w:sz w:val="36"/>
          <w:szCs w:val="36"/>
          <w:highlight w:val="none"/>
        </w:rPr>
        <w:t xml:space="preserve">  函</w:t>
      </w:r>
    </w:p>
    <w:p>
      <w:pPr>
        <w:pStyle w:val="17"/>
        <w:spacing w:after="0" w:line="440" w:lineRule="exact"/>
        <w:ind w:firstLine="0"/>
        <w:jc w:val="center"/>
        <w:rPr>
          <w:rFonts w:ascii="宋体" w:hAnsi="宋体"/>
          <w:b/>
          <w:color w:val="auto"/>
          <w:sz w:val="36"/>
          <w:szCs w:val="36"/>
          <w:highlight w:val="none"/>
        </w:rPr>
      </w:pPr>
    </w:p>
    <w:p>
      <w:pPr>
        <w:spacing w:line="440" w:lineRule="exact"/>
        <w:rPr>
          <w:rFonts w:ascii="宋体" w:hAnsi="宋体" w:eastAsia="宋体"/>
          <w:b/>
          <w:color w:val="auto"/>
          <w:sz w:val="24"/>
          <w:szCs w:val="24"/>
          <w:highlight w:val="none"/>
        </w:rPr>
      </w:pPr>
      <w:r>
        <w:rPr>
          <w:rFonts w:hint="eastAsia" w:ascii="宋体" w:hAnsi="宋体" w:eastAsia="宋体"/>
          <w:b/>
          <w:color w:val="auto"/>
          <w:sz w:val="24"/>
          <w:szCs w:val="24"/>
          <w:highlight w:val="none"/>
        </w:rPr>
        <w:t>致：</w:t>
      </w:r>
      <w:r>
        <w:rPr>
          <w:rFonts w:hint="eastAsia" w:ascii="宋体" w:hAnsi="宋体" w:eastAsia="宋体"/>
          <w:b/>
          <w:color w:val="auto"/>
          <w:sz w:val="24"/>
          <w:szCs w:val="24"/>
          <w:highlight w:val="none"/>
          <w:u w:val="single"/>
        </w:rPr>
        <w:t xml:space="preserve">(招标人名称)                              </w:t>
      </w:r>
    </w:p>
    <w:p>
      <w:pPr>
        <w:spacing w:line="42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根据已收到贵方的项目编号为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的</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工程的招标文件，并已详细审核了全部招标文件及有关附件。</w:t>
      </w:r>
    </w:p>
    <w:p>
      <w:pPr>
        <w:spacing w:line="420" w:lineRule="exact"/>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pPr>
        <w:numPr>
          <w:ilvl w:val="0"/>
          <w:numId w:val="5"/>
        </w:numPr>
        <w:spacing w:line="42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愿以经济标中的投标报价并按上述合同条款、标准和技术规范、图纸、工程量清单等的要求承包上述工程的施工、竣工并修补其任何缺陷。</w:t>
      </w:r>
    </w:p>
    <w:p>
      <w:pPr>
        <w:numPr>
          <w:ilvl w:val="0"/>
          <w:numId w:val="5"/>
        </w:numPr>
        <w:spacing w:line="42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我方同意所递交的投标文件在投标须知规定的投标有效期内有效，在此期间内我方的投标有可能中标，我方将受此约束。如果在投标有效期内撤销投标或放弃中标资格，我方的投标保证金将不予退还，给贵方造成的损失超过我方投标保证金金额的，贵方还有权要求我方对超过部分进行赔偿。</w:t>
      </w:r>
    </w:p>
    <w:p>
      <w:pPr>
        <w:numPr>
          <w:ilvl w:val="0"/>
          <w:numId w:val="5"/>
        </w:numPr>
        <w:spacing w:line="42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我方理解贵方将不受必须接受你们所收到的最低标价或其它任何投标文件的约束。</w:t>
      </w:r>
    </w:p>
    <w:p>
      <w:pPr>
        <w:numPr>
          <w:ilvl w:val="0"/>
          <w:numId w:val="5"/>
        </w:numPr>
        <w:spacing w:line="42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我方已知晓招标文件中载明的评标和定标条款，并接受按定标方法评审的定标结果。如我方成为本项目中标候选人，我方同意并授权招标人将我方投标文件技术部分（项目实施能力）部分进行公开。</w:t>
      </w:r>
    </w:p>
    <w:p>
      <w:pPr>
        <w:numPr>
          <w:ilvl w:val="0"/>
          <w:numId w:val="5"/>
        </w:numPr>
        <w:spacing w:line="42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如果我方中标，我方保证按招标文件中规定的工期，在</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日历天内完成并移交本工程，质量标准达到招标文件中的要求。</w:t>
      </w:r>
    </w:p>
    <w:p>
      <w:pPr>
        <w:numPr>
          <w:ilvl w:val="0"/>
          <w:numId w:val="5"/>
        </w:numPr>
        <w:spacing w:line="42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如果我方中标，我方将递交按招标文件规定且招标人认可的履约保函。</w:t>
      </w:r>
    </w:p>
    <w:p>
      <w:pPr>
        <w:numPr>
          <w:ilvl w:val="0"/>
          <w:numId w:val="5"/>
        </w:numPr>
        <w:spacing w:line="42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除非另外达成协议并生效，贵方的中标通知书和本投标文件将成为约束双方的合同文件的组成部分。</w:t>
      </w:r>
    </w:p>
    <w:p>
      <w:pPr>
        <w:numPr>
          <w:ilvl w:val="0"/>
          <w:numId w:val="5"/>
        </w:numPr>
        <w:spacing w:line="42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如果我方中标，我方将实行项目经理负责制，并按投标文件配备项目管理班子。如未经招标人同意更换项目班子成员，招标人有权取消我公司的中标资格或单方面终止合同，由此造成的违约责任由我公司承担。</w:t>
      </w:r>
    </w:p>
    <w:p>
      <w:pPr>
        <w:spacing w:line="420" w:lineRule="exact"/>
        <w:rPr>
          <w:rFonts w:hint="eastAsia" w:ascii="宋体" w:hAnsi="宋体" w:eastAsia="宋体"/>
          <w:color w:val="auto"/>
          <w:sz w:val="24"/>
          <w:szCs w:val="24"/>
          <w:highlight w:val="none"/>
        </w:rPr>
      </w:pPr>
    </w:p>
    <w:p>
      <w:pPr>
        <w:spacing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法定代表人：（签名或盖章）</w:t>
      </w:r>
    </w:p>
    <w:p>
      <w:pPr>
        <w:spacing w:line="42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投标人：（盖章）                               </w:t>
      </w:r>
    </w:p>
    <w:p>
      <w:pPr>
        <w:spacing w:line="420" w:lineRule="exact"/>
        <w:ind w:firstLine="5760" w:firstLineChars="24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日期：</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w:t>
      </w:r>
    </w:p>
    <w:p>
      <w:pPr>
        <w:spacing w:line="360" w:lineRule="auto"/>
        <w:ind w:firstLine="5880" w:firstLineChars="2450"/>
        <w:rPr>
          <w:rFonts w:hint="eastAsia" w:ascii="宋体" w:hAnsi="宋体" w:eastAsia="宋体"/>
          <w:color w:val="auto"/>
          <w:sz w:val="24"/>
          <w:highlight w:val="none"/>
        </w:rPr>
      </w:pPr>
      <w:r>
        <w:rPr>
          <w:rFonts w:hint="eastAsia" w:ascii="宋体" w:hAnsi="宋体" w:eastAsia="宋体"/>
          <w:color w:val="auto"/>
          <w:sz w:val="24"/>
          <w:szCs w:val="24"/>
          <w:highlight w:val="none"/>
        </w:rPr>
        <w:br w:type="page"/>
      </w:r>
    </w:p>
    <w:p>
      <w:pPr>
        <w:autoSpaceDE w:val="0"/>
        <w:autoSpaceDN w:val="0"/>
        <w:adjustRightInd w:val="0"/>
        <w:spacing w:line="360" w:lineRule="auto"/>
        <w:jc w:val="center"/>
        <w:rPr>
          <w:rFonts w:ascii="宋体" w:hAnsi="宋体" w:eastAsia="宋体" w:cs="宋体"/>
          <w:b/>
          <w:bCs/>
          <w:color w:val="auto"/>
          <w:sz w:val="44"/>
          <w:szCs w:val="44"/>
          <w:highlight w:val="none"/>
          <w:lang w:val="zh-CN"/>
        </w:rPr>
      </w:pPr>
      <w:r>
        <w:rPr>
          <w:rFonts w:hint="eastAsia" w:ascii="宋体" w:hAnsi="宋体" w:eastAsia="宋体" w:cs="宋体"/>
          <w:b/>
          <w:bCs/>
          <w:color w:val="auto"/>
          <w:sz w:val="44"/>
          <w:szCs w:val="44"/>
          <w:highlight w:val="none"/>
          <w:lang w:val="zh-CN"/>
        </w:rPr>
        <w:t>广州园林绿化工程施工招标投标书</w:t>
      </w:r>
    </w:p>
    <w:p>
      <w:pPr>
        <w:autoSpaceDE w:val="0"/>
        <w:autoSpaceDN w:val="0"/>
        <w:adjustRightInd w:val="0"/>
        <w:spacing w:line="360" w:lineRule="auto"/>
        <w:jc w:val="center"/>
        <w:rPr>
          <w:rFonts w:ascii="宋体" w:hAnsi="宋体" w:eastAsia="宋体"/>
          <w:b/>
          <w:bCs/>
          <w:color w:val="auto"/>
          <w:sz w:val="52"/>
          <w:szCs w:val="52"/>
          <w:highlight w:val="none"/>
        </w:rPr>
      </w:pPr>
      <w:r>
        <w:rPr>
          <w:rFonts w:hint="eastAsia" w:ascii="宋体" w:hAnsi="宋体" w:eastAsia="宋体" w:cs="宋体"/>
          <w:b/>
          <w:color w:val="auto"/>
          <w:sz w:val="24"/>
          <w:szCs w:val="24"/>
          <w:highlight w:val="none"/>
          <w:lang w:val="zh-CN"/>
        </w:rPr>
        <w:t xml:space="preserve">                                              投标日期：   年  月  日</w:t>
      </w:r>
    </w:p>
    <w:tbl>
      <w:tblPr>
        <w:tblStyle w:val="18"/>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4"/>
        <w:gridCol w:w="6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rPr>
              <w:t>工 程 名 称</w:t>
            </w:r>
          </w:p>
        </w:tc>
        <w:tc>
          <w:tcPr>
            <w:tcW w:w="603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34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rPr>
              <w:t>投标报价（元）</w:t>
            </w:r>
          </w:p>
        </w:tc>
        <w:tc>
          <w:tcPr>
            <w:tcW w:w="6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宋体"/>
                <w:b/>
                <w:bCs/>
                <w:color w:val="auto"/>
                <w:sz w:val="24"/>
                <w:szCs w:val="24"/>
                <w:highlight w:val="none"/>
                <w:lang w:val="zh-CN"/>
              </w:rPr>
            </w:pPr>
            <w:r>
              <w:rPr>
                <w:rFonts w:hint="eastAsia" w:ascii="宋体" w:hAnsi="宋体" w:eastAsia="宋体"/>
                <w:b/>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4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sz w:val="24"/>
                <w:szCs w:val="24"/>
                <w:highlight w:val="none"/>
                <w:lang w:val="zh-CN"/>
              </w:rPr>
            </w:pPr>
          </w:p>
        </w:tc>
        <w:tc>
          <w:tcPr>
            <w:tcW w:w="6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宋体"/>
                <w:b/>
                <w:bCs/>
                <w:color w:val="auto"/>
                <w:sz w:val="24"/>
                <w:szCs w:val="24"/>
                <w:highlight w:val="none"/>
                <w:lang w:val="zh-CN"/>
              </w:rPr>
            </w:pPr>
            <w:r>
              <w:rPr>
                <w:rFonts w:hint="eastAsia" w:ascii="宋体" w:hAnsi="宋体" w:eastAsia="宋体"/>
                <w:b/>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34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rPr>
              <w:t>其中：</w:t>
            </w:r>
            <w:r>
              <w:rPr>
                <w:rFonts w:hint="eastAsia" w:ascii="宋体" w:hAnsi="宋体" w:eastAsia="宋体" w:cs="宋体"/>
                <w:b/>
                <w:bCs/>
                <w:color w:val="auto"/>
                <w:sz w:val="24"/>
                <w:szCs w:val="24"/>
                <w:highlight w:val="none"/>
                <w:lang w:val="zh-CN"/>
              </w:rPr>
              <w:t>人工费</w:t>
            </w:r>
            <w:r>
              <w:rPr>
                <w:rFonts w:hint="eastAsia" w:ascii="宋体" w:hAnsi="宋体" w:eastAsia="宋体" w:cs="宋体"/>
                <w:b/>
                <w:color w:val="auto"/>
                <w:sz w:val="24"/>
                <w:szCs w:val="24"/>
                <w:highlight w:val="none"/>
                <w:lang w:val="zh-CN"/>
              </w:rPr>
              <w:t>（元）</w:t>
            </w:r>
          </w:p>
        </w:tc>
        <w:tc>
          <w:tcPr>
            <w:tcW w:w="6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宋体"/>
                <w:b/>
                <w:bCs/>
                <w:color w:val="auto"/>
                <w:sz w:val="24"/>
                <w:szCs w:val="24"/>
                <w:highlight w:val="none"/>
                <w:lang w:val="zh-CN"/>
              </w:rPr>
            </w:pPr>
            <w:r>
              <w:rPr>
                <w:rFonts w:hint="eastAsia" w:ascii="宋体" w:hAnsi="宋体" w:eastAsia="宋体"/>
                <w:b/>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4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sz w:val="24"/>
                <w:szCs w:val="24"/>
                <w:highlight w:val="none"/>
                <w:lang w:val="zh-CN"/>
              </w:rPr>
            </w:pPr>
          </w:p>
        </w:tc>
        <w:tc>
          <w:tcPr>
            <w:tcW w:w="6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宋体"/>
                <w:b/>
                <w:bCs/>
                <w:color w:val="auto"/>
                <w:sz w:val="24"/>
                <w:szCs w:val="24"/>
                <w:highlight w:val="none"/>
                <w:lang w:val="zh-CN"/>
              </w:rPr>
            </w:pPr>
            <w:r>
              <w:rPr>
                <w:rFonts w:hint="eastAsia" w:ascii="宋体" w:hAnsi="宋体" w:eastAsia="宋体"/>
                <w:b/>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44" w:type="dxa"/>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firstLine="118" w:firstLineChars="49"/>
              <w:jc w:val="center"/>
              <w:rPr>
                <w:rFonts w:hint="eastAsia" w:ascii="宋体" w:hAnsi="宋体" w:eastAsia="宋体" w:cs="宋体"/>
                <w:b/>
                <w:color w:val="auto"/>
                <w:sz w:val="24"/>
                <w:szCs w:val="24"/>
                <w:highlight w:val="none"/>
                <w:lang w:val="zh-CN"/>
              </w:rPr>
            </w:pPr>
            <w:r>
              <w:rPr>
                <w:rFonts w:hint="eastAsia" w:ascii="宋体" w:hAnsi="宋体" w:eastAsia="宋体" w:cs="宋体"/>
                <w:b/>
                <w:bCs/>
                <w:color w:val="auto"/>
                <w:sz w:val="24"/>
                <w:szCs w:val="24"/>
                <w:highlight w:val="none"/>
                <w:lang w:val="zh-CN"/>
              </w:rPr>
              <w:t>其中：</w:t>
            </w:r>
            <w:r>
              <w:rPr>
                <w:rFonts w:hint="eastAsia" w:ascii="宋体" w:hAnsi="宋体" w:eastAsia="宋体" w:cs="宋体"/>
                <w:b/>
                <w:color w:val="auto"/>
                <w:sz w:val="24"/>
                <w:szCs w:val="24"/>
                <w:highlight w:val="none"/>
                <w:lang w:val="zh-CN"/>
              </w:rPr>
              <w:t>绿色施工安全防护</w:t>
            </w:r>
          </w:p>
          <w:p>
            <w:pPr>
              <w:keepNext w:val="0"/>
              <w:keepLines w:val="0"/>
              <w:widowControl/>
              <w:suppressLineNumbers w:val="0"/>
              <w:spacing w:before="0" w:beforeAutospacing="0" w:after="0" w:afterAutospacing="0"/>
              <w:ind w:left="0" w:right="0" w:firstLine="118" w:firstLineChars="49"/>
              <w:jc w:val="center"/>
              <w:rPr>
                <w:rFonts w:hint="default"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rPr>
              <w:t>措施费</w:t>
            </w:r>
            <w:r>
              <w:rPr>
                <w:rFonts w:hint="eastAsia" w:ascii="宋体" w:hAnsi="宋体" w:eastAsia="宋体" w:cs="宋体"/>
                <w:b/>
                <w:bCs/>
                <w:color w:val="auto"/>
                <w:sz w:val="24"/>
                <w:szCs w:val="24"/>
                <w:highlight w:val="none"/>
                <w:lang w:val="zh-CN"/>
              </w:rPr>
              <w:t>（元）</w:t>
            </w:r>
          </w:p>
        </w:tc>
        <w:tc>
          <w:tcPr>
            <w:tcW w:w="6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宋体"/>
                <w:b/>
                <w:bCs/>
                <w:color w:val="auto"/>
                <w:sz w:val="24"/>
                <w:szCs w:val="24"/>
                <w:highlight w:val="none"/>
                <w:lang w:val="zh-CN"/>
              </w:rPr>
            </w:pPr>
            <w:r>
              <w:rPr>
                <w:rFonts w:hint="eastAsia" w:ascii="宋体" w:hAnsi="宋体" w:eastAsia="宋体"/>
                <w:b/>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44"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sz w:val="24"/>
                <w:szCs w:val="24"/>
                <w:highlight w:val="none"/>
                <w:lang w:val="zh-CN"/>
              </w:rPr>
            </w:pPr>
          </w:p>
        </w:tc>
        <w:tc>
          <w:tcPr>
            <w:tcW w:w="60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宋体"/>
                <w:b/>
                <w:bCs/>
                <w:color w:val="auto"/>
                <w:sz w:val="24"/>
                <w:szCs w:val="24"/>
                <w:highlight w:val="none"/>
                <w:lang w:val="zh-CN"/>
              </w:rPr>
            </w:pPr>
            <w:r>
              <w:rPr>
                <w:rFonts w:hint="eastAsia" w:ascii="宋体" w:hAnsi="宋体" w:eastAsia="宋体"/>
                <w:b/>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投 标 总 工 期</w:t>
            </w:r>
          </w:p>
        </w:tc>
        <w:tc>
          <w:tcPr>
            <w:tcW w:w="603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b/>
                <w:color w:val="auto"/>
                <w:sz w:val="24"/>
                <w:szCs w:val="24"/>
                <w:highlight w:val="none"/>
              </w:rPr>
            </w:pPr>
            <w:r>
              <w:rPr>
                <w:rFonts w:hint="eastAsia" w:ascii="宋体" w:hAnsi="宋体" w:eastAsia="宋体" w:cs="宋体"/>
                <w:b/>
                <w:color w:val="auto"/>
                <w:sz w:val="24"/>
                <w:szCs w:val="24"/>
                <w:highlight w:val="none"/>
                <w:lang w:val="zh-CN"/>
              </w:rPr>
              <w:t>工 程 质 量 标 准</w:t>
            </w:r>
          </w:p>
        </w:tc>
        <w:tc>
          <w:tcPr>
            <w:tcW w:w="603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3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rPr>
              <w:t>保 修 期 限</w:t>
            </w:r>
          </w:p>
        </w:tc>
        <w:tc>
          <w:tcPr>
            <w:tcW w:w="603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autoSpaceDE w:val="0"/>
              <w:autoSpaceDN w:val="0"/>
              <w:adjustRightInd w:val="0"/>
              <w:spacing w:before="0" w:beforeAutospacing="0" w:after="0" w:afterAutospacing="0"/>
              <w:ind w:left="0" w:right="0"/>
              <w:rPr>
                <w:rFonts w:hint="default" w:ascii="宋体" w:hAnsi="宋体" w:eastAsia="宋体" w:cs="宋体"/>
                <w:b/>
                <w:bCs/>
                <w:color w:val="auto"/>
                <w:sz w:val="24"/>
                <w:szCs w:val="24"/>
                <w:highlight w:val="none"/>
                <w:lang w:val="zh-CN"/>
              </w:rPr>
            </w:pPr>
          </w:p>
        </w:tc>
      </w:tr>
    </w:tbl>
    <w:p>
      <w:pPr>
        <w:autoSpaceDE w:val="0"/>
        <w:autoSpaceDN w:val="0"/>
        <w:adjustRightInd w:val="0"/>
        <w:rPr>
          <w:rFonts w:ascii="宋体" w:hAnsi="宋体" w:eastAsia="宋体" w:cs="宋体"/>
          <w:color w:val="auto"/>
          <w:szCs w:val="21"/>
          <w:highlight w:val="none"/>
          <w:lang w:val="zh-CN"/>
        </w:rPr>
      </w:pPr>
    </w:p>
    <w:p>
      <w:pPr>
        <w:autoSpaceDE w:val="0"/>
        <w:autoSpaceDN w:val="0"/>
        <w:adjustRightInd w:val="0"/>
        <w:rPr>
          <w:rFonts w:hint="eastAsia" w:ascii="宋体" w:hAnsi="宋体" w:eastAsia="宋体" w:cs="宋体"/>
          <w:color w:val="auto"/>
          <w:szCs w:val="21"/>
          <w:highlight w:val="none"/>
          <w:lang w:val="zh-CN"/>
        </w:rPr>
      </w:pPr>
    </w:p>
    <w:p>
      <w:pPr>
        <w:autoSpaceDE w:val="0"/>
        <w:autoSpaceDN w:val="0"/>
        <w:adjustRightInd w:val="0"/>
        <w:ind w:firstLine="420" w:firstLineChars="200"/>
        <w:rPr>
          <w:rFonts w:ascii="宋体" w:hAnsi="宋体" w:eastAsia="宋体"/>
          <w:color w:val="auto"/>
          <w:highlight w:val="none"/>
        </w:rPr>
      </w:pPr>
      <w:r>
        <w:rPr>
          <w:rFonts w:hint="eastAsia" w:ascii="宋体" w:hAnsi="宋体" w:eastAsia="宋体" w:cs="宋体"/>
          <w:color w:val="auto"/>
          <w:szCs w:val="21"/>
          <w:highlight w:val="none"/>
          <w:lang w:val="zh-CN"/>
        </w:rPr>
        <w:t>注：本投标书由投标文件管理软件生成，投标人可直接在上面填写相关内容。</w:t>
      </w:r>
    </w:p>
    <w:p>
      <w:pPr>
        <w:rPr>
          <w:rFonts w:hint="eastAsia" w:ascii="宋体" w:hAnsi="宋体" w:eastAsia="宋体"/>
          <w:b/>
          <w:color w:val="auto"/>
          <w:sz w:val="36"/>
          <w:szCs w:val="36"/>
          <w:highlight w:val="none"/>
        </w:rPr>
      </w:pPr>
    </w:p>
    <w:p>
      <w:pPr>
        <w:rPr>
          <w:rFonts w:hint="eastAsia" w:ascii="宋体" w:hAnsi="宋体" w:eastAsia="宋体"/>
          <w:b/>
          <w:color w:val="auto"/>
          <w:sz w:val="36"/>
          <w:szCs w:val="36"/>
          <w:highlight w:val="none"/>
        </w:rPr>
      </w:pPr>
    </w:p>
    <w:p>
      <w:pPr>
        <w:rPr>
          <w:rFonts w:hint="eastAsia" w:ascii="宋体" w:hAnsi="宋体" w:eastAsia="宋体"/>
          <w:b/>
          <w:color w:val="auto"/>
          <w:sz w:val="36"/>
          <w:szCs w:val="36"/>
          <w:highlight w:val="none"/>
        </w:rPr>
      </w:pPr>
    </w:p>
    <w:p>
      <w:pPr>
        <w:rPr>
          <w:rFonts w:hint="eastAsia" w:ascii="宋体" w:hAnsi="宋体" w:eastAsia="宋体"/>
          <w:b/>
          <w:color w:val="auto"/>
          <w:sz w:val="36"/>
          <w:szCs w:val="36"/>
          <w:highlight w:val="none"/>
        </w:rPr>
      </w:pPr>
    </w:p>
    <w:p>
      <w:pPr>
        <w:rPr>
          <w:rFonts w:hint="eastAsia" w:ascii="宋体" w:hAnsi="宋体" w:eastAsia="宋体"/>
          <w:b/>
          <w:color w:val="auto"/>
          <w:sz w:val="36"/>
          <w:szCs w:val="36"/>
          <w:highlight w:val="none"/>
        </w:rPr>
      </w:pPr>
    </w:p>
    <w:p>
      <w:pPr>
        <w:rPr>
          <w:rFonts w:hint="eastAsia" w:ascii="宋体" w:hAnsi="宋体" w:eastAsia="宋体"/>
          <w:b/>
          <w:color w:val="auto"/>
          <w:sz w:val="36"/>
          <w:szCs w:val="36"/>
          <w:highlight w:val="none"/>
        </w:rPr>
      </w:pPr>
    </w:p>
    <w:p>
      <w:pPr>
        <w:rPr>
          <w:rFonts w:hint="eastAsia" w:ascii="宋体" w:hAnsi="宋体" w:eastAsia="宋体"/>
          <w:b/>
          <w:color w:val="auto"/>
          <w:sz w:val="36"/>
          <w:szCs w:val="36"/>
          <w:highlight w:val="none"/>
        </w:rPr>
      </w:pPr>
    </w:p>
    <w:p>
      <w:pPr>
        <w:rPr>
          <w:rFonts w:hint="eastAsia" w:ascii="宋体" w:hAnsi="宋体" w:eastAsia="宋体"/>
          <w:b/>
          <w:color w:val="auto"/>
          <w:sz w:val="36"/>
          <w:szCs w:val="36"/>
          <w:highlight w:val="none"/>
        </w:rPr>
      </w:pPr>
    </w:p>
    <w:p>
      <w:pPr>
        <w:jc w:val="center"/>
        <w:rPr>
          <w:rFonts w:hint="eastAsia" w:ascii="宋体" w:hAnsi="宋体" w:eastAsia="宋体"/>
          <w:b/>
          <w:color w:val="auto"/>
          <w:sz w:val="36"/>
          <w:szCs w:val="36"/>
          <w:highlight w:val="none"/>
        </w:rPr>
      </w:pPr>
    </w:p>
    <w:p>
      <w:pPr>
        <w:jc w:val="center"/>
        <w:rPr>
          <w:rFonts w:hint="eastAsia" w:ascii="宋体" w:hAnsi="宋体" w:eastAsia="宋体"/>
          <w:b/>
          <w:color w:val="auto"/>
          <w:sz w:val="36"/>
          <w:szCs w:val="36"/>
          <w:highlight w:val="none"/>
        </w:rPr>
      </w:pPr>
    </w:p>
    <w:p>
      <w:pPr>
        <w:jc w:val="center"/>
        <w:rPr>
          <w:rFonts w:hint="eastAsia" w:ascii="宋体" w:hAnsi="宋体" w:eastAsia="宋体"/>
          <w:b/>
          <w:color w:val="auto"/>
          <w:sz w:val="36"/>
          <w:szCs w:val="36"/>
          <w:highlight w:val="none"/>
        </w:rPr>
      </w:pPr>
    </w:p>
    <w:p>
      <w:pPr>
        <w:jc w:val="center"/>
        <w:rPr>
          <w:rFonts w:ascii="宋体" w:hAnsi="宋体" w:eastAsia="宋体"/>
          <w:b/>
          <w:color w:val="auto"/>
          <w:sz w:val="36"/>
          <w:szCs w:val="36"/>
          <w:highlight w:val="none"/>
        </w:rPr>
      </w:pPr>
      <w:r>
        <w:rPr>
          <w:rFonts w:hint="eastAsia" w:ascii="宋体" w:hAnsi="宋体" w:eastAsia="宋体"/>
          <w:b/>
          <w:color w:val="auto"/>
          <w:sz w:val="36"/>
          <w:szCs w:val="36"/>
          <w:highlight w:val="none"/>
        </w:rPr>
        <w:t>响应招标文件所附</w:t>
      </w:r>
      <w:r>
        <w:rPr>
          <w:rFonts w:hint="eastAsia" w:ascii="宋体" w:hAnsi="宋体" w:eastAsia="宋体"/>
          <w:b/>
          <w:bCs/>
          <w:color w:val="auto"/>
          <w:sz w:val="36"/>
          <w:szCs w:val="36"/>
          <w:highlight w:val="none"/>
          <w:u w:val="single"/>
        </w:rPr>
        <w:t xml:space="preserve"> 施工组织设计要点</w:t>
      </w:r>
      <w:r>
        <w:rPr>
          <w:rFonts w:hint="eastAsia" w:ascii="宋体" w:hAnsi="宋体" w:eastAsia="宋体"/>
          <w:b/>
          <w:bCs/>
          <w:color w:val="auto"/>
          <w:sz w:val="30"/>
          <w:szCs w:val="30"/>
          <w:highlight w:val="none"/>
          <w:u w:val="single"/>
        </w:rPr>
        <w:t xml:space="preserve"> </w:t>
      </w:r>
      <w:r>
        <w:rPr>
          <w:rFonts w:hint="eastAsia" w:ascii="宋体" w:hAnsi="宋体" w:eastAsia="宋体"/>
          <w:b/>
          <w:color w:val="auto"/>
          <w:sz w:val="36"/>
          <w:szCs w:val="36"/>
          <w:highlight w:val="none"/>
        </w:rPr>
        <w:t>承诺书</w:t>
      </w:r>
    </w:p>
    <w:p>
      <w:pPr>
        <w:spacing w:line="360" w:lineRule="auto"/>
        <w:rPr>
          <w:rFonts w:ascii="宋体" w:hAnsi="宋体" w:eastAsia="宋体"/>
          <w:color w:val="auto"/>
          <w:highlight w:val="none"/>
        </w:rPr>
      </w:pPr>
    </w:p>
    <w:p>
      <w:pPr>
        <w:spacing w:line="360" w:lineRule="auto"/>
        <w:rPr>
          <w:rFonts w:ascii="宋体" w:hAnsi="宋体" w:eastAsia="宋体"/>
          <w:color w:val="auto"/>
          <w:highlight w:val="none"/>
        </w:rPr>
      </w:pPr>
    </w:p>
    <w:p>
      <w:pPr>
        <w:spacing w:line="360" w:lineRule="auto"/>
        <w:rPr>
          <w:rFonts w:ascii="宋体" w:hAnsi="宋体" w:eastAsia="宋体"/>
          <w:color w:val="auto"/>
          <w:sz w:val="24"/>
          <w:highlight w:val="none"/>
        </w:rPr>
      </w:pPr>
    </w:p>
    <w:p>
      <w:pPr>
        <w:spacing w:line="480" w:lineRule="auto"/>
        <w:rPr>
          <w:rFonts w:ascii="宋体" w:hAnsi="宋体" w:eastAsia="宋体"/>
          <w:color w:val="auto"/>
          <w:sz w:val="24"/>
          <w:highlight w:val="none"/>
          <w:u w:val="single"/>
        </w:rPr>
      </w:pPr>
      <w:r>
        <w:rPr>
          <w:rFonts w:hint="eastAsia" w:ascii="宋体" w:hAnsi="宋体" w:eastAsia="宋体"/>
          <w:color w:val="auto"/>
          <w:sz w:val="24"/>
          <w:highlight w:val="none"/>
          <w:u w:val="single"/>
        </w:rPr>
        <w:t xml:space="preserve">          （招标人）</w:t>
      </w:r>
      <w:r>
        <w:rPr>
          <w:rFonts w:hint="eastAsia" w:ascii="宋体" w:hAnsi="宋体" w:eastAsia="宋体"/>
          <w:color w:val="auto"/>
          <w:sz w:val="24"/>
          <w:highlight w:val="none"/>
        </w:rPr>
        <w:t>：</w:t>
      </w:r>
    </w:p>
    <w:p>
      <w:pPr>
        <w:spacing w:line="48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我方承诺，如中标承建</w:t>
      </w:r>
      <w:r>
        <w:rPr>
          <w:rFonts w:hint="eastAsia" w:ascii="宋体" w:hAnsi="宋体" w:eastAsia="宋体"/>
          <w:color w:val="auto"/>
          <w:sz w:val="24"/>
          <w:highlight w:val="none"/>
          <w:u w:val="single"/>
        </w:rPr>
        <w:t xml:space="preserve">         (项目名称)</w:t>
      </w:r>
      <w:r>
        <w:rPr>
          <w:rFonts w:hint="eastAsia" w:ascii="宋体" w:hAnsi="宋体" w:eastAsia="宋体"/>
          <w:color w:val="auto"/>
          <w:sz w:val="24"/>
          <w:highlight w:val="none"/>
        </w:rPr>
        <w:t>，将按招标文件所附的本工程</w:t>
      </w:r>
      <w:r>
        <w:rPr>
          <w:rFonts w:hint="eastAsia" w:ascii="宋体" w:hAnsi="宋体" w:eastAsia="宋体"/>
          <w:color w:val="auto"/>
          <w:sz w:val="24"/>
          <w:highlight w:val="none"/>
          <w:u w:val="single"/>
        </w:rPr>
        <w:t xml:space="preserve">（施工组织设计要点或施工方案）        </w:t>
      </w:r>
      <w:r>
        <w:rPr>
          <w:rFonts w:hint="eastAsia" w:ascii="宋体" w:hAnsi="宋体" w:eastAsia="宋体"/>
          <w:color w:val="auto"/>
          <w:sz w:val="24"/>
          <w:highlight w:val="none"/>
        </w:rPr>
        <w:t>进行响应的基础上自行组织施工。并承诺在中标后按招标文件所附的</w:t>
      </w:r>
      <w:r>
        <w:rPr>
          <w:rFonts w:hint="eastAsia" w:ascii="宋体" w:hAnsi="宋体" w:eastAsia="宋体"/>
          <w:color w:val="auto"/>
          <w:sz w:val="24"/>
          <w:highlight w:val="none"/>
          <w:u w:val="single"/>
        </w:rPr>
        <w:t xml:space="preserve">（施工组织设计要点或施工方案）        </w:t>
      </w:r>
      <w:r>
        <w:rPr>
          <w:rFonts w:hint="eastAsia" w:ascii="宋体" w:hAnsi="宋体" w:eastAsia="宋体"/>
          <w:color w:val="auto"/>
          <w:sz w:val="24"/>
          <w:highlight w:val="none"/>
        </w:rPr>
        <w:t>基础上编制详细的施工组织设计，并报经监理单位和建设单位审批后实施。</w:t>
      </w:r>
    </w:p>
    <w:p>
      <w:pPr>
        <w:spacing w:line="360" w:lineRule="auto"/>
        <w:rPr>
          <w:rFonts w:ascii="宋体" w:hAnsi="宋体" w:eastAsia="宋体"/>
          <w:color w:val="auto"/>
          <w:sz w:val="24"/>
          <w:highlight w:val="none"/>
        </w:rPr>
      </w:pPr>
    </w:p>
    <w:p>
      <w:pPr>
        <w:spacing w:line="360" w:lineRule="auto"/>
        <w:rPr>
          <w:rFonts w:ascii="宋体" w:hAnsi="宋体" w:eastAsia="宋体"/>
          <w:color w:val="auto"/>
          <w:sz w:val="24"/>
          <w:highlight w:val="none"/>
        </w:rPr>
      </w:pPr>
    </w:p>
    <w:p>
      <w:pPr>
        <w:spacing w:line="360" w:lineRule="auto"/>
        <w:rPr>
          <w:rFonts w:ascii="宋体" w:hAnsi="宋体" w:eastAsia="宋体"/>
          <w:color w:val="auto"/>
          <w:sz w:val="24"/>
          <w:highlight w:val="none"/>
        </w:rPr>
      </w:pPr>
    </w:p>
    <w:p>
      <w:pPr>
        <w:spacing w:line="360" w:lineRule="auto"/>
        <w:rPr>
          <w:rFonts w:ascii="宋体" w:hAnsi="宋体" w:eastAsia="宋体"/>
          <w:color w:val="auto"/>
          <w:sz w:val="24"/>
          <w:highlight w:val="none"/>
        </w:rPr>
      </w:pPr>
    </w:p>
    <w:p>
      <w:pPr>
        <w:spacing w:line="360" w:lineRule="auto"/>
        <w:rPr>
          <w:rFonts w:hint="eastAsia" w:ascii="宋体" w:hAnsi="宋体" w:eastAsia="宋体"/>
          <w:color w:val="auto"/>
          <w:sz w:val="24"/>
          <w:highlight w:val="none"/>
        </w:rPr>
      </w:pPr>
    </w:p>
    <w:p>
      <w:pPr>
        <w:spacing w:line="360" w:lineRule="auto"/>
        <w:rPr>
          <w:rFonts w:ascii="宋体" w:hAnsi="宋体" w:eastAsia="宋体"/>
          <w:color w:val="auto"/>
          <w:sz w:val="24"/>
          <w:highlight w:val="none"/>
        </w:rPr>
      </w:pPr>
    </w:p>
    <w:p>
      <w:pPr>
        <w:spacing w:line="360" w:lineRule="auto"/>
        <w:ind w:firstLine="3480" w:firstLineChars="1450"/>
        <w:rPr>
          <w:rFonts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p>
    <w:p>
      <w:pPr>
        <w:wordWrap w:val="0"/>
        <w:spacing w:line="360" w:lineRule="auto"/>
        <w:ind w:right="90"/>
        <w:jc w:val="center"/>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                           法定代表人或其委托代理人：</w:t>
      </w:r>
      <w:r>
        <w:rPr>
          <w:rFonts w:hint="eastAsia" w:ascii="宋体" w:hAnsi="宋体" w:eastAsia="宋体"/>
          <w:color w:val="auto"/>
          <w:sz w:val="24"/>
          <w:szCs w:val="24"/>
          <w:highlight w:val="none"/>
          <w:u w:val="single"/>
        </w:rPr>
        <w:t xml:space="preserve">                  </w:t>
      </w:r>
    </w:p>
    <w:p>
      <w:pPr>
        <w:spacing w:line="360" w:lineRule="auto"/>
        <w:ind w:firstLine="5880" w:firstLineChars="2450"/>
        <w:rPr>
          <w:rFonts w:hint="eastAsia" w:ascii="宋体" w:hAnsi="宋体" w:eastAsia="宋体"/>
          <w:color w:val="auto"/>
          <w:sz w:val="24"/>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w:t>
      </w:r>
    </w:p>
    <w:p>
      <w:pPr>
        <w:widowControl/>
        <w:numPr>
          <w:ilvl w:val="0"/>
          <w:numId w:val="0"/>
        </w:numPr>
        <w:spacing w:line="360" w:lineRule="auto"/>
        <w:jc w:val="left"/>
        <w:rPr>
          <w:rFonts w:hint="eastAsia" w:ascii="宋体" w:hAnsi="宋体" w:eastAsia="宋体"/>
          <w:color w:val="auto"/>
          <w:sz w:val="24"/>
          <w:szCs w:val="22"/>
          <w:highlight w:val="none"/>
        </w:rPr>
      </w:pPr>
    </w:p>
    <w:p>
      <w:pPr>
        <w:pStyle w:val="17"/>
        <w:spacing w:after="0" w:line="360" w:lineRule="auto"/>
        <w:ind w:firstLine="0"/>
        <w:jc w:val="center"/>
        <w:rPr>
          <w:rFonts w:hint="eastAsia" w:ascii="宋体" w:hAnsi="宋体"/>
          <w:b/>
          <w:color w:val="auto"/>
          <w:sz w:val="36"/>
          <w:szCs w:val="36"/>
          <w:highlight w:val="none"/>
        </w:rPr>
      </w:pPr>
      <w:r>
        <w:rPr>
          <w:rFonts w:ascii="宋体" w:hAnsi="宋体"/>
          <w:color w:val="auto"/>
          <w:sz w:val="24"/>
          <w:highlight w:val="none"/>
        </w:rPr>
        <w:br w:type="page"/>
      </w:r>
      <w:r>
        <w:rPr>
          <w:rFonts w:hint="eastAsia" w:ascii="宋体" w:hAnsi="宋体"/>
          <w:b/>
          <w:color w:val="auto"/>
          <w:sz w:val="36"/>
          <w:szCs w:val="36"/>
          <w:highlight w:val="none"/>
        </w:rPr>
        <w:t>对投标文件编制的承诺</w:t>
      </w:r>
    </w:p>
    <w:p>
      <w:pPr>
        <w:pStyle w:val="17"/>
        <w:spacing w:after="0" w:line="360" w:lineRule="auto"/>
        <w:ind w:firstLine="0"/>
        <w:jc w:val="center"/>
        <w:rPr>
          <w:rFonts w:hint="eastAsia" w:ascii="宋体" w:hAnsi="宋体"/>
          <w:color w:val="auto"/>
          <w:sz w:val="36"/>
          <w:szCs w:val="36"/>
          <w:highlight w:val="none"/>
        </w:rPr>
      </w:pPr>
    </w:p>
    <w:p>
      <w:pPr>
        <w:pStyle w:val="17"/>
        <w:spacing w:after="0" w:line="360" w:lineRule="auto"/>
        <w:ind w:left="-2" w:leftChars="-1"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本公司授权</w:t>
      </w:r>
      <w:r>
        <w:rPr>
          <w:rFonts w:hint="eastAsia" w:ascii="宋体" w:hAnsi="宋体"/>
          <w:color w:val="auto"/>
          <w:sz w:val="24"/>
          <w:szCs w:val="24"/>
          <w:highlight w:val="none"/>
          <w:u w:val="single"/>
        </w:rPr>
        <w:t xml:space="preserve">         （身份证号：               ）</w:t>
      </w:r>
      <w:r>
        <w:rPr>
          <w:rFonts w:hint="eastAsia" w:ascii="宋体" w:hAnsi="宋体"/>
          <w:color w:val="auto"/>
          <w:sz w:val="24"/>
          <w:szCs w:val="24"/>
          <w:highlight w:val="none"/>
        </w:rPr>
        <w:t>负责对投标文件的编制及内容进行解释、说明，并承诺以下事项：</w:t>
      </w:r>
    </w:p>
    <w:p>
      <w:pPr>
        <w:pStyle w:val="17"/>
        <w:spacing w:after="0" w:line="360" w:lineRule="auto"/>
        <w:ind w:left="-2" w:leftChars="-1"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1.被授权人清楚投标文件编制的具体情况，包括技术方案文件、工程量清单、以及投标文件的加密打包的理解；</w:t>
      </w:r>
    </w:p>
    <w:p>
      <w:pPr>
        <w:pStyle w:val="17"/>
        <w:spacing w:after="0" w:line="360" w:lineRule="auto"/>
        <w:ind w:left="-2" w:leftChars="-1"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2.在本项目开标至评标结束前，努力确保被授权人在项目评标所在地附近；</w:t>
      </w:r>
    </w:p>
    <w:p>
      <w:pPr>
        <w:pStyle w:val="17"/>
        <w:spacing w:after="0" w:line="360" w:lineRule="auto"/>
        <w:ind w:left="-2" w:leftChars="-1"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3.从评标委员会要求澄清起2小时内，被授权人应如实地书面澄清。</w:t>
      </w:r>
    </w:p>
    <w:p>
      <w:pPr>
        <w:pStyle w:val="17"/>
        <w:spacing w:after="0" w:line="360" w:lineRule="auto"/>
        <w:ind w:left="-2" w:leftChars="-1"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如由于上述情形之一无法进行澄清的，我公司默认评标委员会作出的评审结论。</w:t>
      </w:r>
    </w:p>
    <w:p>
      <w:pPr>
        <w:pStyle w:val="17"/>
        <w:spacing w:after="0"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 xml:space="preserve"> </w:t>
      </w:r>
    </w:p>
    <w:p>
      <w:pPr>
        <w:pStyle w:val="17"/>
        <w:spacing w:after="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附件：1.《投标文件编制人员名单》</w:t>
      </w:r>
    </w:p>
    <w:p>
      <w:pPr>
        <w:pStyle w:val="17"/>
        <w:spacing w:after="0" w:line="360" w:lineRule="auto"/>
        <w:ind w:firstLine="1200" w:firstLineChars="500"/>
        <w:rPr>
          <w:rFonts w:hint="eastAsia" w:ascii="宋体" w:hAnsi="宋体"/>
          <w:color w:val="auto"/>
          <w:sz w:val="24"/>
          <w:szCs w:val="24"/>
          <w:highlight w:val="none"/>
        </w:rPr>
      </w:pPr>
      <w:r>
        <w:rPr>
          <w:rFonts w:hint="eastAsia" w:ascii="宋体" w:hAnsi="宋体"/>
          <w:color w:val="auto"/>
          <w:sz w:val="24"/>
          <w:szCs w:val="24"/>
          <w:highlight w:val="none"/>
        </w:rPr>
        <w:t>2.《投标文件编制情况》</w:t>
      </w:r>
    </w:p>
    <w:p>
      <w:pPr>
        <w:pStyle w:val="17"/>
        <w:spacing w:after="0" w:line="360" w:lineRule="auto"/>
        <w:ind w:firstLine="1200" w:firstLineChars="500"/>
        <w:rPr>
          <w:rFonts w:hint="eastAsia" w:ascii="宋体" w:hAnsi="宋体"/>
          <w:color w:val="auto"/>
          <w:sz w:val="24"/>
          <w:szCs w:val="24"/>
          <w:highlight w:val="none"/>
        </w:rPr>
      </w:pPr>
    </w:p>
    <w:p>
      <w:pPr>
        <w:wordWrap w:val="0"/>
        <w:spacing w:line="360" w:lineRule="auto"/>
        <w:ind w:right="90" w:firstLine="3840" w:firstLineChars="16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投标人（盖章）：</w:t>
      </w:r>
      <w:r>
        <w:rPr>
          <w:rFonts w:hint="eastAsia" w:ascii="宋体" w:hAnsi="宋体" w:eastAsia="宋体"/>
          <w:color w:val="auto"/>
          <w:sz w:val="24"/>
          <w:szCs w:val="24"/>
          <w:highlight w:val="none"/>
          <w:u w:val="single"/>
        </w:rPr>
        <w:t xml:space="preserve">                            </w:t>
      </w:r>
    </w:p>
    <w:p>
      <w:pPr>
        <w:wordWrap w:val="0"/>
        <w:spacing w:line="360" w:lineRule="auto"/>
        <w:ind w:right="90"/>
        <w:jc w:val="righ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 法定代表人或其委托代理人：</w:t>
      </w:r>
      <w:r>
        <w:rPr>
          <w:rFonts w:hint="eastAsia" w:ascii="宋体" w:hAnsi="宋体" w:eastAsia="宋体"/>
          <w:color w:val="auto"/>
          <w:sz w:val="24"/>
          <w:szCs w:val="24"/>
          <w:highlight w:val="none"/>
          <w:u w:val="single"/>
        </w:rPr>
        <w:t xml:space="preserve">                  </w:t>
      </w:r>
    </w:p>
    <w:p>
      <w:pPr>
        <w:spacing w:line="360" w:lineRule="auto"/>
        <w:ind w:right="90" w:firstLine="3330"/>
        <w:jc w:val="righ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日期：</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日</w:t>
      </w:r>
    </w:p>
    <w:p>
      <w:pPr>
        <w:pStyle w:val="17"/>
        <w:spacing w:after="0" w:line="360" w:lineRule="auto"/>
        <w:ind w:firstLine="723"/>
        <w:jc w:val="center"/>
        <w:rPr>
          <w:rFonts w:hint="eastAsia" w:ascii="宋体" w:hAnsi="宋体"/>
          <w:b/>
          <w:color w:val="auto"/>
          <w:sz w:val="36"/>
          <w:szCs w:val="36"/>
          <w:highlight w:val="none"/>
        </w:rPr>
      </w:pPr>
    </w:p>
    <w:p>
      <w:pPr>
        <w:pStyle w:val="17"/>
        <w:spacing w:after="0" w:line="360" w:lineRule="auto"/>
        <w:ind w:firstLine="723"/>
        <w:jc w:val="center"/>
        <w:rPr>
          <w:rFonts w:hint="eastAsia" w:ascii="宋体" w:hAnsi="宋体"/>
          <w:b/>
          <w:color w:val="auto"/>
          <w:sz w:val="36"/>
          <w:szCs w:val="36"/>
          <w:highlight w:val="none"/>
        </w:rPr>
      </w:pPr>
    </w:p>
    <w:p>
      <w:pPr>
        <w:pStyle w:val="17"/>
        <w:spacing w:after="0" w:line="360" w:lineRule="auto"/>
        <w:ind w:firstLine="360"/>
        <w:jc w:val="center"/>
        <w:rPr>
          <w:rFonts w:hint="eastAsia" w:ascii="宋体" w:hAnsi="宋体"/>
          <w:color w:val="auto"/>
          <w:sz w:val="24"/>
          <w:szCs w:val="24"/>
          <w:highlight w:val="none"/>
        </w:rPr>
      </w:pPr>
      <w:r>
        <w:rPr>
          <w:rFonts w:hint="eastAsia" w:ascii="宋体" w:hAnsi="宋体"/>
          <w:b/>
          <w:color w:val="auto"/>
          <w:sz w:val="36"/>
          <w:szCs w:val="36"/>
          <w:highlight w:val="none"/>
        </w:rPr>
        <w:br w:type="page"/>
      </w:r>
      <w:r>
        <w:rPr>
          <w:rFonts w:hint="eastAsia" w:ascii="宋体" w:hAnsi="宋体"/>
          <w:b/>
          <w:color w:val="auto"/>
          <w:sz w:val="36"/>
          <w:szCs w:val="36"/>
          <w:highlight w:val="none"/>
        </w:rPr>
        <w:t>投标文件编制人员名单</w:t>
      </w:r>
    </w:p>
    <w:tbl>
      <w:tblPr>
        <w:tblStyle w:val="18"/>
        <w:tblW w:w="0" w:type="auto"/>
        <w:tblInd w:w="0" w:type="dxa"/>
        <w:tblLayout w:type="fixed"/>
        <w:tblCellMar>
          <w:top w:w="0" w:type="dxa"/>
          <w:left w:w="108" w:type="dxa"/>
          <w:bottom w:w="0" w:type="dxa"/>
          <w:right w:w="108" w:type="dxa"/>
        </w:tblCellMar>
      </w:tblPr>
      <w:tblGrid>
        <w:gridCol w:w="1249"/>
        <w:gridCol w:w="1453"/>
        <w:gridCol w:w="2486"/>
        <w:gridCol w:w="2383"/>
        <w:gridCol w:w="1609"/>
      </w:tblGrid>
      <w:tr>
        <w:tblPrEx>
          <w:tblCellMar>
            <w:top w:w="0" w:type="dxa"/>
            <w:left w:w="108" w:type="dxa"/>
            <w:bottom w:w="0" w:type="dxa"/>
            <w:right w:w="108" w:type="dxa"/>
          </w:tblCellMar>
        </w:tblPrEx>
        <w:trPr>
          <w:trHeight w:val="318" w:hRule="atLeast"/>
        </w:trPr>
        <w:tc>
          <w:tcPr>
            <w:tcW w:w="918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rPr>
                <w:rFonts w:hint="default" w:ascii="宋体" w:hAnsi="宋体" w:eastAsia="宋体"/>
                <w:color w:val="auto"/>
                <w:sz w:val="24"/>
                <w:szCs w:val="24"/>
                <w:highlight w:val="none"/>
              </w:rPr>
            </w:pPr>
            <w:r>
              <w:rPr>
                <w:rFonts w:hint="eastAsia" w:ascii="宋体" w:hAnsi="宋体" w:eastAsia="宋体"/>
                <w:color w:val="auto"/>
                <w:sz w:val="24"/>
                <w:szCs w:val="24"/>
                <w:highlight w:val="none"/>
              </w:rPr>
              <w:t>投标人名称：</w:t>
            </w:r>
          </w:p>
        </w:tc>
      </w:tr>
      <w:tr>
        <w:tblPrEx>
          <w:tblCellMar>
            <w:top w:w="0" w:type="dxa"/>
            <w:left w:w="108" w:type="dxa"/>
            <w:bottom w:w="0" w:type="dxa"/>
            <w:right w:w="108" w:type="dxa"/>
          </w:tblCellMar>
        </w:tblPrEx>
        <w:trPr>
          <w:trHeight w:val="212" w:hRule="atLeast"/>
        </w:trPr>
        <w:tc>
          <w:tcPr>
            <w:tcW w:w="1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姓名</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职务</w:t>
            </w:r>
          </w:p>
        </w:tc>
        <w:tc>
          <w:tcPr>
            <w:tcW w:w="24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所承担工作</w:t>
            </w:r>
          </w:p>
        </w:tc>
        <w:tc>
          <w:tcPr>
            <w:tcW w:w="23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身份证号码</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color w:val="auto"/>
                <w:sz w:val="24"/>
                <w:szCs w:val="24"/>
                <w:highlight w:val="none"/>
              </w:rPr>
              <w:t>本人签名栏</w:t>
            </w:r>
          </w:p>
        </w:tc>
      </w:tr>
      <w:tr>
        <w:tblPrEx>
          <w:tblCellMar>
            <w:top w:w="0" w:type="dxa"/>
            <w:left w:w="108" w:type="dxa"/>
            <w:bottom w:w="0" w:type="dxa"/>
            <w:right w:w="108" w:type="dxa"/>
          </w:tblCellMar>
        </w:tblPrEx>
        <w:trPr>
          <w:trHeight w:val="58" w:hRule="atLeast"/>
        </w:trPr>
        <w:tc>
          <w:tcPr>
            <w:tcW w:w="1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24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p>
        </w:tc>
      </w:tr>
      <w:tr>
        <w:tblPrEx>
          <w:tblCellMar>
            <w:top w:w="0" w:type="dxa"/>
            <w:left w:w="108" w:type="dxa"/>
            <w:bottom w:w="0" w:type="dxa"/>
            <w:right w:w="108" w:type="dxa"/>
          </w:tblCellMar>
        </w:tblPrEx>
        <w:trPr>
          <w:trHeight w:val="162" w:hRule="atLeast"/>
        </w:trPr>
        <w:tc>
          <w:tcPr>
            <w:tcW w:w="1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24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p>
        </w:tc>
      </w:tr>
      <w:tr>
        <w:tblPrEx>
          <w:tblCellMar>
            <w:top w:w="0" w:type="dxa"/>
            <w:left w:w="108" w:type="dxa"/>
            <w:bottom w:w="0" w:type="dxa"/>
            <w:right w:w="108" w:type="dxa"/>
          </w:tblCellMar>
        </w:tblPrEx>
        <w:trPr>
          <w:trHeight w:val="123" w:hRule="atLeast"/>
        </w:trPr>
        <w:tc>
          <w:tcPr>
            <w:tcW w:w="1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24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p>
        </w:tc>
      </w:tr>
      <w:tr>
        <w:tblPrEx>
          <w:tblCellMar>
            <w:top w:w="0" w:type="dxa"/>
            <w:left w:w="108" w:type="dxa"/>
            <w:bottom w:w="0" w:type="dxa"/>
            <w:right w:w="108" w:type="dxa"/>
          </w:tblCellMar>
        </w:tblPrEx>
        <w:trPr>
          <w:trHeight w:val="214" w:hRule="atLeast"/>
        </w:trPr>
        <w:tc>
          <w:tcPr>
            <w:tcW w:w="12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24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p>
        </w:tc>
      </w:tr>
    </w:tbl>
    <w:p>
      <w:pPr>
        <w:tabs>
          <w:tab w:val="left" w:pos="720"/>
        </w:tabs>
        <w:snapToGrid w:val="0"/>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编制负责人：                          解释负责人：</w:t>
      </w:r>
    </w:p>
    <w:p>
      <w:pPr>
        <w:pStyle w:val="17"/>
        <w:spacing w:after="0" w:line="360" w:lineRule="auto"/>
        <w:ind w:left="-2" w:leftChars="-1" w:firstLine="0"/>
        <w:rPr>
          <w:rFonts w:hint="eastAsia" w:ascii="宋体" w:hAnsi="宋体"/>
          <w:color w:val="auto"/>
          <w:sz w:val="24"/>
          <w:szCs w:val="24"/>
          <w:highlight w:val="none"/>
        </w:rPr>
      </w:pPr>
      <w:r>
        <w:rPr>
          <w:rFonts w:hint="eastAsia" w:ascii="宋体" w:hAnsi="宋体"/>
          <w:color w:val="auto"/>
          <w:sz w:val="24"/>
          <w:szCs w:val="24"/>
          <w:highlight w:val="none"/>
        </w:rPr>
        <w:t>注：</w:t>
      </w:r>
      <w:r>
        <w:rPr>
          <w:rFonts w:hint="eastAsia" w:ascii="宋体" w:hAnsi="宋体"/>
          <w:b/>
          <w:color w:val="auto"/>
          <w:sz w:val="24"/>
          <w:szCs w:val="24"/>
          <w:highlight w:val="none"/>
        </w:rPr>
        <w:t>1.</w:t>
      </w:r>
      <w:r>
        <w:rPr>
          <w:rFonts w:hint="eastAsia" w:ascii="宋体" w:hAnsi="宋体"/>
          <w:color w:val="auto"/>
          <w:sz w:val="24"/>
          <w:szCs w:val="24"/>
          <w:highlight w:val="none"/>
        </w:rPr>
        <w:t>参与编制标书所有人员名单应包括编制各种专业工程量清单投标报价、负责清样校对、负责加密打包、负责上传、负责密封、负责打印及复印等所有人员在内的人员名单。</w:t>
      </w:r>
    </w:p>
    <w:p>
      <w:pPr>
        <w:pStyle w:val="17"/>
        <w:spacing w:after="0" w:line="360" w:lineRule="auto"/>
        <w:ind w:firstLine="482" w:firstLineChars="200"/>
        <w:jc w:val="left"/>
        <w:rPr>
          <w:rFonts w:hint="eastAsia" w:ascii="宋体" w:hAnsi="宋体"/>
          <w:b/>
          <w:color w:val="auto"/>
          <w:sz w:val="24"/>
          <w:szCs w:val="24"/>
          <w:highlight w:val="none"/>
        </w:rPr>
      </w:pPr>
      <w:r>
        <w:rPr>
          <w:rFonts w:hint="eastAsia" w:ascii="宋体" w:hAnsi="宋体"/>
          <w:b/>
          <w:color w:val="auto"/>
          <w:sz w:val="24"/>
          <w:szCs w:val="24"/>
          <w:highlight w:val="none"/>
        </w:rPr>
        <w:t xml:space="preserve">2. </w:t>
      </w:r>
      <w:r>
        <w:rPr>
          <w:rFonts w:hint="eastAsia" w:ascii="宋体" w:hAnsi="宋体"/>
          <w:color w:val="auto"/>
          <w:sz w:val="24"/>
          <w:szCs w:val="24"/>
          <w:highlight w:val="none"/>
        </w:rPr>
        <w:t>上述人员可以兼任</w:t>
      </w:r>
      <w:r>
        <w:rPr>
          <w:rFonts w:hint="eastAsia" w:ascii="宋体" w:hAnsi="宋体"/>
          <w:b/>
          <w:color w:val="auto"/>
          <w:sz w:val="24"/>
          <w:szCs w:val="24"/>
          <w:highlight w:val="none"/>
        </w:rPr>
        <w:t>。</w:t>
      </w:r>
    </w:p>
    <w:p>
      <w:pPr>
        <w:pStyle w:val="17"/>
        <w:spacing w:after="0" w:line="360" w:lineRule="auto"/>
        <w:ind w:firstLine="0"/>
        <w:jc w:val="center"/>
        <w:rPr>
          <w:rFonts w:hint="eastAsia" w:ascii="宋体" w:hAnsi="宋体"/>
          <w:b/>
          <w:color w:val="auto"/>
          <w:sz w:val="36"/>
          <w:szCs w:val="36"/>
          <w:highlight w:val="none"/>
        </w:rPr>
      </w:pPr>
    </w:p>
    <w:p>
      <w:pPr>
        <w:pStyle w:val="17"/>
        <w:spacing w:after="0" w:line="360" w:lineRule="auto"/>
        <w:ind w:firstLine="360"/>
        <w:jc w:val="center"/>
        <w:rPr>
          <w:rFonts w:hint="eastAsia" w:ascii="宋体" w:hAnsi="宋体"/>
          <w:color w:val="auto"/>
          <w:sz w:val="24"/>
          <w:szCs w:val="24"/>
          <w:highlight w:val="none"/>
        </w:rPr>
      </w:pPr>
      <w:r>
        <w:rPr>
          <w:rFonts w:hint="eastAsia" w:ascii="宋体" w:hAnsi="宋体"/>
          <w:b/>
          <w:color w:val="auto"/>
          <w:sz w:val="36"/>
          <w:szCs w:val="36"/>
          <w:highlight w:val="none"/>
        </w:rPr>
        <w:t>投标文件编制情况</w:t>
      </w:r>
    </w:p>
    <w:p>
      <w:pPr>
        <w:pStyle w:val="17"/>
        <w:spacing w:after="0"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1.投标文件报价编制方式: □自行编制的，编制的负责人：</w:t>
      </w:r>
      <w:r>
        <w:rPr>
          <w:rFonts w:hint="eastAsia" w:ascii="宋体" w:hAnsi="宋体"/>
          <w:color w:val="auto"/>
          <w:sz w:val="24"/>
          <w:szCs w:val="24"/>
          <w:highlight w:val="none"/>
          <w:u w:val="single"/>
        </w:rPr>
        <w:t xml:space="preserve"> （盖造价工程师执业专用章或全国建设工程造价员章，执业单位应与投标人一致） </w:t>
      </w:r>
      <w:r>
        <w:rPr>
          <w:rFonts w:hint="eastAsia" w:ascii="宋体" w:hAnsi="宋体"/>
          <w:color w:val="auto"/>
          <w:sz w:val="24"/>
          <w:szCs w:val="24"/>
          <w:highlight w:val="none"/>
        </w:rPr>
        <w:t>。□委托编制的，受委托单位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，编制的负责人：</w:t>
      </w:r>
      <w:r>
        <w:rPr>
          <w:rFonts w:hint="eastAsia" w:ascii="宋体" w:hAnsi="宋体"/>
          <w:color w:val="auto"/>
          <w:sz w:val="24"/>
          <w:szCs w:val="24"/>
          <w:highlight w:val="none"/>
          <w:u w:val="single"/>
        </w:rPr>
        <w:t xml:space="preserve"> （盖造价工程师执业专用章或全国建设工程造价员章，执业单位应与受委托单位一致） </w:t>
      </w:r>
      <w:r>
        <w:rPr>
          <w:rFonts w:hint="eastAsia" w:ascii="宋体" w:hAnsi="宋体"/>
          <w:color w:val="auto"/>
          <w:sz w:val="24"/>
          <w:szCs w:val="24"/>
          <w:highlight w:val="none"/>
        </w:rPr>
        <w:t>。</w:t>
      </w:r>
    </w:p>
    <w:p>
      <w:pPr>
        <w:pStyle w:val="17"/>
        <w:spacing w:after="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2.投标报价（是□ / 否□）根据招标人提供的最高投标限价清单综合单价进行编制（招标人未提供最高投标限价清单综合单价的，直接勾选否）；</w:t>
      </w:r>
    </w:p>
    <w:p>
      <w:pPr>
        <w:pStyle w:val="17"/>
        <w:spacing w:after="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3.投标报价的分部分项工程量清单综合单价沿用最高投标限价工程量清单综合单价比例</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%(最高投标限价分部分项工程量清单项目数的总数作分母，沿用最高投标限价分部分项工程量综合单价的项目数作分子)。</w:t>
      </w:r>
    </w:p>
    <w:p>
      <w:pPr>
        <w:pStyle w:val="17"/>
        <w:spacing w:after="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4.投标文件加密打包的电脑情况</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137"/>
        <w:gridCol w:w="2170"/>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noWrap w:val="0"/>
            <w:vAlign w:val="center"/>
          </w:tcPr>
          <w:p>
            <w:pPr>
              <w:pStyle w:val="17"/>
              <w:keepNext w:val="0"/>
              <w:keepLines w:val="0"/>
              <w:suppressLineNumbers w:val="0"/>
              <w:spacing w:before="0" w:beforeAutospacing="0" w:after="0" w:afterAutospacing="0" w:line="360" w:lineRule="auto"/>
              <w:ind w:left="0" w:right="0" w:firstLine="0"/>
              <w:jc w:val="center"/>
              <w:rPr>
                <w:rFonts w:hint="eastAsia" w:ascii="宋体" w:hAnsi="宋体"/>
                <w:color w:val="auto"/>
                <w:kern w:val="2"/>
                <w:sz w:val="24"/>
                <w:szCs w:val="24"/>
                <w:highlight w:val="none"/>
                <w:lang w:val="en-US" w:eastAsia="zh-CN"/>
              </w:rPr>
            </w:pPr>
            <w:r>
              <w:rPr>
                <w:rFonts w:hint="eastAsia" w:ascii="宋体" w:hAnsi="宋体"/>
                <w:color w:val="auto"/>
                <w:kern w:val="2"/>
                <w:sz w:val="24"/>
                <w:szCs w:val="24"/>
                <w:highlight w:val="none"/>
                <w:lang w:val="en-US" w:eastAsia="zh-CN"/>
              </w:rPr>
              <w:t>投标文件加密打包的电脑</w:t>
            </w:r>
          </w:p>
        </w:tc>
        <w:tc>
          <w:tcPr>
            <w:tcW w:w="2137" w:type="dxa"/>
            <w:noWrap w:val="0"/>
            <w:vAlign w:val="center"/>
          </w:tcPr>
          <w:p>
            <w:pPr>
              <w:pStyle w:val="17"/>
              <w:keepNext w:val="0"/>
              <w:keepLines w:val="0"/>
              <w:suppressLineNumbers w:val="0"/>
              <w:spacing w:before="0" w:beforeAutospacing="0" w:after="0" w:afterAutospacing="0" w:line="360" w:lineRule="auto"/>
              <w:ind w:left="0" w:right="0" w:firstLine="0"/>
              <w:jc w:val="center"/>
              <w:rPr>
                <w:rFonts w:hint="eastAsia" w:ascii="宋体" w:hAnsi="宋体"/>
                <w:color w:val="auto"/>
                <w:kern w:val="2"/>
                <w:sz w:val="24"/>
                <w:szCs w:val="24"/>
                <w:highlight w:val="none"/>
                <w:lang w:val="en-US" w:eastAsia="zh-CN"/>
              </w:rPr>
            </w:pPr>
            <w:r>
              <w:rPr>
                <w:rFonts w:hint="eastAsia" w:ascii="宋体" w:hAnsi="宋体"/>
                <w:color w:val="auto"/>
                <w:kern w:val="2"/>
                <w:sz w:val="24"/>
                <w:szCs w:val="24"/>
                <w:highlight w:val="none"/>
                <w:lang w:val="en-US" w:eastAsia="zh-CN"/>
              </w:rPr>
              <w:t>自有    □</w:t>
            </w:r>
          </w:p>
        </w:tc>
        <w:tc>
          <w:tcPr>
            <w:tcW w:w="2170" w:type="dxa"/>
            <w:noWrap w:val="0"/>
            <w:vAlign w:val="center"/>
          </w:tcPr>
          <w:p>
            <w:pPr>
              <w:pStyle w:val="17"/>
              <w:keepNext w:val="0"/>
              <w:keepLines w:val="0"/>
              <w:suppressLineNumbers w:val="0"/>
              <w:spacing w:before="0" w:beforeAutospacing="0" w:after="0" w:afterAutospacing="0" w:line="360" w:lineRule="auto"/>
              <w:ind w:left="0" w:right="0" w:firstLine="0"/>
              <w:jc w:val="center"/>
              <w:rPr>
                <w:rFonts w:hint="eastAsia" w:ascii="宋体" w:hAnsi="宋体"/>
                <w:color w:val="auto"/>
                <w:kern w:val="2"/>
                <w:sz w:val="24"/>
                <w:szCs w:val="24"/>
                <w:highlight w:val="none"/>
                <w:lang w:val="en-US" w:eastAsia="zh-CN"/>
              </w:rPr>
            </w:pPr>
            <w:r>
              <w:rPr>
                <w:rFonts w:hint="eastAsia" w:ascii="宋体" w:hAnsi="宋体"/>
                <w:color w:val="auto"/>
                <w:kern w:val="2"/>
                <w:sz w:val="24"/>
                <w:szCs w:val="24"/>
                <w:highlight w:val="none"/>
                <w:lang w:val="en-US" w:eastAsia="zh-CN"/>
              </w:rPr>
              <w:t>外包    □</w:t>
            </w:r>
          </w:p>
        </w:tc>
        <w:tc>
          <w:tcPr>
            <w:tcW w:w="2232" w:type="dxa"/>
            <w:noWrap w:val="0"/>
            <w:vAlign w:val="center"/>
          </w:tcPr>
          <w:p>
            <w:pPr>
              <w:pStyle w:val="17"/>
              <w:keepNext w:val="0"/>
              <w:keepLines w:val="0"/>
              <w:suppressLineNumbers w:val="0"/>
              <w:spacing w:before="0" w:beforeAutospacing="0" w:after="0" w:afterAutospacing="0" w:line="360" w:lineRule="auto"/>
              <w:ind w:left="0" w:right="0" w:firstLine="0"/>
              <w:jc w:val="center"/>
              <w:rPr>
                <w:rFonts w:hint="eastAsia" w:ascii="宋体" w:hAnsi="宋体"/>
                <w:color w:val="auto"/>
                <w:kern w:val="2"/>
                <w:sz w:val="24"/>
                <w:szCs w:val="24"/>
                <w:highlight w:val="none"/>
                <w:lang w:val="en-US" w:eastAsia="zh-CN"/>
              </w:rPr>
            </w:pPr>
            <w:r>
              <w:rPr>
                <w:rFonts w:hint="eastAsia" w:ascii="宋体" w:hAnsi="宋体"/>
                <w:color w:val="auto"/>
                <w:kern w:val="2"/>
                <w:sz w:val="24"/>
                <w:szCs w:val="24"/>
                <w:highlight w:val="none"/>
                <w:lang w:val="en-US" w:eastAsia="zh-CN"/>
              </w:rPr>
              <w:t>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noWrap w:val="0"/>
            <w:vAlign w:val="center"/>
          </w:tcPr>
          <w:p>
            <w:pPr>
              <w:pStyle w:val="17"/>
              <w:keepNext w:val="0"/>
              <w:keepLines w:val="0"/>
              <w:suppressLineNumbers w:val="0"/>
              <w:spacing w:before="0" w:beforeAutospacing="0" w:after="0" w:afterAutospacing="0" w:line="360" w:lineRule="auto"/>
              <w:ind w:left="0" w:right="0" w:firstLine="0"/>
              <w:jc w:val="center"/>
              <w:rPr>
                <w:rFonts w:hint="eastAsia" w:ascii="宋体" w:hAnsi="宋体"/>
                <w:color w:val="auto"/>
                <w:kern w:val="2"/>
                <w:sz w:val="24"/>
                <w:szCs w:val="24"/>
                <w:highlight w:val="none"/>
                <w:lang w:val="en-US" w:eastAsia="zh-CN"/>
              </w:rPr>
            </w:pPr>
            <w:r>
              <w:rPr>
                <w:rFonts w:hint="eastAsia" w:ascii="宋体" w:hAnsi="宋体"/>
                <w:color w:val="auto"/>
                <w:kern w:val="2"/>
                <w:sz w:val="24"/>
                <w:szCs w:val="24"/>
                <w:highlight w:val="none"/>
                <w:lang w:val="en-US" w:eastAsia="zh-CN"/>
              </w:rPr>
              <w:t>电脑类型</w:t>
            </w:r>
          </w:p>
        </w:tc>
        <w:tc>
          <w:tcPr>
            <w:tcW w:w="6539" w:type="dxa"/>
            <w:gridSpan w:val="3"/>
            <w:noWrap w:val="0"/>
            <w:vAlign w:val="center"/>
          </w:tcPr>
          <w:p>
            <w:pPr>
              <w:pStyle w:val="17"/>
              <w:keepNext w:val="0"/>
              <w:keepLines w:val="0"/>
              <w:suppressLineNumbers w:val="0"/>
              <w:spacing w:before="0" w:beforeAutospacing="0" w:after="0" w:afterAutospacing="0" w:line="360" w:lineRule="auto"/>
              <w:ind w:left="0" w:right="0" w:firstLine="0"/>
              <w:jc w:val="center"/>
              <w:rPr>
                <w:rFonts w:hint="eastAsia" w:ascii="宋体" w:hAnsi="宋体"/>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noWrap w:val="0"/>
            <w:vAlign w:val="center"/>
          </w:tcPr>
          <w:p>
            <w:pPr>
              <w:pStyle w:val="17"/>
              <w:keepNext w:val="0"/>
              <w:keepLines w:val="0"/>
              <w:suppressLineNumbers w:val="0"/>
              <w:spacing w:before="0" w:beforeAutospacing="0" w:after="0" w:afterAutospacing="0" w:line="360" w:lineRule="auto"/>
              <w:ind w:left="0" w:right="0" w:firstLine="0"/>
              <w:jc w:val="center"/>
              <w:rPr>
                <w:rFonts w:hint="eastAsia" w:ascii="宋体" w:hAnsi="宋体"/>
                <w:color w:val="auto"/>
                <w:kern w:val="2"/>
                <w:sz w:val="24"/>
                <w:szCs w:val="24"/>
                <w:highlight w:val="none"/>
                <w:lang w:val="en-US" w:eastAsia="zh-CN"/>
              </w:rPr>
            </w:pPr>
            <w:r>
              <w:rPr>
                <w:rFonts w:hint="eastAsia" w:ascii="宋体" w:hAnsi="宋体"/>
                <w:color w:val="auto"/>
                <w:kern w:val="2"/>
                <w:sz w:val="24"/>
                <w:szCs w:val="24"/>
                <w:highlight w:val="none"/>
                <w:lang w:val="en-US" w:eastAsia="zh-CN"/>
              </w:rPr>
              <w:t>电脑所属单位</w:t>
            </w:r>
          </w:p>
        </w:tc>
        <w:tc>
          <w:tcPr>
            <w:tcW w:w="6539" w:type="dxa"/>
            <w:gridSpan w:val="3"/>
            <w:noWrap w:val="0"/>
            <w:vAlign w:val="center"/>
          </w:tcPr>
          <w:p>
            <w:pPr>
              <w:pStyle w:val="17"/>
              <w:keepNext w:val="0"/>
              <w:keepLines w:val="0"/>
              <w:suppressLineNumbers w:val="0"/>
              <w:spacing w:before="0" w:beforeAutospacing="0" w:after="0" w:afterAutospacing="0" w:line="360" w:lineRule="auto"/>
              <w:ind w:left="0" w:right="0" w:firstLine="0"/>
              <w:jc w:val="center"/>
              <w:rPr>
                <w:rFonts w:hint="eastAsia" w:ascii="宋体" w:hAnsi="宋体"/>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noWrap w:val="0"/>
            <w:vAlign w:val="center"/>
          </w:tcPr>
          <w:p>
            <w:pPr>
              <w:pStyle w:val="17"/>
              <w:keepNext w:val="0"/>
              <w:keepLines w:val="0"/>
              <w:suppressLineNumbers w:val="0"/>
              <w:spacing w:before="0" w:beforeAutospacing="0" w:after="0" w:afterAutospacing="0" w:line="360" w:lineRule="auto"/>
              <w:ind w:left="0" w:right="0" w:firstLine="0"/>
              <w:jc w:val="center"/>
              <w:rPr>
                <w:rFonts w:hint="eastAsia" w:ascii="宋体" w:hAnsi="宋体"/>
                <w:color w:val="auto"/>
                <w:kern w:val="2"/>
                <w:sz w:val="24"/>
                <w:szCs w:val="24"/>
                <w:highlight w:val="none"/>
                <w:lang w:val="en-US" w:eastAsia="zh-CN"/>
              </w:rPr>
            </w:pPr>
            <w:r>
              <w:rPr>
                <w:rFonts w:hint="eastAsia" w:ascii="宋体" w:hAnsi="宋体"/>
                <w:color w:val="auto"/>
                <w:kern w:val="2"/>
                <w:sz w:val="24"/>
                <w:szCs w:val="24"/>
                <w:highlight w:val="none"/>
                <w:lang w:val="en-US" w:eastAsia="zh-CN"/>
              </w:rPr>
              <w:t>电脑所在地址</w:t>
            </w:r>
          </w:p>
        </w:tc>
        <w:tc>
          <w:tcPr>
            <w:tcW w:w="6539" w:type="dxa"/>
            <w:gridSpan w:val="3"/>
            <w:noWrap w:val="0"/>
            <w:vAlign w:val="center"/>
          </w:tcPr>
          <w:p>
            <w:pPr>
              <w:pStyle w:val="17"/>
              <w:keepNext w:val="0"/>
              <w:keepLines w:val="0"/>
              <w:suppressLineNumbers w:val="0"/>
              <w:spacing w:before="0" w:beforeAutospacing="0" w:after="0" w:afterAutospacing="0" w:line="360" w:lineRule="auto"/>
              <w:ind w:left="0" w:right="0" w:firstLine="0"/>
              <w:jc w:val="left"/>
              <w:rPr>
                <w:rFonts w:hint="eastAsia" w:ascii="宋体" w:hAnsi="宋体"/>
                <w:color w:val="auto"/>
                <w:kern w:val="2"/>
                <w:sz w:val="24"/>
                <w:szCs w:val="24"/>
                <w:highlight w:val="none"/>
                <w:lang w:val="en-US" w:eastAsia="zh-CN"/>
              </w:rPr>
            </w:pPr>
            <w:r>
              <w:rPr>
                <w:rFonts w:hint="eastAsia" w:ascii="宋体" w:hAnsi="宋体"/>
                <w:color w:val="auto"/>
                <w:kern w:val="2"/>
                <w:sz w:val="24"/>
                <w:szCs w:val="24"/>
                <w:highlight w:val="none"/>
                <w:lang w:val="en-US" w:eastAsia="zh-CN"/>
              </w:rPr>
              <w:t>（如××市××区(县) ××街（路）××号××大厦××房）</w:t>
            </w:r>
          </w:p>
        </w:tc>
      </w:tr>
    </w:tbl>
    <w:p>
      <w:pPr>
        <w:spacing w:line="420" w:lineRule="exact"/>
        <w:outlineLvl w:val="2"/>
        <w:rPr>
          <w:rFonts w:hint="eastAsia" w:ascii="宋体" w:hAnsi="宋体" w:eastAsia="宋体"/>
          <w:b/>
          <w:color w:val="auto"/>
          <w:sz w:val="36"/>
          <w:szCs w:val="36"/>
          <w:highlight w:val="none"/>
        </w:rPr>
      </w:pPr>
      <w:r>
        <w:rPr>
          <w:rFonts w:ascii="宋体" w:hAnsi="宋体" w:eastAsia="宋体"/>
          <w:color w:val="auto"/>
          <w:sz w:val="24"/>
          <w:szCs w:val="24"/>
          <w:highlight w:val="none"/>
        </w:rPr>
        <w:br w:type="page"/>
      </w:r>
      <w:bookmarkStart w:id="256" w:name="_Toc31826"/>
      <w:bookmarkStart w:id="257" w:name="_Toc17823"/>
      <w:bookmarkStart w:id="258" w:name="_Toc14674"/>
      <w:bookmarkStart w:id="259" w:name="_Toc25163"/>
      <w:bookmarkStart w:id="260" w:name="_Toc1565"/>
      <w:r>
        <w:rPr>
          <w:rFonts w:hint="eastAsia" w:ascii="宋体" w:hAnsi="宋体" w:eastAsia="宋体"/>
          <w:color w:val="auto"/>
          <w:sz w:val="24"/>
          <w:szCs w:val="24"/>
          <w:highlight w:val="none"/>
        </w:rPr>
        <w:t>附件17 投标人声明</w:t>
      </w:r>
      <w:bookmarkEnd w:id="256"/>
      <w:bookmarkEnd w:id="257"/>
      <w:bookmarkEnd w:id="258"/>
      <w:bookmarkEnd w:id="259"/>
      <w:bookmarkEnd w:id="260"/>
    </w:p>
    <w:p>
      <w:pPr>
        <w:spacing w:line="420" w:lineRule="exact"/>
        <w:jc w:val="center"/>
        <w:rPr>
          <w:rFonts w:hint="eastAsia" w:ascii="宋体" w:hAnsi="宋体" w:eastAsia="宋体" w:cs="宋体"/>
          <w:b/>
          <w:color w:val="auto"/>
          <w:sz w:val="36"/>
          <w:szCs w:val="36"/>
          <w:highlight w:val="none"/>
        </w:rPr>
      </w:pPr>
    </w:p>
    <w:p>
      <w:pPr>
        <w:spacing w:line="420" w:lineRule="exact"/>
        <w:jc w:val="center"/>
        <w:rPr>
          <w:rFonts w:hint="eastAsia" w:ascii="宋体" w:hAnsi="宋体" w:eastAsia="宋体" w:cs="宋体"/>
          <w:b/>
          <w:color w:val="auto"/>
          <w:sz w:val="28"/>
          <w:szCs w:val="36"/>
          <w:highlight w:val="none"/>
        </w:rPr>
      </w:pPr>
      <w:bookmarkStart w:id="261" w:name="_Toc31234"/>
      <w:bookmarkStart w:id="262" w:name="_Toc25253"/>
      <w:bookmarkStart w:id="263" w:name="_Toc14047"/>
      <w:bookmarkStart w:id="264" w:name="_Toc10089"/>
      <w:bookmarkStart w:id="265" w:name="_Toc4231"/>
      <w:bookmarkStart w:id="266" w:name="_Toc300835213"/>
      <w:bookmarkStart w:id="267" w:name="_Toc152042580"/>
      <w:bookmarkStart w:id="268" w:name="_Toc152045791"/>
      <w:bookmarkStart w:id="269" w:name="_Toc247527831"/>
      <w:bookmarkStart w:id="270" w:name="_Toc507590785"/>
      <w:bookmarkStart w:id="271" w:name="_Toc247514283"/>
      <w:bookmarkStart w:id="272" w:name="_Toc507162845"/>
      <w:bookmarkStart w:id="273" w:name="_Toc144974860"/>
      <w:r>
        <w:rPr>
          <w:rFonts w:hint="eastAsia" w:ascii="宋体" w:hAnsi="宋体" w:eastAsia="宋体" w:cs="宋体"/>
          <w:b/>
          <w:color w:val="auto"/>
          <w:sz w:val="28"/>
          <w:szCs w:val="36"/>
          <w:highlight w:val="none"/>
        </w:rPr>
        <w:t>投标</w:t>
      </w:r>
      <w:r>
        <w:rPr>
          <w:rFonts w:hint="eastAsia" w:ascii="宋体" w:hAnsi="宋体" w:eastAsia="宋体" w:cs="宋体"/>
          <w:b/>
          <w:color w:val="auto"/>
          <w:kern w:val="0"/>
          <w:sz w:val="28"/>
          <w:szCs w:val="36"/>
          <w:highlight w:val="none"/>
        </w:rPr>
        <w:t>人</w:t>
      </w:r>
      <w:r>
        <w:rPr>
          <w:rFonts w:hint="eastAsia" w:ascii="宋体" w:hAnsi="宋体" w:eastAsia="宋体" w:cs="宋体"/>
          <w:b/>
          <w:color w:val="auto"/>
          <w:sz w:val="28"/>
          <w:szCs w:val="36"/>
          <w:highlight w:val="none"/>
        </w:rPr>
        <w:t>声明</w:t>
      </w:r>
    </w:p>
    <w:p>
      <w:pPr>
        <w:spacing w:line="420" w:lineRule="exact"/>
        <w:jc w:val="center"/>
        <w:rPr>
          <w:rFonts w:ascii="宋体" w:hAnsi="宋体"/>
          <w:b/>
          <w:color w:val="auto"/>
          <w:sz w:val="28"/>
          <w:szCs w:val="36"/>
          <w:highlight w:val="none"/>
        </w:rPr>
      </w:pPr>
    </w:p>
    <w:p>
      <w:pPr>
        <w:spacing w:line="360" w:lineRule="auto"/>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广州市林业和园林局、本招标项目招标人：</w:t>
      </w:r>
    </w:p>
    <w:p>
      <w:pPr>
        <w:spacing w:line="360" w:lineRule="auto"/>
        <w:ind w:firstLine="42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本公司就参加</w:t>
      </w:r>
      <w:r>
        <w:rPr>
          <w:rFonts w:hint="eastAsia" w:ascii="宋体" w:hAnsi="宋体" w:eastAsia="宋体" w:cs="宋体"/>
          <w:color w:val="auto"/>
          <w:kern w:val="0"/>
          <w:szCs w:val="24"/>
          <w:highlight w:val="none"/>
          <w:u w:val="single"/>
        </w:rPr>
        <w:t xml:space="preserve">                  </w:t>
      </w:r>
      <w:r>
        <w:rPr>
          <w:rFonts w:hint="eastAsia" w:ascii="宋体" w:hAnsi="宋体" w:eastAsia="宋体" w:cs="宋体"/>
          <w:color w:val="auto"/>
          <w:kern w:val="0"/>
          <w:szCs w:val="24"/>
          <w:highlight w:val="none"/>
        </w:rPr>
        <w:t>投标工作，作出郑重声明：</w:t>
      </w:r>
    </w:p>
    <w:p>
      <w:pPr>
        <w:spacing w:line="360" w:lineRule="auto"/>
        <w:ind w:firstLine="42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一、本公司保证本次投标活动所提供的材料都是真实的，在广州公共资源交易平台企业库登记的一切信息都是真实的、在有效期内的。如我司成为本项目中标候选人，我公司同意并授权招标人将我司投标文件商务部分的人员、业绩、奖项等资料进行公开。</w:t>
      </w:r>
    </w:p>
    <w:p>
      <w:pPr>
        <w:spacing w:line="360" w:lineRule="auto"/>
        <w:ind w:firstLine="42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二、资格审查前，本公司在广州公共资源交易平台已办理企业信息登记及拟担任本工程项目负责人是本企业信息登记中的在册人员。</w:t>
      </w:r>
    </w:p>
    <w:p>
      <w:pPr>
        <w:spacing w:line="360" w:lineRule="auto"/>
        <w:ind w:firstLine="42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三、本公司拟委派</w:t>
      </w:r>
      <w:r>
        <w:rPr>
          <w:rFonts w:hint="eastAsia" w:ascii="宋体" w:hAnsi="宋体" w:eastAsia="宋体" w:cs="宋体"/>
          <w:color w:val="auto"/>
          <w:kern w:val="0"/>
          <w:szCs w:val="24"/>
          <w:highlight w:val="none"/>
          <w:u w:val="single"/>
        </w:rPr>
        <w:t xml:space="preserve">        </w:t>
      </w:r>
      <w:r>
        <w:rPr>
          <w:rFonts w:hint="eastAsia" w:ascii="宋体" w:hAnsi="宋体" w:eastAsia="宋体" w:cs="宋体"/>
          <w:color w:val="auto"/>
          <w:kern w:val="0"/>
          <w:szCs w:val="24"/>
          <w:highlight w:val="none"/>
        </w:rPr>
        <w:t>担任本工程的项目负责人，</w:t>
      </w:r>
      <w:r>
        <w:rPr>
          <w:rFonts w:hint="eastAsia" w:ascii="宋体" w:hAnsi="宋体" w:eastAsia="宋体" w:cs="宋体"/>
          <w:color w:val="auto"/>
          <w:kern w:val="0"/>
          <w:szCs w:val="24"/>
          <w:highlight w:val="none"/>
          <w:u w:val="single"/>
        </w:rPr>
        <w:t xml:space="preserve">       </w:t>
      </w:r>
      <w:r>
        <w:rPr>
          <w:rFonts w:hint="eastAsia" w:ascii="宋体" w:hAnsi="宋体" w:eastAsia="宋体" w:cs="宋体"/>
          <w:color w:val="auto"/>
          <w:kern w:val="0"/>
          <w:szCs w:val="24"/>
          <w:highlight w:val="none"/>
        </w:rPr>
        <w:t>担任本工程的技术负责人。</w:t>
      </w:r>
    </w:p>
    <w:p>
      <w:pPr>
        <w:spacing w:line="360" w:lineRule="auto"/>
        <w:ind w:firstLine="42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四、本公司保证在本项目投标中不与其他单位围标、串标，不出让投标资格，不向招标人或评标委员会成员行贿。</w:t>
      </w:r>
    </w:p>
    <w:p>
      <w:pPr>
        <w:spacing w:line="360" w:lineRule="auto"/>
        <w:ind w:firstLine="42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五、本公司没有处于被责令停业的状态；没有处于被建设行政主管部门取消投标资格的处罚期内；没有处于财产被接管、冻结、破产的状态；在投标资格审查截止日期前两年内没有建设行政主管部门、城市园林绿化行业主管部门已书面认定的重大工程质量问题；本公司或公司法定代表人、拟委派的项目负责人在近三年内没有行贿犯罪行为；本公司没有被人民法院列入失信被执行人名单。</w:t>
      </w:r>
    </w:p>
    <w:p>
      <w:pPr>
        <w:spacing w:line="360" w:lineRule="auto"/>
        <w:ind w:firstLine="42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本公司没有被列入国家、省、市失信联合惩戒名单或被本项目所在地行政主管部门限制参与工程建设项目投标。</w:t>
      </w:r>
    </w:p>
    <w:p>
      <w:pPr>
        <w:spacing w:line="360" w:lineRule="auto"/>
        <w:ind w:firstLine="42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六、本公司拟委派专职安全员兼任本工程的工地余泥渣土运输与排放管理员，严格遵守建设工程余泥渣土运输与排放管理制度，执行“一不准进、三不准出”规定。选择合法的余泥渣土运输单位及排放点。</w:t>
      </w:r>
    </w:p>
    <w:p>
      <w:pPr>
        <w:spacing w:line="360" w:lineRule="auto"/>
        <w:ind w:firstLine="42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七、本公司及其有隶属关系的机构没有参加本项目的设计、前期工作、招标文件编写、监理工作；本公司与承担本招标项目监理业务的单位没有隶属关系或其他利害关系。 </w:t>
      </w:r>
    </w:p>
    <w:p>
      <w:pPr>
        <w:spacing w:line="360" w:lineRule="auto"/>
        <w:ind w:firstLine="42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lang w:eastAsia="zh-CN"/>
        </w:rPr>
        <w:t>八</w:t>
      </w:r>
      <w:r>
        <w:rPr>
          <w:rFonts w:hint="eastAsia" w:ascii="宋体" w:hAnsi="宋体" w:eastAsia="宋体" w:cs="宋体"/>
          <w:color w:val="auto"/>
          <w:kern w:val="0"/>
          <w:szCs w:val="24"/>
          <w:highlight w:val="none"/>
        </w:rPr>
        <w:t>、本公司保证本项目拟派的项目负责人和安全员没有在其他在建项目中任职。</w:t>
      </w:r>
    </w:p>
    <w:p>
      <w:pPr>
        <w:spacing w:line="360" w:lineRule="auto"/>
        <w:ind w:firstLine="42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lang w:eastAsia="zh-CN"/>
        </w:rPr>
        <w:t>九</w:t>
      </w:r>
      <w:r>
        <w:rPr>
          <w:rFonts w:hint="eastAsia" w:ascii="宋体" w:hAnsi="宋体" w:eastAsia="宋体" w:cs="宋体"/>
          <w:color w:val="auto"/>
          <w:kern w:val="0"/>
          <w:szCs w:val="24"/>
          <w:highlight w:val="none"/>
        </w:rPr>
        <w:t>、本公司保证本项目投标文件编制、解释负责人按招标文件规定完成评标委员会提出的澄清要求（如有）。</w:t>
      </w:r>
    </w:p>
    <w:p>
      <w:pPr>
        <w:spacing w:line="360" w:lineRule="auto"/>
        <w:ind w:firstLine="42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十、我司同意并授权招标人将我司响应招标文件要求的资格能力条件等信息进行公示。</w:t>
      </w:r>
    </w:p>
    <w:p>
      <w:pPr>
        <w:spacing w:line="360" w:lineRule="auto"/>
        <w:ind w:firstLine="42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本公司违反上述保证，或本声明陈述与事实不符，经查实，本公司愿意接受公开通报，记录不良行为，承担由此带来的法律后果，并愿意停止参加广州市行政区域内的招标投标活动三个月。其中，本声明陈述与事实不符的，属于弄虚作假骗取中标，将依法接受监管部门的处罚。</w:t>
      </w:r>
    </w:p>
    <w:p>
      <w:pPr>
        <w:spacing w:line="360" w:lineRule="auto"/>
        <w:ind w:firstLine="42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特此声明</w:t>
      </w:r>
    </w:p>
    <w:p>
      <w:pPr>
        <w:spacing w:line="360" w:lineRule="auto"/>
        <w:ind w:right="140" w:firstLine="42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法定代表人签字：                    投标人：（盖章）           </w:t>
      </w:r>
    </w:p>
    <w:p>
      <w:pPr>
        <w:spacing w:line="360" w:lineRule="auto"/>
        <w:ind w:right="140" w:firstLine="42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项目负责人签字：                       </w:t>
      </w:r>
    </w:p>
    <w:p>
      <w:pPr>
        <w:spacing w:line="360" w:lineRule="auto"/>
        <w:ind w:right="140" w:firstLine="42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技术负责人签字：                         </w:t>
      </w:r>
    </w:p>
    <w:p>
      <w:pPr>
        <w:widowControl/>
        <w:spacing w:line="420" w:lineRule="exact"/>
        <w:jc w:val="left"/>
        <w:rPr>
          <w:rFonts w:hint="eastAsia" w:ascii="宋体" w:hAnsi="宋体" w:eastAsia="宋体" w:cs="宋体"/>
          <w:color w:val="auto"/>
          <w:kern w:val="0"/>
          <w:szCs w:val="24"/>
          <w:highlight w:val="none"/>
        </w:rPr>
        <w:sectPr>
          <w:headerReference r:id="rId6" w:type="default"/>
          <w:footerReference r:id="rId7" w:type="default"/>
          <w:endnotePr>
            <w:numFmt w:val="decimal"/>
          </w:endnotePr>
          <w:pgSz w:w="11850" w:h="16783"/>
          <w:pgMar w:top="1440" w:right="1418" w:bottom="1440" w:left="1418" w:header="851" w:footer="907" w:gutter="0"/>
          <w:pgNumType w:fmt="decimal"/>
          <w:cols w:space="720" w:num="1"/>
        </w:sectPr>
      </w:pPr>
      <w:r>
        <w:rPr>
          <w:rFonts w:hint="eastAsia" w:ascii="宋体" w:hAnsi="宋体" w:eastAsia="宋体" w:cs="宋体"/>
          <w:color w:val="auto"/>
          <w:szCs w:val="24"/>
          <w:highlight w:val="none"/>
        </w:rPr>
        <w:t xml:space="preserve">                                           </w:t>
      </w:r>
      <w:r>
        <w:rPr>
          <w:rFonts w:hint="eastAsia" w:ascii="宋体" w:hAnsi="宋体" w:eastAsia="宋体" w:cs="宋体"/>
          <w:color w:val="auto"/>
          <w:kern w:val="0"/>
          <w:szCs w:val="24"/>
          <w:highlight w:val="none"/>
        </w:rPr>
        <w:t>年   月   日</w:t>
      </w:r>
    </w:p>
    <w:p>
      <w:pPr>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附件18 法人代表证明书及法定代表人授权书</w:t>
      </w:r>
      <w:bookmarkEnd w:id="261"/>
      <w:bookmarkEnd w:id="262"/>
      <w:bookmarkEnd w:id="263"/>
      <w:bookmarkEnd w:id="264"/>
      <w:bookmarkEnd w:id="265"/>
    </w:p>
    <w:p>
      <w:pPr>
        <w:adjustRightInd w:val="0"/>
        <w:snapToGrid w:val="0"/>
        <w:spacing w:line="360" w:lineRule="auto"/>
        <w:jc w:val="center"/>
        <w:rPr>
          <w:rFonts w:hint="eastAsia" w:ascii="宋体" w:hAnsi="宋体" w:eastAsia="宋体" w:cs="宋体"/>
          <w:b/>
          <w:color w:val="auto"/>
          <w:sz w:val="32"/>
          <w:highlight w:val="none"/>
        </w:rPr>
      </w:pPr>
    </w:p>
    <w:p>
      <w:pPr>
        <w:adjustRightInd w:val="0"/>
        <w:snapToGrid w:val="0"/>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法定代表人证明</w:t>
      </w:r>
      <w:bookmarkEnd w:id="266"/>
      <w:bookmarkEnd w:id="267"/>
      <w:bookmarkEnd w:id="268"/>
      <w:bookmarkEnd w:id="269"/>
      <w:bookmarkEnd w:id="270"/>
      <w:bookmarkEnd w:id="271"/>
      <w:bookmarkEnd w:id="272"/>
      <w:bookmarkEnd w:id="273"/>
      <w:r>
        <w:rPr>
          <w:rFonts w:hint="eastAsia" w:ascii="宋体" w:hAnsi="宋体" w:eastAsia="宋体" w:cs="宋体"/>
          <w:b/>
          <w:color w:val="auto"/>
          <w:sz w:val="32"/>
          <w:highlight w:val="none"/>
        </w:rPr>
        <w:t>书</w:t>
      </w:r>
    </w:p>
    <w:p>
      <w:pPr>
        <w:adjustRightInd w:val="0"/>
        <w:snapToGrid w:val="0"/>
        <w:spacing w:line="360" w:lineRule="auto"/>
        <w:ind w:firstLine="400" w:firstLineChars="200"/>
        <w:rPr>
          <w:rFonts w:hint="eastAsia" w:ascii="宋体" w:hAnsi="宋体" w:eastAsia="宋体" w:cs="宋体"/>
          <w:color w:val="auto"/>
          <w:sz w:val="20"/>
          <w:highlight w:val="none"/>
        </w:rPr>
      </w:pPr>
    </w:p>
    <w:p>
      <w:pPr>
        <w:adjustRightInd w:val="0"/>
        <w:snapToGrid w:val="0"/>
        <w:spacing w:line="360" w:lineRule="auto"/>
        <w:ind w:firstLine="480" w:firstLineChars="200"/>
        <w:rPr>
          <w:rFonts w:hint="eastAsia" w:ascii="宋体" w:hAnsi="宋体" w:eastAsia="宋体" w:cs="宋体"/>
          <w:color w:val="auto"/>
          <w:sz w:val="24"/>
          <w:szCs w:val="24"/>
          <w:highlight w:val="none"/>
        </w:rPr>
      </w:pPr>
    </w:p>
    <w:p>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（姓名）现任我单位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职务，为我单位法定代表人，特此证明。</w:t>
      </w:r>
    </w:p>
    <w:p>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有效期限：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adjustRightInd w:val="0"/>
        <w:snapToGrid w:val="0"/>
        <w:spacing w:line="360" w:lineRule="auto"/>
        <w:ind w:firstLine="480" w:firstLineChars="200"/>
        <w:rPr>
          <w:rFonts w:hint="eastAsia" w:ascii="宋体" w:hAnsi="宋体" w:eastAsia="宋体" w:cs="宋体"/>
          <w:color w:val="auto"/>
          <w:sz w:val="24"/>
          <w:szCs w:val="24"/>
          <w:highlight w:val="none"/>
        </w:rPr>
      </w:pP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企业统一社会信用代码：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，企业类型：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w:t>
      </w:r>
    </w:p>
    <w:p>
      <w:pPr>
        <w:adjustRightInd w:val="0"/>
        <w:snapToGrid w:val="0"/>
        <w:spacing w:line="360" w:lineRule="auto"/>
        <w:ind w:firstLine="480" w:firstLineChars="200"/>
        <w:rPr>
          <w:rFonts w:hint="eastAsia" w:ascii="宋体" w:hAnsi="宋体" w:eastAsia="宋体" w:cs="宋体"/>
          <w:color w:val="auto"/>
          <w:sz w:val="24"/>
          <w:szCs w:val="24"/>
          <w:highlight w:val="none"/>
        </w:rPr>
      </w:pPr>
    </w:p>
    <w:p>
      <w:pPr>
        <w:adjustRightInd w:val="0"/>
        <w:snapToGrid w:val="0"/>
        <w:spacing w:line="360" w:lineRule="auto"/>
        <w:rPr>
          <w:rFonts w:hint="eastAsia" w:ascii="宋体" w:hAnsi="宋体" w:eastAsia="宋体" w:cs="宋体"/>
          <w:color w:val="auto"/>
          <w:sz w:val="24"/>
          <w:szCs w:val="24"/>
          <w:highlight w:val="none"/>
        </w:rPr>
      </w:pPr>
    </w:p>
    <w:p>
      <w:pPr>
        <w:adjustRightInd w:val="0"/>
        <w:snapToGrid w:val="0"/>
        <w:spacing w:line="360" w:lineRule="auto"/>
        <w:rPr>
          <w:rFonts w:hint="eastAsia" w:ascii="宋体" w:hAnsi="宋体" w:eastAsia="宋体" w:cs="宋体"/>
          <w:color w:val="auto"/>
          <w:sz w:val="24"/>
          <w:szCs w:val="24"/>
          <w:highlight w:val="none"/>
        </w:rPr>
      </w:pPr>
    </w:p>
    <w:p>
      <w:pPr>
        <w:adjustRightInd w:val="0"/>
        <w:snapToGrid w:val="0"/>
        <w:spacing w:line="360" w:lineRule="auto"/>
        <w:rPr>
          <w:rFonts w:hint="eastAsia" w:ascii="宋体" w:hAnsi="宋体" w:eastAsia="宋体" w:cs="宋体"/>
          <w:color w:val="auto"/>
          <w:sz w:val="24"/>
          <w:szCs w:val="24"/>
          <w:highlight w:val="none"/>
        </w:rPr>
      </w:pPr>
    </w:p>
    <w:p>
      <w:pPr>
        <w:adjustRightInd w:val="0"/>
        <w:snapToGrid w:val="0"/>
        <w:spacing w:line="360" w:lineRule="auto"/>
        <w:rPr>
          <w:rFonts w:hint="eastAsia" w:ascii="宋体" w:hAnsi="宋体" w:eastAsia="宋体" w:cs="宋体"/>
          <w:color w:val="auto"/>
          <w:sz w:val="24"/>
          <w:szCs w:val="24"/>
          <w:highlight w:val="none"/>
        </w:rPr>
      </w:pPr>
    </w:p>
    <w:p>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投标人：（盖章）</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rPr>
        <w:t xml:space="preserve">                     </w:t>
      </w:r>
    </w:p>
    <w:p>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adjustRightInd w:val="0"/>
        <w:snapToGrid w:val="0"/>
        <w:spacing w:line="360" w:lineRule="auto"/>
        <w:ind w:firstLine="480" w:firstLineChars="200"/>
        <w:jc w:val="center"/>
        <w:rPr>
          <w:rFonts w:hint="eastAsia" w:ascii="宋体" w:hAnsi="宋体" w:eastAsia="宋体" w:cs="宋体"/>
          <w:color w:val="auto"/>
          <w:sz w:val="24"/>
          <w:szCs w:val="24"/>
          <w:highlight w:val="none"/>
          <w:u w:val="single"/>
        </w:rPr>
      </w:pPr>
    </w:p>
    <w:p>
      <w:pPr>
        <w:adjustRightInd w:val="0"/>
        <w:snapToGrid w:val="0"/>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br w:type="page"/>
      </w:r>
      <w:bookmarkStart w:id="274" w:name="_Toc152045792"/>
      <w:bookmarkStart w:id="275" w:name="_Toc247514284"/>
      <w:bookmarkStart w:id="276" w:name="_Toc507162846"/>
      <w:bookmarkStart w:id="277" w:name="_Toc144974861"/>
      <w:bookmarkStart w:id="278" w:name="_Toc152042581"/>
      <w:bookmarkStart w:id="279" w:name="_Toc300835214"/>
      <w:bookmarkStart w:id="280" w:name="_Toc507590786"/>
      <w:bookmarkStart w:id="281" w:name="_Toc247527832"/>
    </w:p>
    <w:p>
      <w:pPr>
        <w:adjustRightInd w:val="0"/>
        <w:snapToGrid w:val="0"/>
        <w:spacing w:line="360" w:lineRule="auto"/>
        <w:ind w:firstLine="643" w:firstLineChars="20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法定代表人授权书</w:t>
      </w:r>
      <w:bookmarkEnd w:id="274"/>
      <w:bookmarkEnd w:id="275"/>
      <w:bookmarkEnd w:id="276"/>
      <w:bookmarkEnd w:id="277"/>
      <w:bookmarkEnd w:id="278"/>
      <w:bookmarkEnd w:id="279"/>
      <w:bookmarkEnd w:id="280"/>
      <w:bookmarkEnd w:id="281"/>
    </w:p>
    <w:p>
      <w:pPr>
        <w:adjustRightInd w:val="0"/>
        <w:snapToGrid w:val="0"/>
        <w:spacing w:line="360" w:lineRule="auto"/>
        <w:ind w:firstLine="480" w:firstLineChars="200"/>
        <w:rPr>
          <w:rFonts w:hint="eastAsia" w:ascii="宋体" w:hAnsi="宋体" w:eastAsia="宋体" w:cs="宋体"/>
          <w:color w:val="auto"/>
          <w:sz w:val="24"/>
          <w:highlight w:val="none"/>
        </w:rPr>
      </w:pPr>
    </w:p>
    <w:p>
      <w:pPr>
        <w:topLinePunct/>
        <w:adjustRightInd w:val="0"/>
        <w:snapToGrid w:val="0"/>
        <w:spacing w:line="360" w:lineRule="auto"/>
        <w:ind w:firstLine="480" w:firstLineChars="200"/>
        <w:rPr>
          <w:rFonts w:hint="eastAsia" w:ascii="宋体" w:hAnsi="宋体" w:eastAsia="宋体" w:cs="宋体"/>
          <w:color w:val="auto"/>
          <w:sz w:val="24"/>
          <w:highlight w:val="none"/>
        </w:rPr>
      </w:pPr>
    </w:p>
    <w:p>
      <w:pPr>
        <w:topLinePunct/>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rPr>
        <w:t>（姓名）为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rPr>
        <w:t>（投标人名称）的法定代表人，现授</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（姓名）为我方委托代理人。委托代理人根据授权，以我方名义签署、澄清、说明、补正、递交、撤回、修改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（项目名称）勘察设计投标文件，并处理有关事宜，其法律后果由我方承担。委托代理人无转委托权。</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有效期限：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adjustRightInd w:val="0"/>
        <w:snapToGrid w:val="0"/>
        <w:spacing w:line="360" w:lineRule="auto"/>
        <w:rPr>
          <w:rFonts w:hint="eastAsia" w:ascii="宋体" w:hAnsi="宋体" w:eastAsia="宋体" w:cs="宋体"/>
          <w:color w:val="auto"/>
          <w:sz w:val="24"/>
          <w:highlight w:val="none"/>
        </w:rPr>
      </w:pP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附：委托代理人身份证复印件</w:t>
      </w:r>
    </w:p>
    <w:p>
      <w:pPr>
        <w:adjustRightInd w:val="0"/>
        <w:snapToGrid w:val="0"/>
        <w:spacing w:line="360" w:lineRule="auto"/>
        <w:rPr>
          <w:rFonts w:hint="eastAsia" w:ascii="宋体" w:hAnsi="宋体" w:eastAsia="宋体" w:cs="宋体"/>
          <w:color w:val="auto"/>
          <w:sz w:val="24"/>
          <w:highlight w:val="none"/>
        </w:rPr>
      </w:pPr>
    </w:p>
    <w:p>
      <w:pPr>
        <w:adjustRightInd w:val="0"/>
        <w:snapToGrid w:val="0"/>
        <w:spacing w:line="360" w:lineRule="auto"/>
        <w:rPr>
          <w:rFonts w:hint="eastAsia" w:ascii="宋体" w:hAnsi="宋体" w:eastAsia="宋体" w:cs="宋体"/>
          <w:color w:val="auto"/>
          <w:sz w:val="24"/>
          <w:highlight w:val="none"/>
        </w:rPr>
      </w:pPr>
    </w:p>
    <w:p>
      <w:pPr>
        <w:adjustRightInd w:val="0"/>
        <w:snapToGrid w:val="0"/>
        <w:spacing w:line="360" w:lineRule="auto"/>
        <w:rPr>
          <w:rFonts w:hint="eastAsia" w:ascii="宋体" w:hAnsi="宋体" w:eastAsia="宋体" w:cs="宋体"/>
          <w:color w:val="auto"/>
          <w:sz w:val="24"/>
          <w:highlight w:val="none"/>
        </w:rPr>
      </w:pPr>
    </w:p>
    <w:p>
      <w:pPr>
        <w:adjustRightInd w:val="0"/>
        <w:snapToGrid w:val="0"/>
        <w:spacing w:line="360" w:lineRule="auto"/>
        <w:rPr>
          <w:rFonts w:hint="eastAsia" w:ascii="宋体" w:hAnsi="宋体" w:eastAsia="宋体" w:cs="宋体"/>
          <w:color w:val="auto"/>
          <w:sz w:val="24"/>
          <w:highlight w:val="none"/>
        </w:rPr>
      </w:pPr>
    </w:p>
    <w:p>
      <w:pPr>
        <w:adjustRightInd w:val="0"/>
        <w:snapToGrid w:val="0"/>
        <w:spacing w:line="360" w:lineRule="auto"/>
        <w:rPr>
          <w:rFonts w:hint="eastAsia" w:ascii="宋体" w:hAnsi="宋体" w:eastAsia="宋体" w:cs="宋体"/>
          <w:color w:val="auto"/>
          <w:sz w:val="24"/>
          <w:highlight w:val="none"/>
        </w:rPr>
      </w:pP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投标人：（盖章）</w:t>
      </w:r>
      <w:r>
        <w:rPr>
          <w:rFonts w:hint="eastAsia" w:ascii="宋体" w:hAnsi="宋体" w:eastAsia="宋体" w:cs="宋体"/>
          <w:color w:val="auto"/>
          <w:sz w:val="24"/>
          <w:highlight w:val="none"/>
          <w:u w:val="single"/>
        </w:rPr>
        <w:t xml:space="preserve">                                           </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r>
        <w:rPr>
          <w:rFonts w:hint="eastAsia" w:ascii="宋体" w:hAnsi="宋体" w:eastAsia="宋体" w:cs="宋体"/>
          <w:color w:val="auto"/>
          <w:sz w:val="24"/>
          <w:highlight w:val="none"/>
          <w:u w:val="single"/>
        </w:rPr>
        <w:t xml:space="preserve">                                 </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委托代理人：（签字或盖章）</w:t>
      </w:r>
      <w:r>
        <w:rPr>
          <w:rFonts w:hint="eastAsia" w:ascii="宋体" w:hAnsi="宋体" w:eastAsia="宋体" w:cs="宋体"/>
          <w:color w:val="auto"/>
          <w:sz w:val="24"/>
          <w:highlight w:val="none"/>
          <w:u w:val="single"/>
        </w:rPr>
        <w:t xml:space="preserve">                                 </w:t>
      </w:r>
    </w:p>
    <w:p>
      <w:pPr>
        <w:adjustRightInd w:val="0"/>
        <w:snapToGrid w:val="0"/>
        <w:spacing w:line="360" w:lineRule="auto"/>
        <w:ind w:firstLine="480" w:firstLineChars="200"/>
        <w:rPr>
          <w:rFonts w:hint="eastAsia" w:ascii="宋体" w:hAnsi="宋体" w:eastAsia="宋体" w:cs="宋体"/>
          <w:color w:val="auto"/>
          <w:sz w:val="24"/>
          <w:highlight w:val="none"/>
        </w:rPr>
      </w:pPr>
    </w:p>
    <w:p>
      <w:pPr>
        <w:adjustRightInd w:val="0"/>
        <w:snapToGrid w:val="0"/>
        <w:spacing w:line="360" w:lineRule="auto"/>
        <w:ind w:firstLine="480" w:firstLineChars="200"/>
        <w:rPr>
          <w:rFonts w:hint="eastAsia" w:ascii="宋体" w:hAnsi="宋体" w:eastAsia="宋体" w:cs="宋体"/>
          <w:color w:val="auto"/>
          <w:sz w:val="24"/>
          <w:highlight w:val="none"/>
        </w:rPr>
      </w:pPr>
    </w:p>
    <w:p>
      <w:pPr>
        <w:adjustRightInd w:val="0"/>
        <w:snapToGrid w:val="0"/>
        <w:spacing w:line="360" w:lineRule="auto"/>
        <w:ind w:firstLine="480" w:firstLineChars="200"/>
        <w:rPr>
          <w:rFonts w:hint="eastAsia" w:ascii="宋体" w:hAnsi="宋体" w:eastAsia="宋体" w:cs="宋体"/>
          <w:color w:val="auto"/>
          <w:sz w:val="24"/>
          <w:highlight w:val="none"/>
        </w:rPr>
      </w:pPr>
    </w:p>
    <w:p>
      <w:pPr>
        <w:adjustRightInd w:val="0"/>
        <w:snapToGrid w:val="0"/>
        <w:spacing w:line="360" w:lineRule="auto"/>
        <w:ind w:firstLine="4320" w:firstLineChars="18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pStyle w:val="17"/>
        <w:rPr>
          <w:rFonts w:hint="eastAsia" w:ascii="宋体" w:hAnsi="宋体" w:cs="宋体"/>
          <w:color w:val="auto"/>
          <w:highlight w:val="none"/>
        </w:rPr>
        <w:sectPr>
          <w:headerReference r:id="rId8" w:type="default"/>
          <w:pgSz w:w="11850" w:h="16783"/>
          <w:pgMar w:top="1417" w:right="1290" w:bottom="1417" w:left="1290" w:header="851" w:footer="992" w:gutter="0"/>
          <w:pgNumType w:fmt="decimal"/>
          <w:cols w:space="720" w:num="1"/>
          <w:docGrid w:type="lines" w:linePitch="312" w:charSpace="0"/>
        </w:sectPr>
      </w:pPr>
    </w:p>
    <w:p>
      <w:pPr>
        <w:outlineLvl w:val="2"/>
        <w:rPr>
          <w:rFonts w:hint="eastAsia" w:ascii="宋体" w:hAnsi="宋体" w:eastAsia="宋体" w:cs="宋体"/>
          <w:strike/>
          <w:dstrike w:val="0"/>
          <w:color w:val="auto"/>
          <w:sz w:val="24"/>
          <w:szCs w:val="24"/>
          <w:highlight w:val="none"/>
        </w:rPr>
      </w:pPr>
      <w:bookmarkStart w:id="282" w:name="_第五章__技术条件（工程建设标准）"/>
      <w:bookmarkEnd w:id="282"/>
      <w:bookmarkStart w:id="283" w:name="_Toc26524"/>
      <w:bookmarkStart w:id="284" w:name="_Toc1260"/>
      <w:bookmarkStart w:id="285" w:name="_Toc10195"/>
      <w:bookmarkStart w:id="286" w:name="_Toc24538"/>
      <w:bookmarkStart w:id="287" w:name="_Toc10827"/>
      <w:bookmarkStart w:id="288" w:name="_Toc25823"/>
      <w:bookmarkStart w:id="289" w:name="_Toc23174"/>
      <w:bookmarkStart w:id="290" w:name="_Toc19497"/>
      <w:bookmarkStart w:id="291" w:name="_Toc262229176"/>
      <w:bookmarkStart w:id="292" w:name="_Toc6556"/>
      <w:r>
        <w:rPr>
          <w:rFonts w:hint="eastAsia" w:ascii="宋体" w:hAnsi="宋体" w:eastAsia="宋体" w:cs="宋体"/>
          <w:strike/>
          <w:dstrike w:val="0"/>
          <w:color w:val="auto"/>
          <w:sz w:val="24"/>
          <w:szCs w:val="24"/>
          <w:highlight w:val="none"/>
        </w:rPr>
        <w:t>附件19 联合体投标协议</w:t>
      </w:r>
      <w:bookmarkEnd w:id="283"/>
      <w:bookmarkEnd w:id="284"/>
      <w:bookmarkEnd w:id="285"/>
      <w:bookmarkEnd w:id="286"/>
      <w:bookmarkEnd w:id="287"/>
    </w:p>
    <w:p>
      <w:pPr>
        <w:jc w:val="center"/>
        <w:rPr>
          <w:rFonts w:hint="eastAsia" w:ascii="宋体" w:hAnsi="宋体" w:eastAsia="宋体" w:cs="宋体"/>
          <w:b/>
          <w:bCs/>
          <w:strike/>
          <w:dstrike w:val="0"/>
          <w:color w:val="auto"/>
          <w:sz w:val="32"/>
          <w:highlight w:val="none"/>
        </w:rPr>
      </w:pPr>
    </w:p>
    <w:p>
      <w:pPr>
        <w:jc w:val="center"/>
        <w:rPr>
          <w:rFonts w:hint="eastAsia" w:ascii="宋体" w:hAnsi="宋体" w:eastAsia="宋体" w:cs="宋体"/>
          <w:strike/>
          <w:dstrike w:val="0"/>
          <w:color w:val="auto"/>
          <w:sz w:val="24"/>
          <w:highlight w:val="none"/>
        </w:rPr>
      </w:pPr>
      <w:r>
        <w:rPr>
          <w:rFonts w:hint="eastAsia" w:ascii="宋体" w:hAnsi="宋体" w:eastAsia="宋体" w:cs="宋体"/>
          <w:b/>
          <w:bCs/>
          <w:strike/>
          <w:dstrike w:val="0"/>
          <w:color w:val="auto"/>
          <w:sz w:val="32"/>
          <w:highlight w:val="none"/>
        </w:rPr>
        <w:t>联合体投标协议</w:t>
      </w:r>
    </w:p>
    <w:p>
      <w:pPr>
        <w:adjustRightInd w:val="0"/>
        <w:snapToGrid w:val="0"/>
        <w:spacing w:line="360" w:lineRule="auto"/>
        <w:rPr>
          <w:rFonts w:hint="eastAsia" w:ascii="宋体" w:hAnsi="宋体" w:eastAsia="宋体" w:cs="宋体"/>
          <w:strike/>
          <w:dstrike w:val="0"/>
          <w:color w:val="auto"/>
          <w:sz w:val="24"/>
          <w:highlight w:val="none"/>
        </w:rPr>
      </w:pPr>
    </w:p>
    <w:p>
      <w:pPr>
        <w:topLinePunct/>
        <w:adjustRightInd w:val="0"/>
        <w:snapToGrid w:val="0"/>
        <w:spacing w:line="360" w:lineRule="auto"/>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 xml:space="preserve">    我方自愿组成联合体共同参加</w:t>
      </w:r>
      <w:r>
        <w:rPr>
          <w:rFonts w:hint="eastAsia" w:ascii="宋体" w:hAnsi="宋体" w:eastAsia="宋体" w:cs="宋体"/>
          <w:strike/>
          <w:dstrike w:val="0"/>
          <w:color w:val="auto"/>
          <w:sz w:val="24"/>
          <w:highlight w:val="none"/>
          <w:u w:val="single"/>
        </w:rPr>
        <w:t xml:space="preserve">          </w:t>
      </w:r>
      <w:r>
        <w:rPr>
          <w:rFonts w:hint="eastAsia" w:ascii="宋体" w:hAnsi="宋体" w:eastAsia="宋体" w:cs="宋体"/>
          <w:strike/>
          <w:dstrike w:val="0"/>
          <w:color w:val="auto"/>
          <w:sz w:val="24"/>
          <w:highlight w:val="none"/>
        </w:rPr>
        <w:t>项目的投标，现就联合体投标事宜订立如下协议。</w:t>
      </w:r>
    </w:p>
    <w:p>
      <w:pPr>
        <w:topLinePunct/>
        <w:adjustRightInd w:val="0"/>
        <w:snapToGrid w:val="0"/>
        <w:spacing w:line="360" w:lineRule="auto"/>
        <w:ind w:firstLine="480" w:firstLineChars="200"/>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1.</w:t>
      </w:r>
      <w:r>
        <w:rPr>
          <w:rFonts w:hint="eastAsia" w:ascii="宋体" w:hAnsi="宋体" w:eastAsia="宋体" w:cs="宋体"/>
          <w:strike/>
          <w:dstrike w:val="0"/>
          <w:color w:val="auto"/>
          <w:sz w:val="24"/>
          <w:highlight w:val="none"/>
          <w:u w:val="single"/>
        </w:rPr>
        <w:t xml:space="preserve">               </w:t>
      </w:r>
      <w:r>
        <w:rPr>
          <w:rFonts w:hint="eastAsia" w:ascii="宋体" w:hAnsi="宋体" w:eastAsia="宋体" w:cs="宋体"/>
          <w:strike/>
          <w:dstrike w:val="0"/>
          <w:color w:val="auto"/>
          <w:sz w:val="24"/>
          <w:highlight w:val="none"/>
        </w:rPr>
        <w:t>为联合体主办方。</w:t>
      </w:r>
    </w:p>
    <w:p>
      <w:pPr>
        <w:topLinePunct/>
        <w:adjustRightInd w:val="0"/>
        <w:snapToGrid w:val="0"/>
        <w:spacing w:line="360" w:lineRule="auto"/>
        <w:ind w:firstLine="480" w:firstLineChars="200"/>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联合体主办方合法代表联合体各成员负责本招标项目投标文件编制和合同谈判活动，并代表联合体提交和接收相关的资料、信息及指示，并处理与之有关的一切事务，负责合同实施阶段的主办、组织和协调工作。</w:t>
      </w:r>
    </w:p>
    <w:p>
      <w:pPr>
        <w:topLinePunct/>
        <w:adjustRightInd w:val="0"/>
        <w:snapToGrid w:val="0"/>
        <w:spacing w:line="360" w:lineRule="auto"/>
        <w:ind w:firstLine="480" w:firstLineChars="200"/>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2.联合体将严格按照招标文件的各项要求，递交投标文件，履行合同，并对外承担连带责任。</w:t>
      </w:r>
    </w:p>
    <w:p>
      <w:pPr>
        <w:topLinePunct/>
        <w:adjustRightInd w:val="0"/>
        <w:snapToGrid w:val="0"/>
        <w:spacing w:line="360" w:lineRule="auto"/>
        <w:ind w:firstLine="480" w:firstLineChars="200"/>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 xml:space="preserve">3.本协议书自签署之日起生效，合同履行完毕后自动失效。 </w:t>
      </w:r>
    </w:p>
    <w:p>
      <w:pPr>
        <w:topLinePunct/>
        <w:adjustRightInd w:val="0"/>
        <w:snapToGrid w:val="0"/>
        <w:spacing w:line="360" w:lineRule="auto"/>
        <w:ind w:firstLine="480" w:firstLineChars="200"/>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4.本协议书一式</w:t>
      </w:r>
      <w:r>
        <w:rPr>
          <w:rFonts w:hint="eastAsia" w:ascii="宋体" w:hAnsi="宋体" w:eastAsia="宋体" w:cs="宋体"/>
          <w:strike/>
          <w:dstrike w:val="0"/>
          <w:color w:val="auto"/>
          <w:sz w:val="24"/>
          <w:highlight w:val="none"/>
          <w:u w:val="single"/>
        </w:rPr>
        <w:t xml:space="preserve">     </w:t>
      </w:r>
      <w:r>
        <w:rPr>
          <w:rFonts w:hint="eastAsia" w:ascii="宋体" w:hAnsi="宋体" w:eastAsia="宋体" w:cs="宋体"/>
          <w:strike/>
          <w:dstrike w:val="0"/>
          <w:color w:val="auto"/>
          <w:sz w:val="24"/>
          <w:highlight w:val="none"/>
        </w:rPr>
        <w:t>份，联合体成员和招标人各执一份。</w:t>
      </w:r>
    </w:p>
    <w:p>
      <w:pPr>
        <w:topLinePunct/>
        <w:adjustRightInd w:val="0"/>
        <w:snapToGrid w:val="0"/>
        <w:spacing w:line="360" w:lineRule="auto"/>
        <w:rPr>
          <w:rFonts w:hint="eastAsia" w:ascii="宋体" w:hAnsi="宋体" w:eastAsia="宋体" w:cs="宋体"/>
          <w:strike/>
          <w:dstrike w:val="0"/>
          <w:color w:val="auto"/>
          <w:sz w:val="24"/>
          <w:highlight w:val="none"/>
        </w:rPr>
      </w:pPr>
    </w:p>
    <w:p>
      <w:pPr>
        <w:topLinePunct/>
        <w:adjustRightInd w:val="0"/>
        <w:snapToGrid w:val="0"/>
        <w:spacing w:line="360" w:lineRule="auto"/>
        <w:ind w:firstLine="480" w:firstLineChars="200"/>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主办方名称：（盖章）</w:t>
      </w:r>
      <w:r>
        <w:rPr>
          <w:rFonts w:hint="eastAsia" w:ascii="宋体" w:hAnsi="宋体" w:eastAsia="宋体" w:cs="宋体"/>
          <w:strike/>
          <w:dstrike w:val="0"/>
          <w:color w:val="auto"/>
          <w:sz w:val="24"/>
          <w:highlight w:val="none"/>
          <w:u w:val="single"/>
        </w:rPr>
        <w:t xml:space="preserve">                                       </w:t>
      </w:r>
    </w:p>
    <w:p>
      <w:pPr>
        <w:topLinePunct/>
        <w:adjustRightInd w:val="0"/>
        <w:snapToGrid w:val="0"/>
        <w:spacing w:line="360" w:lineRule="auto"/>
        <w:ind w:firstLine="480" w:firstLineChars="200"/>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法定代表人：（签字或盖章）</w:t>
      </w:r>
      <w:r>
        <w:rPr>
          <w:rFonts w:hint="eastAsia" w:ascii="宋体" w:hAnsi="宋体" w:eastAsia="宋体" w:cs="宋体"/>
          <w:strike/>
          <w:dstrike w:val="0"/>
          <w:color w:val="auto"/>
          <w:sz w:val="24"/>
          <w:highlight w:val="none"/>
          <w:u w:val="single"/>
        </w:rPr>
        <w:t xml:space="preserve">                                 </w:t>
      </w:r>
    </w:p>
    <w:p>
      <w:pPr>
        <w:pStyle w:val="10"/>
        <w:adjustRightInd w:val="0"/>
        <w:snapToGrid w:val="0"/>
        <w:spacing w:line="360" w:lineRule="auto"/>
        <w:rPr>
          <w:rFonts w:hint="eastAsia" w:hAnsi="宋体" w:eastAsia="宋体" w:cs="宋体"/>
          <w:strike/>
          <w:dstrike w:val="0"/>
          <w:color w:val="auto"/>
          <w:sz w:val="24"/>
          <w:highlight w:val="none"/>
        </w:rPr>
      </w:pPr>
      <w:r>
        <w:rPr>
          <w:rFonts w:hint="eastAsia" w:hAnsi="宋体" w:eastAsia="宋体" w:cs="宋体"/>
          <w:strike/>
          <w:dstrike w:val="0"/>
          <w:color w:val="auto"/>
          <w:sz w:val="24"/>
          <w:highlight w:val="none"/>
        </w:rPr>
        <w:t xml:space="preserve">    分工内容：</w:t>
      </w:r>
      <w:r>
        <w:rPr>
          <w:rFonts w:hint="eastAsia" w:hAnsi="宋体" w:eastAsia="宋体" w:cs="宋体"/>
          <w:strike/>
          <w:dstrike w:val="0"/>
          <w:color w:val="auto"/>
          <w:sz w:val="24"/>
          <w:highlight w:val="none"/>
          <w:u w:val="single"/>
        </w:rPr>
        <w:t xml:space="preserve">                                                </w:t>
      </w:r>
    </w:p>
    <w:p>
      <w:pPr>
        <w:topLinePunct/>
        <w:adjustRightInd w:val="0"/>
        <w:snapToGrid w:val="0"/>
        <w:spacing w:line="360" w:lineRule="auto"/>
        <w:ind w:firstLine="480" w:firstLineChars="200"/>
        <w:rPr>
          <w:rFonts w:hint="eastAsia" w:ascii="宋体" w:hAnsi="宋体" w:eastAsia="宋体" w:cs="宋体"/>
          <w:strike/>
          <w:dstrike w:val="0"/>
          <w:color w:val="auto"/>
          <w:sz w:val="24"/>
          <w:highlight w:val="none"/>
        </w:rPr>
      </w:pPr>
    </w:p>
    <w:p>
      <w:pPr>
        <w:topLinePunct/>
        <w:adjustRightInd w:val="0"/>
        <w:snapToGrid w:val="0"/>
        <w:spacing w:line="360" w:lineRule="auto"/>
        <w:ind w:firstLine="480" w:firstLineChars="200"/>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成员一名称：（盖章）</w:t>
      </w:r>
      <w:r>
        <w:rPr>
          <w:rFonts w:hint="eastAsia" w:ascii="宋体" w:hAnsi="宋体" w:eastAsia="宋体" w:cs="宋体"/>
          <w:strike/>
          <w:dstrike w:val="0"/>
          <w:color w:val="auto"/>
          <w:sz w:val="24"/>
          <w:highlight w:val="none"/>
          <w:u w:val="single"/>
        </w:rPr>
        <w:t xml:space="preserve">                                        </w:t>
      </w:r>
    </w:p>
    <w:p>
      <w:pPr>
        <w:topLinePunct/>
        <w:adjustRightInd w:val="0"/>
        <w:snapToGrid w:val="0"/>
        <w:spacing w:line="360" w:lineRule="auto"/>
        <w:ind w:firstLine="480" w:firstLineChars="200"/>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法定代表人：（签字或盖章）</w:t>
      </w:r>
      <w:r>
        <w:rPr>
          <w:rFonts w:hint="eastAsia" w:ascii="宋体" w:hAnsi="宋体" w:eastAsia="宋体" w:cs="宋体"/>
          <w:strike/>
          <w:dstrike w:val="0"/>
          <w:color w:val="auto"/>
          <w:sz w:val="24"/>
          <w:highlight w:val="none"/>
          <w:u w:val="single"/>
        </w:rPr>
        <w:t xml:space="preserve">                                  </w:t>
      </w:r>
    </w:p>
    <w:p>
      <w:pPr>
        <w:pStyle w:val="10"/>
        <w:adjustRightInd w:val="0"/>
        <w:snapToGrid w:val="0"/>
        <w:spacing w:line="360" w:lineRule="auto"/>
        <w:ind w:firstLine="405"/>
        <w:rPr>
          <w:rFonts w:hint="eastAsia" w:hAnsi="宋体" w:eastAsia="宋体" w:cs="宋体"/>
          <w:strike/>
          <w:dstrike w:val="0"/>
          <w:color w:val="auto"/>
          <w:sz w:val="24"/>
          <w:highlight w:val="none"/>
        </w:rPr>
      </w:pPr>
      <w:r>
        <w:rPr>
          <w:rFonts w:hint="eastAsia" w:hAnsi="宋体" w:eastAsia="宋体" w:cs="宋体"/>
          <w:strike/>
          <w:dstrike w:val="0"/>
          <w:color w:val="auto"/>
          <w:sz w:val="24"/>
          <w:highlight w:val="none"/>
        </w:rPr>
        <w:t xml:space="preserve"> 分工内容：</w:t>
      </w:r>
      <w:r>
        <w:rPr>
          <w:rFonts w:hint="eastAsia" w:hAnsi="宋体" w:eastAsia="宋体" w:cs="宋体"/>
          <w:strike/>
          <w:dstrike w:val="0"/>
          <w:color w:val="auto"/>
          <w:sz w:val="24"/>
          <w:highlight w:val="none"/>
          <w:u w:val="single"/>
        </w:rPr>
        <w:t xml:space="preserve">                                                 </w:t>
      </w:r>
    </w:p>
    <w:p>
      <w:pPr>
        <w:topLinePunct/>
        <w:adjustRightInd w:val="0"/>
        <w:snapToGrid w:val="0"/>
        <w:spacing w:line="360" w:lineRule="auto"/>
        <w:ind w:firstLine="480" w:firstLineChars="200"/>
        <w:rPr>
          <w:rFonts w:hint="eastAsia" w:ascii="宋体" w:hAnsi="宋体" w:eastAsia="宋体" w:cs="宋体"/>
          <w:strike/>
          <w:dstrike w:val="0"/>
          <w:color w:val="auto"/>
          <w:sz w:val="24"/>
          <w:highlight w:val="none"/>
        </w:rPr>
      </w:pPr>
    </w:p>
    <w:p>
      <w:pPr>
        <w:topLinePunct/>
        <w:adjustRightInd w:val="0"/>
        <w:snapToGrid w:val="0"/>
        <w:spacing w:line="360" w:lineRule="auto"/>
        <w:ind w:firstLine="480" w:firstLineChars="200"/>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成员二名称：（盖章）</w:t>
      </w:r>
      <w:r>
        <w:rPr>
          <w:rFonts w:hint="eastAsia" w:ascii="宋体" w:hAnsi="宋体" w:eastAsia="宋体" w:cs="宋体"/>
          <w:strike/>
          <w:dstrike w:val="0"/>
          <w:color w:val="auto"/>
          <w:sz w:val="24"/>
          <w:highlight w:val="none"/>
          <w:u w:val="single"/>
        </w:rPr>
        <w:t xml:space="preserve">                                        </w:t>
      </w:r>
    </w:p>
    <w:p>
      <w:pPr>
        <w:topLinePunct/>
        <w:adjustRightInd w:val="0"/>
        <w:snapToGrid w:val="0"/>
        <w:spacing w:line="360" w:lineRule="auto"/>
        <w:ind w:firstLine="480" w:firstLineChars="200"/>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rPr>
        <w:t>法定代表人：（签字或盖章）</w:t>
      </w:r>
      <w:r>
        <w:rPr>
          <w:rFonts w:hint="eastAsia" w:ascii="宋体" w:hAnsi="宋体" w:eastAsia="宋体" w:cs="宋体"/>
          <w:strike/>
          <w:dstrike w:val="0"/>
          <w:color w:val="auto"/>
          <w:sz w:val="24"/>
          <w:highlight w:val="none"/>
          <w:u w:val="single"/>
        </w:rPr>
        <w:t xml:space="preserve">                                  </w:t>
      </w:r>
    </w:p>
    <w:p>
      <w:pPr>
        <w:pStyle w:val="10"/>
        <w:adjustRightInd w:val="0"/>
        <w:snapToGrid w:val="0"/>
        <w:spacing w:line="360" w:lineRule="auto"/>
        <w:ind w:firstLine="405"/>
        <w:rPr>
          <w:rFonts w:hint="eastAsia" w:hAnsi="宋体" w:eastAsia="宋体" w:cs="宋体"/>
          <w:strike/>
          <w:dstrike w:val="0"/>
          <w:color w:val="auto"/>
          <w:sz w:val="24"/>
          <w:highlight w:val="none"/>
        </w:rPr>
      </w:pPr>
      <w:r>
        <w:rPr>
          <w:rFonts w:hint="eastAsia" w:hAnsi="宋体" w:eastAsia="宋体" w:cs="宋体"/>
          <w:strike/>
          <w:dstrike w:val="0"/>
          <w:color w:val="auto"/>
          <w:sz w:val="24"/>
          <w:highlight w:val="none"/>
        </w:rPr>
        <w:t xml:space="preserve"> 分工内容：</w:t>
      </w:r>
      <w:r>
        <w:rPr>
          <w:rFonts w:hint="eastAsia" w:hAnsi="宋体" w:eastAsia="宋体" w:cs="宋体"/>
          <w:strike/>
          <w:dstrike w:val="0"/>
          <w:color w:val="auto"/>
          <w:sz w:val="24"/>
          <w:highlight w:val="none"/>
          <w:u w:val="single"/>
        </w:rPr>
        <w:t xml:space="preserve">                                                 </w:t>
      </w:r>
    </w:p>
    <w:p>
      <w:pPr>
        <w:topLinePunct/>
        <w:adjustRightInd w:val="0"/>
        <w:snapToGrid w:val="0"/>
        <w:spacing w:line="360" w:lineRule="auto"/>
        <w:ind w:firstLine="480" w:firstLineChars="200"/>
        <w:rPr>
          <w:rFonts w:hint="eastAsia" w:ascii="宋体" w:hAnsi="宋体" w:eastAsia="宋体" w:cs="宋体"/>
          <w:strike/>
          <w:dstrike w:val="0"/>
          <w:color w:val="auto"/>
          <w:sz w:val="24"/>
          <w:highlight w:val="none"/>
        </w:rPr>
      </w:pPr>
    </w:p>
    <w:p>
      <w:pPr>
        <w:topLinePunct/>
        <w:adjustRightInd w:val="0"/>
        <w:snapToGrid w:val="0"/>
        <w:spacing w:line="360" w:lineRule="auto"/>
        <w:ind w:firstLine="480" w:firstLineChars="200"/>
        <w:rPr>
          <w:rFonts w:hint="eastAsia" w:ascii="宋体" w:hAnsi="宋体" w:eastAsia="宋体" w:cs="宋体"/>
          <w:strike/>
          <w:dstrike w:val="0"/>
          <w:color w:val="auto"/>
          <w:sz w:val="24"/>
          <w:highlight w:val="none"/>
        </w:rPr>
      </w:pPr>
    </w:p>
    <w:p>
      <w:pPr>
        <w:jc w:val="right"/>
        <w:rPr>
          <w:rFonts w:hint="eastAsia" w:ascii="宋体" w:hAnsi="宋体" w:eastAsia="宋体" w:cs="宋体"/>
          <w:strike/>
          <w:dstrike w:val="0"/>
          <w:color w:val="auto"/>
          <w:sz w:val="24"/>
          <w:highlight w:val="none"/>
        </w:rPr>
      </w:pPr>
      <w:r>
        <w:rPr>
          <w:rFonts w:hint="eastAsia" w:ascii="宋体" w:hAnsi="宋体" w:eastAsia="宋体" w:cs="宋体"/>
          <w:strike/>
          <w:dstrike w:val="0"/>
          <w:color w:val="auto"/>
          <w:sz w:val="24"/>
          <w:highlight w:val="none"/>
          <w:u w:val="single"/>
        </w:rPr>
        <w:t xml:space="preserve">       </w:t>
      </w:r>
      <w:r>
        <w:rPr>
          <w:rFonts w:hint="eastAsia" w:ascii="宋体" w:hAnsi="宋体" w:eastAsia="宋体" w:cs="宋体"/>
          <w:strike/>
          <w:dstrike w:val="0"/>
          <w:color w:val="auto"/>
          <w:sz w:val="24"/>
          <w:highlight w:val="none"/>
        </w:rPr>
        <w:t>年</w:t>
      </w:r>
      <w:r>
        <w:rPr>
          <w:rFonts w:hint="eastAsia" w:ascii="宋体" w:hAnsi="宋体" w:eastAsia="宋体" w:cs="宋体"/>
          <w:strike/>
          <w:dstrike w:val="0"/>
          <w:color w:val="auto"/>
          <w:sz w:val="24"/>
          <w:highlight w:val="none"/>
          <w:u w:val="single"/>
        </w:rPr>
        <w:t xml:space="preserve">      </w:t>
      </w:r>
      <w:r>
        <w:rPr>
          <w:rFonts w:hint="eastAsia" w:ascii="宋体" w:hAnsi="宋体" w:eastAsia="宋体" w:cs="宋体"/>
          <w:strike/>
          <w:dstrike w:val="0"/>
          <w:color w:val="auto"/>
          <w:sz w:val="24"/>
          <w:highlight w:val="none"/>
        </w:rPr>
        <w:t>月</w:t>
      </w:r>
      <w:r>
        <w:rPr>
          <w:rFonts w:hint="eastAsia" w:ascii="宋体" w:hAnsi="宋体" w:eastAsia="宋体" w:cs="宋体"/>
          <w:strike/>
          <w:dstrike w:val="0"/>
          <w:color w:val="auto"/>
          <w:sz w:val="24"/>
          <w:highlight w:val="none"/>
          <w:u w:val="single"/>
        </w:rPr>
        <w:t xml:space="preserve">      </w:t>
      </w:r>
      <w:r>
        <w:rPr>
          <w:rFonts w:hint="eastAsia" w:ascii="宋体" w:hAnsi="宋体" w:eastAsia="宋体" w:cs="宋体"/>
          <w:strike/>
          <w:dstrike w:val="0"/>
          <w:color w:val="auto"/>
          <w:sz w:val="24"/>
          <w:highlight w:val="none"/>
        </w:rPr>
        <w:t>日</w:t>
      </w:r>
    </w:p>
    <w:p>
      <w:pPr>
        <w:widowControl/>
        <w:topLinePunct/>
        <w:adjustRightInd w:val="0"/>
        <w:snapToGrid w:val="0"/>
        <w:spacing w:after="200"/>
        <w:jc w:val="left"/>
        <w:outlineLvl w:val="2"/>
        <w:rPr>
          <w:rFonts w:hint="eastAsia" w:ascii="宋体" w:hAnsi="宋体" w:eastAsia="宋体" w:cs="宋体"/>
          <w:color w:val="auto"/>
          <w:sz w:val="24"/>
          <w:szCs w:val="24"/>
          <w:highlight w:val="none"/>
        </w:rPr>
      </w:pPr>
      <w:r>
        <w:rPr>
          <w:rFonts w:hint="eastAsia" w:ascii="宋体" w:hAnsi="宋体" w:eastAsia="宋体" w:cs="宋体"/>
          <w:strike/>
          <w:dstrike w:val="0"/>
          <w:color w:val="auto"/>
          <w:sz w:val="24"/>
          <w:highlight w:val="none"/>
        </w:rPr>
        <w:br w:type="page"/>
      </w:r>
      <w:bookmarkStart w:id="293" w:name="_Toc25506"/>
      <w:bookmarkStart w:id="294" w:name="_Toc15512"/>
      <w:r>
        <w:rPr>
          <w:rFonts w:hint="eastAsia" w:ascii="宋体" w:hAnsi="宋体" w:eastAsia="宋体" w:cs="宋体"/>
          <w:color w:val="auto"/>
          <w:sz w:val="24"/>
          <w:szCs w:val="24"/>
          <w:highlight w:val="none"/>
        </w:rPr>
        <w:t xml:space="preserve">附件20 </w:t>
      </w:r>
      <w:bookmarkEnd w:id="293"/>
      <w:r>
        <w:rPr>
          <w:rFonts w:hint="eastAsia" w:ascii="宋体" w:hAnsi="宋体" w:eastAsia="宋体" w:cs="宋体"/>
          <w:color w:val="auto"/>
          <w:sz w:val="24"/>
          <w:szCs w:val="24"/>
          <w:highlight w:val="none"/>
        </w:rPr>
        <w:t>项目管理架构人员配置承诺书</w:t>
      </w:r>
      <w:bookmarkEnd w:id="294"/>
    </w:p>
    <w:p>
      <w:pPr>
        <w:pStyle w:val="17"/>
        <w:spacing w:line="360" w:lineRule="auto"/>
        <w:ind w:firstLine="0"/>
        <w:jc w:val="center"/>
        <w:rPr>
          <w:rFonts w:hint="eastAsia" w:ascii="宋体" w:hAnsi="宋体"/>
          <w:b/>
          <w:color w:val="auto"/>
          <w:sz w:val="36"/>
          <w:szCs w:val="36"/>
          <w:highlight w:val="none"/>
        </w:rPr>
      </w:pPr>
      <w:r>
        <w:rPr>
          <w:rFonts w:hint="eastAsia" w:ascii="宋体" w:hAnsi="宋体"/>
          <w:b/>
          <w:color w:val="auto"/>
          <w:sz w:val="36"/>
          <w:szCs w:val="36"/>
          <w:highlight w:val="none"/>
        </w:rPr>
        <w:t>项目管理架构人员配置承诺书</w:t>
      </w:r>
    </w:p>
    <w:p>
      <w:pPr>
        <w:spacing w:before="120" w:line="520" w:lineRule="exact"/>
        <w:ind w:left="960" w:hanging="9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致（招标人）：</w:t>
      </w:r>
    </w:p>
    <w:p>
      <w:pPr>
        <w:spacing w:before="120" w:line="520" w:lineRule="exact"/>
        <w:ind w:left="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我公司参与</w:t>
      </w:r>
      <w:r>
        <w:rPr>
          <w:rFonts w:hint="eastAsia" w:ascii="宋体" w:hAnsi="宋体" w:eastAsia="宋体" w:cs="宋体"/>
          <w:color w:val="auto"/>
          <w:sz w:val="24"/>
          <w:szCs w:val="24"/>
          <w:highlight w:val="none"/>
          <w:u w:val="single"/>
        </w:rPr>
        <w:t xml:space="preserve">                （项目）</w:t>
      </w:r>
      <w:r>
        <w:rPr>
          <w:rFonts w:hint="eastAsia" w:ascii="宋体" w:hAnsi="宋体" w:eastAsia="宋体" w:cs="宋体"/>
          <w:color w:val="auto"/>
          <w:sz w:val="24"/>
          <w:szCs w:val="24"/>
          <w:highlight w:val="none"/>
        </w:rPr>
        <w:t>投标，郑重承诺如下：</w:t>
      </w:r>
    </w:p>
    <w:tbl>
      <w:tblPr>
        <w:tblStyle w:val="18"/>
        <w:tblpPr w:leftFromText="180" w:rightFromText="180" w:vertAnchor="text" w:horzAnchor="page" w:tblpX="1400" w:tblpY="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3402"/>
        <w:gridCol w:w="1168"/>
        <w:gridCol w:w="3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00" w:beforeAutospacing="1" w:after="100" w:afterAutospacing="1"/>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00" w:beforeAutospacing="1" w:after="100" w:afterAutospacing="1"/>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岗位</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00" w:beforeAutospacing="1" w:after="100" w:afterAutospacing="1"/>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资格要求</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00" w:beforeAutospacing="1" w:after="100" w:afterAutospacing="1"/>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1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00" w:beforeAutospacing="1" w:after="100" w:afterAutospacing="1"/>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与招标公告要求一致。</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0" w:right="0" w:firstLine="3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1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33"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填报人员与资格审查提供的人员一致。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根据项目规模确定。</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0" w:right="0" w:firstLine="3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1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0" w:right="0" w:firstLine="3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不得由项目负责人或专职安全员兼职。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00" w:beforeAutospacing="1"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专职安全员</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与招标公告要求一致。</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0" w:right="0" w:firstLine="34"/>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31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33"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填报人员与资格审查提供的人员一致。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00" w:beforeAutospacing="1"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安全员</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根据项目规模确定。</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0" w:right="0" w:firstLine="34"/>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1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33" w:right="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00" w:beforeAutospacing="1" w:after="0" w:afterAutospacing="0"/>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施工员</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根据项目规模确定。</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0" w:right="0" w:firstLine="34"/>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1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33" w:right="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00" w:beforeAutospacing="1" w:after="0" w:afterAutospacing="0"/>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质量员</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根据项目规模确定。</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0" w:right="0" w:firstLine="34"/>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1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33" w:right="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leftChars="0" w:right="0" w:hanging="72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00" w:beforeAutospacing="1" w:after="0" w:afterAutospacing="0"/>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材料员（取样员）</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根据项目规模确定。</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0" w:right="0" w:firstLine="34" w:firstLineChars="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31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33" w:right="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00" w:beforeAutospacing="1"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资料员</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根据项目规模确定。</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0" w:right="0" w:firstLine="34"/>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1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33"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配备资料员需具有丰富的工程资料管理经验，并确保工程资料时间与实际施工进度相符。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0" w:right="0"/>
              <w:jc w:val="center"/>
              <w:rPr>
                <w:rFonts w:hint="eastAsia" w:ascii="宋体" w:hAnsi="宋体" w:eastAsia="宋体" w:cs="宋体"/>
                <w:color w:val="auto"/>
                <w:szCs w:val="22"/>
                <w:highlight w:val="none"/>
              </w:rPr>
            </w:pPr>
            <w:r>
              <w:rPr>
                <w:rFonts w:hint="eastAsia" w:ascii="宋体" w:hAnsi="宋体" w:eastAsia="宋体" w:cs="宋体"/>
                <w:color w:val="auto"/>
                <w:sz w:val="24"/>
                <w:szCs w:val="24"/>
                <w:highlight w:val="none"/>
              </w:rPr>
              <w:t>其他技术人员</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33"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根据项目规模确定。</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0" w:right="0" w:firstLine="34"/>
              <w:jc w:val="center"/>
              <w:rPr>
                <w:rFonts w:hint="eastAsia" w:ascii="宋体" w:hAnsi="宋体" w:eastAsia="宋体" w:cs="宋体"/>
                <w:color w:val="auto"/>
                <w:sz w:val="24"/>
                <w:szCs w:val="24"/>
                <w:highlight w:val="none"/>
              </w:rPr>
            </w:pPr>
          </w:p>
        </w:tc>
        <w:tc>
          <w:tcPr>
            <w:tcW w:w="31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33"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根据附表13评审内容进行配置。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720" w:right="0" w:hanging="72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00" w:beforeAutospacing="1"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33" w:right="0"/>
              <w:jc w:val="left"/>
              <w:rPr>
                <w:rFonts w:hint="eastAsia" w:ascii="宋体" w:hAnsi="宋体" w:eastAsia="宋体" w:cs="宋体"/>
                <w:color w:val="auto"/>
                <w:sz w:val="24"/>
                <w:szCs w:val="24"/>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0" w:right="0" w:firstLine="34"/>
              <w:jc w:val="center"/>
              <w:rPr>
                <w:rFonts w:hint="eastAsia" w:ascii="宋体" w:hAnsi="宋体" w:eastAsia="宋体" w:cs="宋体"/>
                <w:color w:val="auto"/>
                <w:sz w:val="24"/>
                <w:szCs w:val="24"/>
                <w:highlight w:val="none"/>
              </w:rPr>
            </w:pPr>
          </w:p>
        </w:tc>
        <w:tc>
          <w:tcPr>
            <w:tcW w:w="31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120" w:beforeAutospacing="0" w:after="0" w:afterAutospacing="0" w:line="400" w:lineRule="exact"/>
              <w:ind w:left="33" w:right="0"/>
              <w:jc w:val="left"/>
              <w:rPr>
                <w:rFonts w:hint="eastAsia" w:ascii="宋体" w:hAnsi="宋体" w:eastAsia="宋体" w:cs="宋体"/>
                <w:color w:val="auto"/>
                <w:sz w:val="24"/>
                <w:szCs w:val="24"/>
                <w:highlight w:val="none"/>
              </w:rPr>
            </w:pPr>
          </w:p>
        </w:tc>
      </w:tr>
    </w:tbl>
    <w:p>
      <w:pPr>
        <w:spacing w:before="120" w:line="400" w:lineRule="exact"/>
        <w:ind w:right="42" w:rightChars="2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承诺，若我公司中标，将在合同签订前按照工程需要配备管理和施工技术人员并向招标人递交《项目管理架构组成表》，其内容是准确、真实的，且不低于上表所列最低要求，同时提供所投入人员资格证书原件予招标人备查核实。</w:t>
      </w:r>
    </w:p>
    <w:p>
      <w:pPr>
        <w:spacing w:before="120" w:line="400" w:lineRule="exact"/>
        <w:ind w:right="42" w:rightChars="2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如我公司违反上述承诺，我公司自愿放弃本项目中标资格。</w:t>
      </w:r>
    </w:p>
    <w:p>
      <w:pPr>
        <w:spacing w:before="120" w:line="400" w:lineRule="exact"/>
        <w:ind w:right="42" w:rightChars="2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若因人员不足或人员素质不能满足工程实际需要时，我方将无条件按照业主和监理工程师的要求更换或增加相关人员。</w:t>
      </w:r>
    </w:p>
    <w:p>
      <w:pPr>
        <w:wordWrap w:val="0"/>
        <w:spacing w:line="360" w:lineRule="auto"/>
        <w:ind w:right="90" w:firstLine="3000" w:firstLineChars="1250"/>
        <w:jc w:val="righ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投标人名称（盖法人公章）：</w:t>
      </w:r>
      <w:r>
        <w:rPr>
          <w:rFonts w:hint="eastAsia" w:ascii="宋体" w:hAnsi="宋体" w:eastAsia="宋体"/>
          <w:color w:val="auto"/>
          <w:sz w:val="24"/>
          <w:szCs w:val="24"/>
          <w:highlight w:val="none"/>
          <w:u w:val="single"/>
        </w:rPr>
        <w:t xml:space="preserve">                  </w:t>
      </w:r>
    </w:p>
    <w:p>
      <w:pPr>
        <w:wordWrap w:val="0"/>
        <w:spacing w:line="360" w:lineRule="auto"/>
        <w:ind w:right="90"/>
        <w:jc w:val="righ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法定代表人或被授权人（签字或盖章）：</w:t>
      </w:r>
      <w:r>
        <w:rPr>
          <w:rFonts w:hint="eastAsia" w:ascii="宋体" w:hAnsi="宋体" w:eastAsia="宋体"/>
          <w:color w:val="auto"/>
          <w:sz w:val="24"/>
          <w:szCs w:val="24"/>
          <w:highlight w:val="none"/>
          <w:u w:val="single"/>
        </w:rPr>
        <w:t xml:space="preserve">                  </w:t>
      </w:r>
    </w:p>
    <w:p>
      <w:pPr>
        <w:spacing w:line="360" w:lineRule="auto"/>
        <w:ind w:right="90" w:firstLine="3330"/>
        <w:jc w:val="righ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日期：      年  月  日</w:t>
      </w:r>
    </w:p>
    <w:p>
      <w:pPr>
        <w:pStyle w:val="17"/>
        <w:spacing w:after="0" w:line="360" w:lineRule="auto"/>
        <w:ind w:firstLine="360"/>
        <w:jc w:val="center"/>
        <w:rPr>
          <w:rFonts w:hint="eastAsia" w:ascii="宋体" w:hAnsi="宋体"/>
          <w:b/>
          <w:color w:val="auto"/>
          <w:sz w:val="36"/>
          <w:szCs w:val="36"/>
          <w:highlight w:val="none"/>
        </w:rPr>
        <w:sectPr>
          <w:endnotePr>
            <w:numFmt w:val="decimal"/>
          </w:endnotePr>
          <w:pgSz w:w="11850" w:h="16783"/>
          <w:pgMar w:top="1440" w:right="1418" w:bottom="1440" w:left="1418" w:header="851" w:footer="907" w:gutter="0"/>
          <w:pgNumType w:fmt="decimal"/>
          <w:cols w:space="720" w:num="1"/>
        </w:sectPr>
      </w:pPr>
    </w:p>
    <w:p>
      <w:pPr>
        <w:rPr>
          <w:color w:val="auto"/>
          <w:highlight w:val="none"/>
        </w:rPr>
      </w:pPr>
    </w:p>
    <w:p>
      <w:pPr>
        <w:widowControl/>
        <w:topLinePunct/>
        <w:adjustRightInd w:val="0"/>
        <w:snapToGrid w:val="0"/>
        <w:spacing w:after="200"/>
        <w:jc w:val="left"/>
        <w:outlineLvl w:val="2"/>
        <w:rPr>
          <w:rFonts w:hint="eastAsia" w:ascii="宋体" w:hAnsi="宋体" w:eastAsia="宋体" w:cs="宋体"/>
          <w:color w:val="auto"/>
          <w:spacing w:val="4"/>
          <w:kern w:val="0"/>
          <w:sz w:val="24"/>
          <w:szCs w:val="24"/>
          <w:highlight w:val="none"/>
        </w:rPr>
      </w:pPr>
      <w:bookmarkStart w:id="295" w:name="_Toc14239"/>
      <w:bookmarkStart w:id="296" w:name="_Toc28717"/>
      <w:r>
        <w:rPr>
          <w:rFonts w:hint="eastAsia" w:ascii="宋体" w:hAnsi="宋体" w:eastAsia="宋体" w:cs="宋体"/>
          <w:color w:val="auto"/>
          <w:sz w:val="24"/>
          <w:szCs w:val="24"/>
          <w:highlight w:val="none"/>
        </w:rPr>
        <w:t>附件21 主要人员简历表</w:t>
      </w:r>
      <w:bookmarkEnd w:id="295"/>
      <w:bookmarkEnd w:id="296"/>
    </w:p>
    <w:p>
      <w:pPr>
        <w:widowControl/>
        <w:topLinePunct/>
        <w:adjustRightInd w:val="0"/>
        <w:snapToGrid w:val="0"/>
        <w:spacing w:after="200" w:line="360" w:lineRule="auto"/>
        <w:jc w:val="center"/>
        <w:rPr>
          <w:rFonts w:hint="eastAsia" w:ascii="宋体" w:hAnsi="宋体" w:eastAsia="宋体" w:cs="宋体"/>
          <w:color w:val="auto"/>
          <w:spacing w:val="4"/>
          <w:kern w:val="0"/>
          <w:sz w:val="36"/>
          <w:szCs w:val="36"/>
          <w:highlight w:val="none"/>
        </w:rPr>
      </w:pPr>
      <w:r>
        <w:rPr>
          <w:rFonts w:hint="eastAsia" w:ascii="宋体" w:hAnsi="宋体" w:eastAsia="宋体" w:cs="宋体"/>
          <w:color w:val="auto"/>
          <w:spacing w:val="4"/>
          <w:kern w:val="0"/>
          <w:sz w:val="36"/>
          <w:szCs w:val="36"/>
          <w:highlight w:val="none"/>
        </w:rPr>
        <w:t>主要人员简历表</w:t>
      </w:r>
    </w:p>
    <w:tbl>
      <w:tblPr>
        <w:tblStyle w:val="18"/>
        <w:tblpPr w:leftFromText="180" w:rightFromText="180" w:vertAnchor="text" w:tblpX="-206" w:tblpY="7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2"/>
        <w:gridCol w:w="1547"/>
        <w:gridCol w:w="557"/>
        <w:gridCol w:w="992"/>
        <w:gridCol w:w="378"/>
        <w:gridCol w:w="1405"/>
        <w:gridCol w:w="296"/>
        <w:gridCol w:w="1182"/>
        <w:gridCol w:w="69"/>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526" w:type="dxa"/>
            <w:noWrap w:val="0"/>
            <w:vAlign w:val="center"/>
          </w:tcPr>
          <w:p>
            <w:pPr>
              <w:keepNext w:val="0"/>
              <w:keepLines w:val="0"/>
              <w:widowControl/>
              <w:suppressLineNumbers w:val="0"/>
              <w:spacing w:before="0" w:beforeAutospacing="0" w:after="200" w:afterAutospacing="0" w:line="276" w:lineRule="auto"/>
              <w:ind w:left="0" w:right="0"/>
              <w:jc w:val="center"/>
              <w:rPr>
                <w:rFonts w:hint="eastAsia" w:ascii="宋体" w:hAnsi="宋体" w:eastAsia="宋体" w:cs="宋体"/>
                <w:b/>
                <w:color w:val="auto"/>
                <w:kern w:val="0"/>
                <w:sz w:val="24"/>
                <w:szCs w:val="24"/>
                <w:highlight w:val="none"/>
                <w:lang w:eastAsia="en-US" w:bidi="en-US"/>
              </w:rPr>
            </w:pPr>
            <w:r>
              <w:rPr>
                <w:rFonts w:hint="eastAsia" w:ascii="宋体" w:hAnsi="宋体" w:eastAsia="宋体" w:cs="宋体"/>
                <w:b/>
                <w:color w:val="auto"/>
                <w:kern w:val="0"/>
                <w:sz w:val="24"/>
                <w:szCs w:val="24"/>
                <w:highlight w:val="none"/>
                <w:lang w:eastAsia="en-US" w:bidi="en-US"/>
              </w:rPr>
              <w:t>姓名</w:t>
            </w:r>
          </w:p>
        </w:tc>
        <w:tc>
          <w:tcPr>
            <w:tcW w:w="2126" w:type="dxa"/>
            <w:gridSpan w:val="3"/>
            <w:noWrap w:val="0"/>
            <w:vAlign w:val="center"/>
          </w:tcPr>
          <w:p>
            <w:pPr>
              <w:keepNext/>
              <w:keepLines/>
              <w:widowControl/>
              <w:suppressLineNumbers w:val="0"/>
              <w:topLinePunct/>
              <w:adjustRightInd w:val="0"/>
              <w:snapToGrid w:val="0"/>
              <w:spacing w:before="120" w:beforeAutospacing="0" w:after="120" w:afterAutospacing="0" w:line="360" w:lineRule="auto"/>
              <w:ind w:left="0" w:right="0"/>
              <w:jc w:val="center"/>
              <w:rPr>
                <w:rFonts w:hint="eastAsia" w:ascii="宋体" w:hAnsi="宋体" w:eastAsia="宋体" w:cs="宋体"/>
                <w:b/>
                <w:snapToGrid w:val="0"/>
                <w:color w:val="auto"/>
                <w:spacing w:val="4"/>
                <w:sz w:val="24"/>
                <w:szCs w:val="24"/>
                <w:highlight w:val="none"/>
                <w:lang w:bidi="en-US"/>
              </w:rPr>
            </w:pPr>
          </w:p>
        </w:tc>
        <w:tc>
          <w:tcPr>
            <w:tcW w:w="1370" w:type="dxa"/>
            <w:gridSpan w:val="2"/>
            <w:noWrap w:val="0"/>
            <w:vAlign w:val="center"/>
          </w:tcPr>
          <w:p>
            <w:pPr>
              <w:keepNext w:val="0"/>
              <w:keepLines w:val="0"/>
              <w:widowControl/>
              <w:suppressLineNumbers w:val="0"/>
              <w:spacing w:before="0" w:beforeAutospacing="0" w:after="200" w:afterAutospacing="0" w:line="276" w:lineRule="auto"/>
              <w:ind w:left="0" w:right="0"/>
              <w:jc w:val="center"/>
              <w:rPr>
                <w:rFonts w:hint="eastAsia" w:ascii="宋体" w:hAnsi="宋体" w:eastAsia="宋体" w:cs="宋体"/>
                <w:b/>
                <w:color w:val="auto"/>
                <w:kern w:val="0"/>
                <w:sz w:val="24"/>
                <w:szCs w:val="24"/>
                <w:highlight w:val="none"/>
                <w:lang w:eastAsia="en-US" w:bidi="en-US"/>
              </w:rPr>
            </w:pPr>
            <w:r>
              <w:rPr>
                <w:rFonts w:hint="eastAsia" w:ascii="宋体" w:hAnsi="宋体" w:eastAsia="宋体" w:cs="宋体"/>
                <w:b/>
                <w:color w:val="auto"/>
                <w:kern w:val="0"/>
                <w:sz w:val="24"/>
                <w:szCs w:val="24"/>
                <w:highlight w:val="none"/>
                <w:lang w:eastAsia="en-US" w:bidi="en-US"/>
              </w:rPr>
              <w:t>性别</w:t>
            </w:r>
          </w:p>
        </w:tc>
        <w:tc>
          <w:tcPr>
            <w:tcW w:w="1701" w:type="dxa"/>
            <w:gridSpan w:val="2"/>
            <w:noWrap w:val="0"/>
            <w:vAlign w:val="center"/>
          </w:tcPr>
          <w:p>
            <w:pPr>
              <w:keepNext/>
              <w:keepLines/>
              <w:widowControl/>
              <w:suppressLineNumbers w:val="0"/>
              <w:topLinePunct/>
              <w:adjustRightInd w:val="0"/>
              <w:snapToGrid w:val="0"/>
              <w:spacing w:before="120" w:beforeAutospacing="0" w:after="120" w:afterAutospacing="0" w:line="360" w:lineRule="auto"/>
              <w:ind w:left="0" w:right="0"/>
              <w:jc w:val="center"/>
              <w:rPr>
                <w:rFonts w:hint="eastAsia" w:ascii="宋体" w:hAnsi="宋体" w:eastAsia="宋体" w:cs="宋体"/>
                <w:b/>
                <w:snapToGrid w:val="0"/>
                <w:color w:val="auto"/>
                <w:spacing w:val="4"/>
                <w:sz w:val="24"/>
                <w:szCs w:val="24"/>
                <w:highlight w:val="none"/>
                <w:lang w:bidi="en-US"/>
              </w:rPr>
            </w:pPr>
          </w:p>
        </w:tc>
        <w:tc>
          <w:tcPr>
            <w:tcW w:w="1182" w:type="dxa"/>
            <w:noWrap w:val="0"/>
            <w:vAlign w:val="center"/>
          </w:tcPr>
          <w:p>
            <w:pPr>
              <w:keepNext w:val="0"/>
              <w:keepLines w:val="0"/>
              <w:widowControl/>
              <w:suppressLineNumbers w:val="0"/>
              <w:spacing w:before="0" w:beforeAutospacing="0" w:after="200" w:afterAutospacing="0" w:line="276" w:lineRule="auto"/>
              <w:ind w:left="0" w:right="0"/>
              <w:jc w:val="center"/>
              <w:rPr>
                <w:rFonts w:hint="eastAsia" w:ascii="宋体" w:hAnsi="宋体" w:eastAsia="宋体" w:cs="宋体"/>
                <w:b/>
                <w:color w:val="auto"/>
                <w:kern w:val="0"/>
                <w:sz w:val="24"/>
                <w:szCs w:val="24"/>
                <w:highlight w:val="none"/>
                <w:lang w:eastAsia="en-US" w:bidi="en-US"/>
              </w:rPr>
            </w:pPr>
            <w:r>
              <w:rPr>
                <w:rFonts w:hint="eastAsia" w:ascii="宋体" w:hAnsi="宋体" w:eastAsia="宋体" w:cs="宋体"/>
                <w:b/>
                <w:color w:val="auto"/>
                <w:kern w:val="0"/>
                <w:sz w:val="24"/>
                <w:szCs w:val="24"/>
                <w:highlight w:val="none"/>
                <w:lang w:eastAsia="en-US" w:bidi="en-US"/>
              </w:rPr>
              <w:t>年龄</w:t>
            </w:r>
          </w:p>
        </w:tc>
        <w:tc>
          <w:tcPr>
            <w:tcW w:w="1620" w:type="dxa"/>
            <w:gridSpan w:val="2"/>
            <w:noWrap w:val="0"/>
            <w:vAlign w:val="center"/>
          </w:tcPr>
          <w:p>
            <w:pPr>
              <w:keepNext/>
              <w:keepLines/>
              <w:widowControl/>
              <w:suppressLineNumbers w:val="0"/>
              <w:topLinePunct/>
              <w:adjustRightInd w:val="0"/>
              <w:snapToGrid w:val="0"/>
              <w:spacing w:before="120" w:beforeAutospacing="0" w:after="120" w:afterAutospacing="0" w:line="360" w:lineRule="auto"/>
              <w:ind w:left="0" w:right="0"/>
              <w:jc w:val="center"/>
              <w:rPr>
                <w:rFonts w:hint="eastAsia" w:ascii="宋体" w:hAnsi="宋体" w:eastAsia="宋体" w:cs="宋体"/>
                <w:b/>
                <w:snapToGrid w:val="0"/>
                <w:color w:val="auto"/>
                <w:spacing w:val="4"/>
                <w:sz w:val="24"/>
                <w:szCs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26" w:type="dxa"/>
            <w:noWrap w:val="0"/>
            <w:vAlign w:val="center"/>
          </w:tcPr>
          <w:p>
            <w:pPr>
              <w:keepNext w:val="0"/>
              <w:keepLines w:val="0"/>
              <w:widowControl/>
              <w:suppressLineNumbers w:val="0"/>
              <w:spacing w:before="0" w:beforeAutospacing="0" w:after="200" w:afterAutospacing="0" w:line="276" w:lineRule="auto"/>
              <w:ind w:left="0" w:right="0"/>
              <w:jc w:val="center"/>
              <w:rPr>
                <w:rFonts w:hint="eastAsia" w:ascii="宋体" w:hAnsi="宋体" w:eastAsia="宋体" w:cs="宋体"/>
                <w:b/>
                <w:color w:val="auto"/>
                <w:kern w:val="0"/>
                <w:sz w:val="24"/>
                <w:szCs w:val="24"/>
                <w:highlight w:val="none"/>
                <w:lang w:eastAsia="en-US" w:bidi="en-US"/>
              </w:rPr>
            </w:pPr>
            <w:r>
              <w:rPr>
                <w:rFonts w:hint="eastAsia" w:ascii="宋体" w:hAnsi="宋体" w:eastAsia="宋体" w:cs="宋体"/>
                <w:b/>
                <w:bCs/>
                <w:color w:val="auto"/>
                <w:kern w:val="0"/>
                <w:sz w:val="22"/>
                <w:szCs w:val="21"/>
                <w:highlight w:val="none"/>
                <w:lang w:eastAsia="en-US" w:bidi="en-US"/>
              </w:rPr>
              <w:t>身份证号码</w:t>
            </w:r>
          </w:p>
        </w:tc>
        <w:tc>
          <w:tcPr>
            <w:tcW w:w="7999" w:type="dxa"/>
            <w:gridSpan w:val="10"/>
            <w:noWrap w:val="0"/>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eastAsia" w:ascii="宋体" w:hAnsi="宋体" w:eastAsia="宋体" w:cs="宋体"/>
                <w:b/>
                <w:snapToGrid w:val="0"/>
                <w:color w:val="auto"/>
                <w:spacing w:val="4"/>
                <w:sz w:val="24"/>
                <w:szCs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26" w:type="dxa"/>
            <w:noWrap w:val="0"/>
            <w:vAlign w:val="center"/>
          </w:tcPr>
          <w:p>
            <w:pPr>
              <w:keepNext w:val="0"/>
              <w:keepLines w:val="0"/>
              <w:widowControl/>
              <w:suppressLineNumbers w:val="0"/>
              <w:spacing w:before="0" w:beforeAutospacing="0" w:after="200" w:afterAutospacing="0" w:line="276" w:lineRule="auto"/>
              <w:ind w:left="0" w:right="0"/>
              <w:jc w:val="center"/>
              <w:rPr>
                <w:rFonts w:hint="eastAsia" w:ascii="宋体" w:hAnsi="宋体" w:eastAsia="宋体" w:cs="宋体"/>
                <w:b/>
                <w:color w:val="auto"/>
                <w:kern w:val="0"/>
                <w:sz w:val="24"/>
                <w:szCs w:val="24"/>
                <w:highlight w:val="none"/>
                <w:lang w:eastAsia="en-US" w:bidi="en-US"/>
              </w:rPr>
            </w:pPr>
            <w:r>
              <w:rPr>
                <w:rFonts w:hint="eastAsia" w:ascii="宋体" w:hAnsi="宋体" w:eastAsia="宋体" w:cs="宋体"/>
                <w:b/>
                <w:color w:val="auto"/>
                <w:kern w:val="0"/>
                <w:sz w:val="24"/>
                <w:szCs w:val="24"/>
                <w:highlight w:val="none"/>
                <w:lang w:eastAsia="en-US" w:bidi="en-US"/>
              </w:rPr>
              <w:t>职务</w:t>
            </w:r>
          </w:p>
        </w:tc>
        <w:tc>
          <w:tcPr>
            <w:tcW w:w="2126" w:type="dxa"/>
            <w:gridSpan w:val="3"/>
            <w:noWrap w:val="0"/>
            <w:vAlign w:val="center"/>
          </w:tcPr>
          <w:p>
            <w:pPr>
              <w:keepNext/>
              <w:keepLines/>
              <w:widowControl/>
              <w:suppressLineNumbers w:val="0"/>
              <w:topLinePunct/>
              <w:adjustRightInd w:val="0"/>
              <w:snapToGrid w:val="0"/>
              <w:spacing w:before="120" w:beforeAutospacing="0" w:after="120" w:afterAutospacing="0" w:line="360" w:lineRule="auto"/>
              <w:ind w:left="0" w:right="0"/>
              <w:jc w:val="center"/>
              <w:rPr>
                <w:rFonts w:hint="eastAsia" w:ascii="宋体" w:hAnsi="宋体" w:eastAsia="宋体" w:cs="宋体"/>
                <w:b/>
                <w:snapToGrid w:val="0"/>
                <w:color w:val="auto"/>
                <w:spacing w:val="4"/>
                <w:sz w:val="24"/>
                <w:szCs w:val="24"/>
                <w:highlight w:val="none"/>
                <w:lang w:bidi="en-US"/>
              </w:rPr>
            </w:pPr>
          </w:p>
        </w:tc>
        <w:tc>
          <w:tcPr>
            <w:tcW w:w="1370" w:type="dxa"/>
            <w:gridSpan w:val="2"/>
            <w:noWrap w:val="0"/>
            <w:vAlign w:val="center"/>
          </w:tcPr>
          <w:p>
            <w:pPr>
              <w:keepNext w:val="0"/>
              <w:keepLines w:val="0"/>
              <w:widowControl/>
              <w:suppressLineNumbers w:val="0"/>
              <w:spacing w:before="0" w:beforeAutospacing="0" w:after="200" w:afterAutospacing="0" w:line="276" w:lineRule="auto"/>
              <w:ind w:left="0" w:right="0"/>
              <w:jc w:val="center"/>
              <w:rPr>
                <w:rFonts w:hint="eastAsia" w:ascii="宋体" w:hAnsi="宋体" w:eastAsia="宋体" w:cs="宋体"/>
                <w:b/>
                <w:color w:val="auto"/>
                <w:kern w:val="0"/>
                <w:sz w:val="24"/>
                <w:szCs w:val="24"/>
                <w:highlight w:val="none"/>
                <w:lang w:eastAsia="en-US" w:bidi="en-US"/>
              </w:rPr>
            </w:pPr>
            <w:r>
              <w:rPr>
                <w:rFonts w:hint="eastAsia" w:ascii="宋体" w:hAnsi="宋体" w:eastAsia="宋体" w:cs="宋体"/>
                <w:b/>
                <w:color w:val="auto"/>
                <w:kern w:val="0"/>
                <w:sz w:val="24"/>
                <w:szCs w:val="24"/>
                <w:highlight w:val="none"/>
                <w:lang w:eastAsia="en-US" w:bidi="en-US"/>
              </w:rPr>
              <w:t>职称</w:t>
            </w:r>
          </w:p>
        </w:tc>
        <w:tc>
          <w:tcPr>
            <w:tcW w:w="1701" w:type="dxa"/>
            <w:gridSpan w:val="2"/>
            <w:noWrap w:val="0"/>
            <w:vAlign w:val="center"/>
          </w:tcPr>
          <w:p>
            <w:pPr>
              <w:keepNext/>
              <w:keepLines/>
              <w:widowControl/>
              <w:suppressLineNumbers w:val="0"/>
              <w:topLinePunct/>
              <w:adjustRightInd w:val="0"/>
              <w:snapToGrid w:val="0"/>
              <w:spacing w:before="120" w:beforeAutospacing="0" w:after="120" w:afterAutospacing="0" w:line="360" w:lineRule="auto"/>
              <w:ind w:left="0" w:right="0"/>
              <w:jc w:val="center"/>
              <w:rPr>
                <w:rFonts w:hint="eastAsia" w:ascii="宋体" w:hAnsi="宋体" w:eastAsia="宋体" w:cs="宋体"/>
                <w:b/>
                <w:snapToGrid w:val="0"/>
                <w:color w:val="auto"/>
                <w:spacing w:val="4"/>
                <w:sz w:val="24"/>
                <w:szCs w:val="24"/>
                <w:highlight w:val="none"/>
                <w:lang w:bidi="en-US"/>
              </w:rPr>
            </w:pPr>
          </w:p>
        </w:tc>
        <w:tc>
          <w:tcPr>
            <w:tcW w:w="1182" w:type="dxa"/>
            <w:noWrap w:val="0"/>
            <w:vAlign w:val="center"/>
          </w:tcPr>
          <w:p>
            <w:pPr>
              <w:keepNext w:val="0"/>
              <w:keepLines w:val="0"/>
              <w:widowControl/>
              <w:suppressLineNumbers w:val="0"/>
              <w:spacing w:before="0" w:beforeAutospacing="0" w:after="200" w:afterAutospacing="0" w:line="276" w:lineRule="auto"/>
              <w:ind w:left="0" w:right="0"/>
              <w:jc w:val="center"/>
              <w:rPr>
                <w:rFonts w:hint="eastAsia" w:ascii="宋体" w:hAnsi="宋体" w:eastAsia="宋体" w:cs="宋体"/>
                <w:b/>
                <w:color w:val="auto"/>
                <w:kern w:val="0"/>
                <w:sz w:val="24"/>
                <w:szCs w:val="24"/>
                <w:highlight w:val="none"/>
                <w:lang w:eastAsia="en-US" w:bidi="en-US"/>
              </w:rPr>
            </w:pPr>
            <w:r>
              <w:rPr>
                <w:rFonts w:hint="eastAsia" w:ascii="宋体" w:hAnsi="宋体" w:eastAsia="宋体" w:cs="宋体"/>
                <w:b/>
                <w:color w:val="auto"/>
                <w:kern w:val="0"/>
                <w:sz w:val="24"/>
                <w:szCs w:val="24"/>
                <w:highlight w:val="none"/>
                <w:lang w:eastAsia="en-US" w:bidi="en-US"/>
              </w:rPr>
              <w:t>学历</w:t>
            </w:r>
          </w:p>
        </w:tc>
        <w:tc>
          <w:tcPr>
            <w:tcW w:w="1620" w:type="dxa"/>
            <w:gridSpan w:val="2"/>
            <w:noWrap w:val="0"/>
            <w:vAlign w:val="center"/>
          </w:tcPr>
          <w:p>
            <w:pPr>
              <w:keepNext/>
              <w:keepLines/>
              <w:widowControl/>
              <w:suppressLineNumbers w:val="0"/>
              <w:topLinePunct/>
              <w:adjustRightInd w:val="0"/>
              <w:snapToGrid w:val="0"/>
              <w:spacing w:before="120" w:beforeAutospacing="0" w:after="120" w:afterAutospacing="0" w:line="360" w:lineRule="auto"/>
              <w:ind w:left="0" w:right="0"/>
              <w:jc w:val="center"/>
              <w:rPr>
                <w:rFonts w:hint="eastAsia" w:ascii="宋体" w:hAnsi="宋体" w:eastAsia="宋体" w:cs="宋体"/>
                <w:b/>
                <w:snapToGrid w:val="0"/>
                <w:color w:val="auto"/>
                <w:spacing w:val="4"/>
                <w:sz w:val="24"/>
                <w:szCs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526" w:type="dxa"/>
            <w:noWrap w:val="0"/>
            <w:vAlign w:val="center"/>
          </w:tcPr>
          <w:p>
            <w:pPr>
              <w:keepNext w:val="0"/>
              <w:keepLines w:val="0"/>
              <w:widowControl/>
              <w:suppressLineNumbers w:val="0"/>
              <w:spacing w:before="0" w:beforeAutospacing="0" w:after="200" w:afterAutospacing="0" w:line="276" w:lineRule="auto"/>
              <w:ind w:left="0" w:right="0"/>
              <w:jc w:val="center"/>
              <w:rPr>
                <w:rFonts w:hint="eastAsia" w:ascii="宋体" w:hAnsi="宋体" w:eastAsia="宋体" w:cs="宋体"/>
                <w:b/>
                <w:color w:val="auto"/>
                <w:kern w:val="0"/>
                <w:sz w:val="24"/>
                <w:szCs w:val="24"/>
                <w:highlight w:val="none"/>
                <w:lang w:eastAsia="en-US" w:bidi="en-US"/>
              </w:rPr>
            </w:pPr>
            <w:r>
              <w:rPr>
                <w:rFonts w:hint="eastAsia" w:ascii="宋体" w:hAnsi="宋体" w:eastAsia="宋体" w:cs="宋体"/>
                <w:b/>
                <w:color w:val="auto"/>
                <w:kern w:val="0"/>
                <w:sz w:val="24"/>
                <w:szCs w:val="24"/>
                <w:highlight w:val="none"/>
                <w:lang w:eastAsia="en-US" w:bidi="en-US"/>
              </w:rPr>
              <w:t>参加工作</w:t>
            </w:r>
          </w:p>
          <w:p>
            <w:pPr>
              <w:keepNext w:val="0"/>
              <w:keepLines w:val="0"/>
              <w:widowControl/>
              <w:suppressLineNumbers w:val="0"/>
              <w:spacing w:before="0" w:beforeAutospacing="0" w:after="200" w:afterAutospacing="0" w:line="276" w:lineRule="auto"/>
              <w:ind w:left="0" w:right="0"/>
              <w:jc w:val="center"/>
              <w:rPr>
                <w:rFonts w:hint="eastAsia" w:ascii="宋体" w:hAnsi="宋体" w:eastAsia="宋体" w:cs="宋体"/>
                <w:b/>
                <w:color w:val="auto"/>
                <w:kern w:val="0"/>
                <w:sz w:val="24"/>
                <w:szCs w:val="24"/>
                <w:highlight w:val="none"/>
                <w:lang w:eastAsia="en-US" w:bidi="en-US"/>
              </w:rPr>
            </w:pPr>
            <w:r>
              <w:rPr>
                <w:rFonts w:hint="eastAsia" w:ascii="宋体" w:hAnsi="宋体" w:eastAsia="宋体" w:cs="宋体"/>
                <w:b/>
                <w:color w:val="auto"/>
                <w:kern w:val="0"/>
                <w:sz w:val="24"/>
                <w:szCs w:val="24"/>
                <w:highlight w:val="none"/>
                <w:lang w:eastAsia="en-US" w:bidi="en-US"/>
              </w:rPr>
              <w:t>时间</w:t>
            </w:r>
          </w:p>
        </w:tc>
        <w:tc>
          <w:tcPr>
            <w:tcW w:w="2126" w:type="dxa"/>
            <w:gridSpan w:val="3"/>
            <w:noWrap w:val="0"/>
            <w:vAlign w:val="center"/>
          </w:tcPr>
          <w:p>
            <w:pPr>
              <w:keepNext/>
              <w:keepLines/>
              <w:widowControl/>
              <w:suppressLineNumbers w:val="0"/>
              <w:topLinePunct/>
              <w:adjustRightInd w:val="0"/>
              <w:snapToGrid w:val="0"/>
              <w:spacing w:before="120" w:beforeAutospacing="0" w:after="120" w:afterAutospacing="0" w:line="360" w:lineRule="auto"/>
              <w:ind w:left="0" w:right="0"/>
              <w:jc w:val="center"/>
              <w:rPr>
                <w:rFonts w:hint="eastAsia" w:ascii="宋体" w:hAnsi="宋体" w:eastAsia="宋体" w:cs="宋体"/>
                <w:b/>
                <w:snapToGrid w:val="0"/>
                <w:color w:val="auto"/>
                <w:spacing w:val="4"/>
                <w:sz w:val="24"/>
                <w:szCs w:val="24"/>
                <w:highlight w:val="none"/>
                <w:lang w:bidi="en-US"/>
              </w:rPr>
            </w:pPr>
          </w:p>
        </w:tc>
        <w:tc>
          <w:tcPr>
            <w:tcW w:w="1370" w:type="dxa"/>
            <w:gridSpan w:val="2"/>
            <w:noWrap w:val="0"/>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eastAsia" w:ascii="宋体" w:hAnsi="宋体" w:eastAsia="宋体" w:cs="宋体"/>
                <w:b/>
                <w:snapToGrid w:val="0"/>
                <w:color w:val="auto"/>
                <w:spacing w:val="4"/>
                <w:sz w:val="24"/>
                <w:szCs w:val="24"/>
                <w:highlight w:val="none"/>
                <w:lang w:bidi="en-US"/>
              </w:rPr>
            </w:pPr>
            <w:r>
              <w:rPr>
                <w:rFonts w:hint="eastAsia" w:ascii="宋体" w:hAnsi="宋体" w:eastAsia="宋体" w:cs="宋体"/>
                <w:b/>
                <w:snapToGrid w:val="0"/>
                <w:color w:val="auto"/>
                <w:spacing w:val="4"/>
                <w:sz w:val="24"/>
                <w:szCs w:val="24"/>
                <w:highlight w:val="none"/>
                <w:lang w:bidi="en-US"/>
              </w:rPr>
              <w:t>担任相应职务年限</w:t>
            </w:r>
          </w:p>
        </w:tc>
        <w:tc>
          <w:tcPr>
            <w:tcW w:w="4503" w:type="dxa"/>
            <w:gridSpan w:val="5"/>
            <w:noWrap w:val="0"/>
            <w:vAlign w:val="center"/>
          </w:tcPr>
          <w:p>
            <w:pPr>
              <w:keepNext/>
              <w:keepLines/>
              <w:widowControl/>
              <w:suppressLineNumbers w:val="0"/>
              <w:topLinePunct/>
              <w:adjustRightInd w:val="0"/>
              <w:snapToGrid w:val="0"/>
              <w:spacing w:before="120" w:beforeAutospacing="0" w:after="120" w:afterAutospacing="0" w:line="360" w:lineRule="auto"/>
              <w:ind w:left="0" w:right="0"/>
              <w:jc w:val="center"/>
              <w:rPr>
                <w:rFonts w:hint="eastAsia" w:ascii="宋体" w:hAnsi="宋体" w:eastAsia="宋体" w:cs="宋体"/>
                <w:b/>
                <w:snapToGrid w:val="0"/>
                <w:color w:val="auto"/>
                <w:spacing w:val="4"/>
                <w:sz w:val="24"/>
                <w:szCs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526" w:type="dxa"/>
            <w:noWrap w:val="0"/>
            <w:vAlign w:val="center"/>
          </w:tcPr>
          <w:p>
            <w:pPr>
              <w:keepNext w:val="0"/>
              <w:keepLines w:val="0"/>
              <w:widowControl/>
              <w:suppressLineNumbers w:val="0"/>
              <w:spacing w:before="0" w:beforeAutospacing="0" w:after="200" w:afterAutospacing="0" w:line="276" w:lineRule="auto"/>
              <w:ind w:left="0" w:right="0"/>
              <w:jc w:val="center"/>
              <w:rPr>
                <w:rFonts w:hint="eastAsia" w:ascii="宋体" w:hAnsi="宋体" w:eastAsia="宋体" w:cs="宋体"/>
                <w:b/>
                <w:color w:val="auto"/>
                <w:kern w:val="0"/>
                <w:sz w:val="24"/>
                <w:szCs w:val="24"/>
                <w:highlight w:val="none"/>
                <w:lang w:eastAsia="en-US" w:bidi="en-US"/>
              </w:rPr>
            </w:pPr>
            <w:r>
              <w:rPr>
                <w:rFonts w:hint="eastAsia" w:ascii="宋体" w:hAnsi="宋体" w:eastAsia="宋体" w:cs="宋体"/>
                <w:b/>
                <w:color w:val="auto"/>
                <w:kern w:val="0"/>
                <w:sz w:val="24"/>
                <w:szCs w:val="24"/>
                <w:highlight w:val="none"/>
                <w:lang w:eastAsia="en-US" w:bidi="en-US"/>
              </w:rPr>
              <w:t>资格证书号</w:t>
            </w:r>
          </w:p>
        </w:tc>
        <w:tc>
          <w:tcPr>
            <w:tcW w:w="7999" w:type="dxa"/>
            <w:gridSpan w:val="10"/>
            <w:noWrap w:val="0"/>
            <w:vAlign w:val="center"/>
          </w:tcPr>
          <w:p>
            <w:pPr>
              <w:keepNext/>
              <w:keepLines/>
              <w:widowControl/>
              <w:suppressLineNumbers w:val="0"/>
              <w:topLinePunct/>
              <w:adjustRightInd w:val="0"/>
              <w:snapToGrid w:val="0"/>
              <w:spacing w:before="120" w:beforeAutospacing="0" w:after="120" w:afterAutospacing="0" w:line="360" w:lineRule="auto"/>
              <w:ind w:left="0" w:right="0"/>
              <w:jc w:val="center"/>
              <w:rPr>
                <w:rFonts w:hint="eastAsia" w:ascii="宋体" w:hAnsi="宋体" w:eastAsia="宋体" w:cs="宋体"/>
                <w:b/>
                <w:snapToGrid w:val="0"/>
                <w:color w:val="auto"/>
                <w:spacing w:val="4"/>
                <w:sz w:val="24"/>
                <w:szCs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525" w:type="dxa"/>
            <w:gridSpan w:val="11"/>
            <w:noWrap w:val="0"/>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eastAsia" w:ascii="宋体" w:hAnsi="宋体" w:eastAsia="宋体" w:cs="宋体"/>
                <w:b/>
                <w:snapToGrid w:val="0"/>
                <w:color w:val="auto"/>
                <w:spacing w:val="4"/>
                <w:sz w:val="24"/>
                <w:szCs w:val="24"/>
                <w:highlight w:val="none"/>
                <w:lang w:bidi="en-US"/>
              </w:rPr>
            </w:pPr>
            <w:r>
              <w:rPr>
                <w:rFonts w:hint="eastAsia" w:ascii="宋体" w:hAnsi="宋体" w:eastAsia="宋体" w:cs="宋体"/>
                <w:b/>
                <w:snapToGrid w:val="0"/>
                <w:color w:val="auto"/>
                <w:spacing w:val="4"/>
                <w:sz w:val="24"/>
                <w:szCs w:val="24"/>
                <w:highlight w:val="none"/>
                <w:lang w:bidi="en-US"/>
              </w:rPr>
              <w:t>业绩简介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noWrap w:val="0"/>
            <w:vAlign w:val="center"/>
          </w:tcPr>
          <w:p>
            <w:pPr>
              <w:keepNext w:val="0"/>
              <w:keepLines w:val="0"/>
              <w:widowControl/>
              <w:suppressLineNumbers w:val="0"/>
              <w:spacing w:before="0" w:beforeAutospacing="0" w:after="200" w:afterAutospacing="0" w:line="276" w:lineRule="auto"/>
              <w:ind w:left="0" w:right="0"/>
              <w:jc w:val="center"/>
              <w:rPr>
                <w:rFonts w:hint="eastAsia" w:ascii="宋体" w:hAnsi="宋体" w:eastAsia="宋体" w:cs="宋体"/>
                <w:b/>
                <w:color w:val="auto"/>
                <w:kern w:val="0"/>
                <w:sz w:val="24"/>
                <w:szCs w:val="24"/>
                <w:highlight w:val="none"/>
                <w:lang w:eastAsia="en-US" w:bidi="en-US"/>
              </w:rPr>
            </w:pPr>
            <w:r>
              <w:rPr>
                <w:rFonts w:hint="eastAsia" w:ascii="宋体" w:hAnsi="宋体" w:eastAsia="宋体" w:cs="宋体"/>
                <w:b/>
                <w:color w:val="auto"/>
                <w:kern w:val="0"/>
                <w:sz w:val="24"/>
                <w:szCs w:val="24"/>
                <w:highlight w:val="none"/>
                <w:lang w:eastAsia="en-US" w:bidi="en-US"/>
              </w:rPr>
              <w:t>建设单位</w:t>
            </w:r>
          </w:p>
        </w:tc>
        <w:tc>
          <w:tcPr>
            <w:tcW w:w="1547" w:type="dxa"/>
            <w:noWrap w:val="0"/>
            <w:vAlign w:val="center"/>
          </w:tcPr>
          <w:p>
            <w:pPr>
              <w:keepNext w:val="0"/>
              <w:keepLines w:val="0"/>
              <w:widowControl/>
              <w:suppressLineNumbers w:val="0"/>
              <w:spacing w:before="0" w:beforeAutospacing="0" w:after="200" w:afterAutospacing="0" w:line="276" w:lineRule="auto"/>
              <w:ind w:left="0" w:right="0"/>
              <w:jc w:val="center"/>
              <w:rPr>
                <w:rFonts w:hint="eastAsia" w:ascii="宋体" w:hAnsi="宋体" w:eastAsia="宋体" w:cs="宋体"/>
                <w:b/>
                <w:color w:val="auto"/>
                <w:kern w:val="0"/>
                <w:sz w:val="24"/>
                <w:szCs w:val="24"/>
                <w:highlight w:val="none"/>
                <w:lang w:eastAsia="en-US" w:bidi="en-US"/>
              </w:rPr>
            </w:pPr>
            <w:r>
              <w:rPr>
                <w:rFonts w:hint="eastAsia" w:ascii="宋体" w:hAnsi="宋体" w:eastAsia="宋体" w:cs="宋体"/>
                <w:b/>
                <w:color w:val="auto"/>
                <w:kern w:val="0"/>
                <w:sz w:val="24"/>
                <w:szCs w:val="24"/>
                <w:highlight w:val="none"/>
                <w:lang w:eastAsia="en-US" w:bidi="en-US"/>
              </w:rPr>
              <w:t>项目名称</w:t>
            </w:r>
          </w:p>
        </w:tc>
        <w:tc>
          <w:tcPr>
            <w:tcW w:w="1549" w:type="dxa"/>
            <w:gridSpan w:val="2"/>
            <w:noWrap w:val="0"/>
            <w:vAlign w:val="center"/>
          </w:tcPr>
          <w:p>
            <w:pPr>
              <w:keepNext w:val="0"/>
              <w:keepLines w:val="0"/>
              <w:widowControl/>
              <w:suppressLineNumbers w:val="0"/>
              <w:spacing w:before="0" w:beforeAutospacing="0" w:after="200" w:afterAutospacing="0" w:line="276" w:lineRule="auto"/>
              <w:ind w:left="0" w:right="0"/>
              <w:jc w:val="center"/>
              <w:rPr>
                <w:rFonts w:hint="eastAsia" w:ascii="宋体" w:hAnsi="宋体" w:eastAsia="宋体" w:cs="宋体"/>
                <w:b/>
                <w:color w:val="auto"/>
                <w:kern w:val="0"/>
                <w:sz w:val="24"/>
                <w:szCs w:val="24"/>
                <w:highlight w:val="none"/>
                <w:lang w:eastAsia="en-US" w:bidi="en-US"/>
              </w:rPr>
            </w:pPr>
            <w:r>
              <w:rPr>
                <w:rFonts w:hint="eastAsia" w:ascii="宋体" w:hAnsi="宋体" w:eastAsia="宋体" w:cs="宋体"/>
                <w:b/>
                <w:color w:val="auto"/>
                <w:kern w:val="0"/>
                <w:sz w:val="24"/>
                <w:szCs w:val="24"/>
                <w:highlight w:val="none"/>
                <w:lang w:eastAsia="en-US" w:bidi="en-US"/>
              </w:rPr>
              <w:t>建设规模</w:t>
            </w:r>
          </w:p>
        </w:tc>
        <w:tc>
          <w:tcPr>
            <w:tcW w:w="1783" w:type="dxa"/>
            <w:gridSpan w:val="2"/>
            <w:noWrap w:val="0"/>
            <w:vAlign w:val="center"/>
          </w:tcPr>
          <w:p>
            <w:pPr>
              <w:keepNext w:val="0"/>
              <w:keepLines w:val="0"/>
              <w:widowControl/>
              <w:suppressLineNumbers w:val="0"/>
              <w:spacing w:before="0" w:beforeAutospacing="0" w:after="200" w:afterAutospacing="0" w:line="276" w:lineRule="auto"/>
              <w:ind w:left="0" w:right="0"/>
              <w:jc w:val="center"/>
              <w:rPr>
                <w:rFonts w:hint="eastAsia" w:ascii="宋体" w:hAnsi="宋体" w:eastAsia="宋体" w:cs="宋体"/>
                <w:b/>
                <w:color w:val="auto"/>
                <w:kern w:val="0"/>
                <w:sz w:val="24"/>
                <w:szCs w:val="24"/>
                <w:highlight w:val="none"/>
                <w:lang w:eastAsia="en-US" w:bidi="en-US"/>
              </w:rPr>
            </w:pPr>
            <w:r>
              <w:rPr>
                <w:rFonts w:hint="eastAsia" w:ascii="宋体" w:hAnsi="宋体" w:eastAsia="宋体" w:cs="宋体"/>
                <w:b/>
                <w:color w:val="auto"/>
                <w:kern w:val="0"/>
                <w:sz w:val="24"/>
                <w:szCs w:val="24"/>
                <w:highlight w:val="none"/>
                <w:lang w:eastAsia="en-US" w:bidi="en-US"/>
              </w:rPr>
              <w:t>开、竣工日期</w:t>
            </w:r>
          </w:p>
        </w:tc>
        <w:tc>
          <w:tcPr>
            <w:tcW w:w="1547" w:type="dxa"/>
            <w:gridSpan w:val="3"/>
            <w:noWrap w:val="0"/>
            <w:vAlign w:val="center"/>
          </w:tcPr>
          <w:p>
            <w:pPr>
              <w:keepNext w:val="0"/>
              <w:keepLines w:val="0"/>
              <w:widowControl/>
              <w:suppressLineNumbers w:val="0"/>
              <w:spacing w:before="0" w:beforeAutospacing="0" w:after="200" w:afterAutospacing="0" w:line="276" w:lineRule="auto"/>
              <w:ind w:left="0" w:right="0"/>
              <w:jc w:val="center"/>
              <w:rPr>
                <w:rFonts w:hint="eastAsia" w:ascii="宋体" w:hAnsi="宋体" w:eastAsia="宋体" w:cs="宋体"/>
                <w:b/>
                <w:color w:val="auto"/>
                <w:kern w:val="0"/>
                <w:sz w:val="24"/>
                <w:szCs w:val="24"/>
                <w:highlight w:val="none"/>
                <w:lang w:eastAsia="en-US" w:bidi="en-US"/>
              </w:rPr>
            </w:pPr>
            <w:r>
              <w:rPr>
                <w:rFonts w:hint="eastAsia" w:ascii="宋体" w:hAnsi="宋体" w:eastAsia="宋体" w:cs="宋体"/>
                <w:b/>
                <w:color w:val="auto"/>
                <w:kern w:val="0"/>
                <w:sz w:val="24"/>
                <w:szCs w:val="24"/>
                <w:highlight w:val="none"/>
                <w:lang w:eastAsia="en-US" w:bidi="en-US"/>
              </w:rPr>
              <w:t>在建或已完</w:t>
            </w:r>
          </w:p>
        </w:tc>
        <w:tc>
          <w:tcPr>
            <w:tcW w:w="1551" w:type="dxa"/>
            <w:noWrap w:val="0"/>
            <w:vAlign w:val="center"/>
          </w:tcPr>
          <w:p>
            <w:pPr>
              <w:keepNext w:val="0"/>
              <w:keepLines w:val="0"/>
              <w:widowControl/>
              <w:suppressLineNumbers w:val="0"/>
              <w:spacing w:before="0" w:beforeAutospacing="0" w:after="200" w:afterAutospacing="0" w:line="276" w:lineRule="auto"/>
              <w:ind w:left="0" w:right="0"/>
              <w:jc w:val="center"/>
              <w:rPr>
                <w:rFonts w:hint="eastAsia" w:ascii="宋体" w:hAnsi="宋体" w:eastAsia="宋体" w:cs="宋体"/>
                <w:b/>
                <w:color w:val="auto"/>
                <w:kern w:val="0"/>
                <w:sz w:val="24"/>
                <w:szCs w:val="24"/>
                <w:highlight w:val="none"/>
                <w:lang w:eastAsia="en-US" w:bidi="en-US"/>
              </w:rPr>
            </w:pPr>
            <w:r>
              <w:rPr>
                <w:rFonts w:hint="eastAsia" w:ascii="宋体" w:hAnsi="宋体" w:eastAsia="宋体" w:cs="宋体"/>
                <w:b/>
                <w:color w:val="auto"/>
                <w:kern w:val="0"/>
                <w:sz w:val="24"/>
                <w:szCs w:val="24"/>
                <w:highlight w:val="none"/>
                <w:lang w:eastAsia="en-US" w:bidi="en-US"/>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48" w:type="dxa"/>
            <w:gridSpan w:val="2"/>
            <w:noWrap w:val="0"/>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eastAsia" w:ascii="宋体" w:hAnsi="宋体" w:eastAsia="宋体" w:cs="宋体"/>
                <w:b/>
                <w:snapToGrid w:val="0"/>
                <w:color w:val="auto"/>
                <w:spacing w:val="4"/>
                <w:sz w:val="24"/>
                <w:szCs w:val="24"/>
                <w:highlight w:val="none"/>
                <w:lang w:bidi="en-US"/>
              </w:rPr>
            </w:pPr>
          </w:p>
        </w:tc>
        <w:tc>
          <w:tcPr>
            <w:tcW w:w="1547" w:type="dxa"/>
            <w:noWrap w:val="0"/>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eastAsia" w:ascii="宋体" w:hAnsi="宋体" w:eastAsia="宋体" w:cs="宋体"/>
                <w:b/>
                <w:snapToGrid w:val="0"/>
                <w:color w:val="auto"/>
                <w:spacing w:val="4"/>
                <w:sz w:val="24"/>
                <w:szCs w:val="24"/>
                <w:highlight w:val="none"/>
                <w:lang w:bidi="en-US"/>
              </w:rPr>
            </w:pPr>
          </w:p>
        </w:tc>
        <w:tc>
          <w:tcPr>
            <w:tcW w:w="1549" w:type="dxa"/>
            <w:gridSpan w:val="2"/>
            <w:noWrap w:val="0"/>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eastAsia" w:ascii="宋体" w:hAnsi="宋体" w:eastAsia="宋体" w:cs="宋体"/>
                <w:b/>
                <w:snapToGrid w:val="0"/>
                <w:color w:val="auto"/>
                <w:spacing w:val="4"/>
                <w:sz w:val="24"/>
                <w:szCs w:val="24"/>
                <w:highlight w:val="none"/>
                <w:lang w:bidi="en-US"/>
              </w:rPr>
            </w:pPr>
          </w:p>
        </w:tc>
        <w:tc>
          <w:tcPr>
            <w:tcW w:w="1783" w:type="dxa"/>
            <w:gridSpan w:val="2"/>
            <w:noWrap w:val="0"/>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eastAsia" w:ascii="宋体" w:hAnsi="宋体" w:eastAsia="宋体" w:cs="宋体"/>
                <w:b/>
                <w:snapToGrid w:val="0"/>
                <w:color w:val="auto"/>
                <w:spacing w:val="4"/>
                <w:sz w:val="24"/>
                <w:szCs w:val="24"/>
                <w:highlight w:val="none"/>
                <w:lang w:bidi="en-US"/>
              </w:rPr>
            </w:pPr>
          </w:p>
        </w:tc>
        <w:tc>
          <w:tcPr>
            <w:tcW w:w="1547" w:type="dxa"/>
            <w:gridSpan w:val="3"/>
            <w:noWrap w:val="0"/>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eastAsia" w:ascii="宋体" w:hAnsi="宋体" w:eastAsia="宋体" w:cs="宋体"/>
                <w:b/>
                <w:snapToGrid w:val="0"/>
                <w:color w:val="auto"/>
                <w:spacing w:val="4"/>
                <w:sz w:val="24"/>
                <w:szCs w:val="24"/>
                <w:highlight w:val="none"/>
                <w:lang w:bidi="en-US"/>
              </w:rPr>
            </w:pPr>
          </w:p>
        </w:tc>
        <w:tc>
          <w:tcPr>
            <w:tcW w:w="1551" w:type="dxa"/>
            <w:noWrap w:val="0"/>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eastAsia" w:ascii="宋体" w:hAnsi="宋体" w:eastAsia="宋体" w:cs="宋体"/>
                <w:b/>
                <w:snapToGrid w:val="0"/>
                <w:color w:val="auto"/>
                <w:spacing w:val="4"/>
                <w:sz w:val="24"/>
                <w:szCs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48" w:type="dxa"/>
            <w:gridSpan w:val="2"/>
            <w:noWrap w:val="0"/>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eastAsia" w:ascii="宋体" w:hAnsi="宋体" w:eastAsia="宋体" w:cs="宋体"/>
                <w:snapToGrid w:val="0"/>
                <w:color w:val="auto"/>
                <w:spacing w:val="4"/>
                <w:sz w:val="24"/>
                <w:szCs w:val="24"/>
                <w:highlight w:val="none"/>
                <w:lang w:bidi="en-US"/>
              </w:rPr>
            </w:pPr>
          </w:p>
        </w:tc>
        <w:tc>
          <w:tcPr>
            <w:tcW w:w="1547" w:type="dxa"/>
            <w:noWrap w:val="0"/>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eastAsia" w:ascii="宋体" w:hAnsi="宋体" w:eastAsia="宋体" w:cs="宋体"/>
                <w:snapToGrid w:val="0"/>
                <w:color w:val="auto"/>
                <w:spacing w:val="4"/>
                <w:sz w:val="24"/>
                <w:szCs w:val="24"/>
                <w:highlight w:val="none"/>
                <w:lang w:bidi="en-US"/>
              </w:rPr>
            </w:pPr>
          </w:p>
        </w:tc>
        <w:tc>
          <w:tcPr>
            <w:tcW w:w="1549" w:type="dxa"/>
            <w:gridSpan w:val="2"/>
            <w:noWrap w:val="0"/>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eastAsia" w:ascii="宋体" w:hAnsi="宋体" w:eastAsia="宋体" w:cs="宋体"/>
                <w:snapToGrid w:val="0"/>
                <w:color w:val="auto"/>
                <w:spacing w:val="4"/>
                <w:sz w:val="24"/>
                <w:szCs w:val="24"/>
                <w:highlight w:val="none"/>
                <w:lang w:bidi="en-US"/>
              </w:rPr>
            </w:pPr>
          </w:p>
        </w:tc>
        <w:tc>
          <w:tcPr>
            <w:tcW w:w="1783" w:type="dxa"/>
            <w:gridSpan w:val="2"/>
            <w:noWrap w:val="0"/>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eastAsia" w:ascii="宋体" w:hAnsi="宋体" w:eastAsia="宋体" w:cs="宋体"/>
                <w:snapToGrid w:val="0"/>
                <w:color w:val="auto"/>
                <w:spacing w:val="4"/>
                <w:sz w:val="24"/>
                <w:szCs w:val="24"/>
                <w:highlight w:val="none"/>
                <w:lang w:bidi="en-US"/>
              </w:rPr>
            </w:pPr>
          </w:p>
        </w:tc>
        <w:tc>
          <w:tcPr>
            <w:tcW w:w="1547" w:type="dxa"/>
            <w:gridSpan w:val="3"/>
            <w:noWrap w:val="0"/>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eastAsia" w:ascii="宋体" w:hAnsi="宋体" w:eastAsia="宋体" w:cs="宋体"/>
                <w:snapToGrid w:val="0"/>
                <w:color w:val="auto"/>
                <w:spacing w:val="4"/>
                <w:sz w:val="24"/>
                <w:szCs w:val="24"/>
                <w:highlight w:val="none"/>
                <w:lang w:bidi="en-US"/>
              </w:rPr>
            </w:pPr>
          </w:p>
        </w:tc>
        <w:tc>
          <w:tcPr>
            <w:tcW w:w="1551" w:type="dxa"/>
            <w:noWrap w:val="0"/>
            <w:vAlign w:val="center"/>
          </w:tcPr>
          <w:p>
            <w:pPr>
              <w:keepNext w:val="0"/>
              <w:keepLines w:val="0"/>
              <w:widowControl/>
              <w:suppressLineNumbers w:val="0"/>
              <w:topLinePunct/>
              <w:adjustRightInd w:val="0"/>
              <w:snapToGrid w:val="0"/>
              <w:spacing w:before="0" w:beforeAutospacing="0" w:after="200" w:afterAutospacing="0" w:line="360" w:lineRule="auto"/>
              <w:ind w:left="0" w:right="0"/>
              <w:jc w:val="center"/>
              <w:rPr>
                <w:rFonts w:hint="eastAsia" w:ascii="宋体" w:hAnsi="宋体" w:eastAsia="宋体" w:cs="宋体"/>
                <w:snapToGrid w:val="0"/>
                <w:color w:val="auto"/>
                <w:spacing w:val="4"/>
                <w:sz w:val="24"/>
                <w:szCs w:val="24"/>
                <w:highlight w:val="none"/>
                <w:lang w:bidi="en-US"/>
              </w:rPr>
            </w:pPr>
          </w:p>
        </w:tc>
      </w:tr>
    </w:tbl>
    <w:p>
      <w:pPr>
        <w:widowControl/>
        <w:topLinePunct/>
        <w:adjustRightInd w:val="0"/>
        <w:snapToGrid w:val="0"/>
        <w:spacing w:after="200" w:line="360" w:lineRule="auto"/>
        <w:ind w:firstLine="225" w:firstLineChars="80"/>
        <w:jc w:val="left"/>
        <w:rPr>
          <w:rFonts w:ascii="宋体" w:hAnsi="宋体" w:eastAsia="宋体" w:cs="宋体"/>
          <w:color w:val="auto"/>
          <w:spacing w:val="4"/>
          <w:kern w:val="0"/>
          <w:sz w:val="24"/>
          <w:szCs w:val="24"/>
          <w:highlight w:val="none"/>
        </w:rPr>
      </w:pPr>
      <w:r>
        <w:rPr>
          <w:rFonts w:hint="eastAsia" w:ascii="宋体" w:hAnsi="宋体" w:eastAsia="宋体" w:cs="宋体"/>
          <w:b/>
          <w:bCs/>
          <w:color w:val="auto"/>
          <w:sz w:val="28"/>
          <w:szCs w:val="28"/>
          <w:highlight w:val="none"/>
        </w:rPr>
        <w:t>注：投标人需按照《技术部分（项目实施能力）审查评分表》的要求提供相应的证明材料，否则不予计算得分。</w:t>
      </w:r>
    </w:p>
    <w:p>
      <w:pPr>
        <w:widowControl/>
        <w:topLinePunct/>
        <w:adjustRightInd w:val="0"/>
        <w:snapToGrid w:val="0"/>
        <w:spacing w:after="200" w:line="360" w:lineRule="auto"/>
        <w:ind w:firstLine="3596" w:firstLineChars="145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投标人：　　（盖章）</w:t>
      </w:r>
    </w:p>
    <w:p>
      <w:pPr>
        <w:widowControl/>
        <w:topLinePunct/>
        <w:adjustRightInd w:val="0"/>
        <w:snapToGrid w:val="0"/>
        <w:spacing w:after="200" w:line="360" w:lineRule="auto"/>
        <w:ind w:firstLine="3596" w:firstLineChars="145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法定代表人或授权代理人(签字或盖章)：</w:t>
      </w:r>
    </w:p>
    <w:p>
      <w:pPr>
        <w:jc w:val="center"/>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 xml:space="preserve">          日   期：    年    月    日</w:t>
      </w:r>
    </w:p>
    <w:p>
      <w:pPr>
        <w:pStyle w:val="2"/>
        <w:rPr>
          <w:rFonts w:hint="eastAsia" w:ascii="宋体" w:hAnsi="宋体" w:eastAsia="宋体" w:cs="宋体"/>
          <w:color w:val="auto"/>
          <w:spacing w:val="4"/>
          <w:kern w:val="0"/>
          <w:sz w:val="24"/>
          <w:szCs w:val="24"/>
          <w:highlight w:val="none"/>
        </w:rPr>
      </w:pPr>
    </w:p>
    <w:p>
      <w:pPr>
        <w:pStyle w:val="3"/>
        <w:rPr>
          <w:rFonts w:hint="eastAsia" w:ascii="宋体" w:hAnsi="宋体" w:eastAsia="宋体" w:cs="宋体"/>
          <w:color w:val="auto"/>
          <w:spacing w:val="4"/>
          <w:kern w:val="0"/>
          <w:sz w:val="24"/>
          <w:szCs w:val="24"/>
          <w:highlight w:val="none"/>
        </w:rPr>
        <w:sectPr>
          <w:pgSz w:w="11850" w:h="16783"/>
          <w:pgMar w:top="1417" w:right="1290" w:bottom="1417" w:left="1290" w:header="851" w:footer="992" w:gutter="0"/>
          <w:pgNumType w:fmt="decimal"/>
          <w:cols w:space="720" w:num="1"/>
          <w:docGrid w:type="lines" w:linePitch="312" w:charSpace="0"/>
        </w:sectPr>
      </w:pPr>
    </w:p>
    <w:p>
      <w:pPr>
        <w:pStyle w:val="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附件2</w:t>
      </w:r>
      <w:r>
        <w:rPr>
          <w:rFonts w:hint="eastAsia" w:ascii="宋体" w:hAnsi="宋体" w:eastAsia="宋体" w:cs="宋体"/>
          <w:color w:val="auto"/>
          <w:sz w:val="24"/>
          <w:szCs w:val="24"/>
          <w:highlight w:val="none"/>
          <w:lang w:val="en-US" w:eastAsia="zh-CN"/>
        </w:rPr>
        <w:t>2  项目负责人驻场承诺书</w:t>
      </w:r>
    </w:p>
    <w:p>
      <w:pPr>
        <w:pStyle w:val="4"/>
        <w:rPr>
          <w:rFonts w:hint="eastAsia" w:ascii="宋体" w:hAnsi="宋体" w:eastAsia="宋体" w:cs="宋体"/>
          <w:color w:val="auto"/>
          <w:sz w:val="24"/>
          <w:szCs w:val="24"/>
          <w:highlight w:val="none"/>
          <w:lang w:val="en-US" w:eastAsia="zh-CN"/>
        </w:rPr>
      </w:pPr>
    </w:p>
    <w:p>
      <w:pPr>
        <w:pStyle w:val="17"/>
        <w:spacing w:after="0" w:afterLines="0" w:line="336" w:lineRule="auto"/>
        <w:ind w:left="0" w:lef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项目负责人驻场承诺书</w:t>
      </w:r>
    </w:p>
    <w:p>
      <w:pPr>
        <w:pStyle w:val="17"/>
        <w:spacing w:after="0" w:afterLines="0" w:line="336" w:lineRule="auto"/>
        <w:ind w:left="-2" w:leftChars="-1" w:firstLineChars="175"/>
        <w:jc w:val="center"/>
        <w:rPr>
          <w:rFonts w:hint="eastAsia" w:ascii="宋体" w:hAnsi="宋体" w:eastAsia="宋体" w:cs="宋体"/>
          <w:color w:val="auto"/>
          <w:sz w:val="24"/>
          <w:szCs w:val="24"/>
          <w:highlight w:val="none"/>
          <w:u w:val="single"/>
        </w:rPr>
      </w:pPr>
    </w:p>
    <w:p>
      <w:pPr>
        <w:spacing w:line="336"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致（业主/监理）                                           ：</w:t>
      </w:r>
    </w:p>
    <w:p>
      <w:pPr>
        <w:spacing w:line="336" w:lineRule="auto"/>
        <w:rPr>
          <w:rFonts w:hint="eastAsia" w:ascii="宋体" w:hAnsi="宋体" w:eastAsia="宋体" w:cs="宋体"/>
          <w:color w:val="auto"/>
          <w:sz w:val="24"/>
          <w:szCs w:val="24"/>
          <w:highlight w:val="none"/>
          <w:u w:val="single"/>
        </w:rPr>
      </w:pPr>
    </w:p>
    <w:p>
      <w:pPr>
        <w:spacing w:line="336" w:lineRule="auto"/>
        <w:ind w:firstLine="523" w:firstLineChars="218"/>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本人（姓名）              ，项目负责人证书注册编号：                       </w:t>
      </w:r>
    </w:p>
    <w:p>
      <w:pPr>
        <w:spacing w:line="336" w:lineRule="auto"/>
        <w:ind w:left="1"/>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受（投标人）                                      委派，拟在（项目名称）                                                   担任项目负责人一职。为加强本工程项目管理，保证我公司在中标后严格履行与业主签定的工程建设承包合同，圆满的完成本项工程，我愿就此做出以下承诺；</w:t>
      </w:r>
    </w:p>
    <w:p>
      <w:pPr>
        <w:spacing w:line="336"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本人作为公司选派的本项目的项目负责人，我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pPr>
        <w:spacing w:line="336"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2．如果本招标工程我公司中标，我本人保证在工程签订合同之日起至工程竣工验收完成期间只担任此工程的项目</w:t>
      </w:r>
      <w:r>
        <w:rPr>
          <w:rFonts w:hint="eastAsia" w:ascii="宋体" w:hAnsi="宋体" w:eastAsia="宋体" w:cs="宋体"/>
          <w:color w:val="auto"/>
          <w:sz w:val="24"/>
          <w:szCs w:val="24"/>
          <w:highlight w:val="none"/>
          <w:u w:val="single"/>
          <w:lang w:eastAsia="zh-CN"/>
        </w:rPr>
        <w:t>负责人</w:t>
      </w:r>
      <w:r>
        <w:rPr>
          <w:rFonts w:hint="eastAsia" w:ascii="宋体" w:hAnsi="宋体" w:eastAsia="宋体" w:cs="宋体"/>
          <w:color w:val="auto"/>
          <w:sz w:val="24"/>
          <w:szCs w:val="24"/>
          <w:highlight w:val="none"/>
          <w:u w:val="single"/>
        </w:rPr>
        <w:t>，不参加其他任何工程的登记和任何工作，不在其他任何工程担任职务。</w:t>
      </w:r>
    </w:p>
    <w:p>
      <w:pPr>
        <w:spacing w:line="336"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3．除非征得业主的书面批准，否则如果违背以上承诺，不能常驻施工现场，我自愿接受业主给予我本人的批评和处罚，并同意业主就此作为我个人的不良纪录进一步上报</w:t>
      </w:r>
      <w:r>
        <w:rPr>
          <w:rFonts w:hint="eastAsia" w:ascii="宋体" w:hAnsi="宋体" w:eastAsia="宋体" w:cs="宋体"/>
          <w:color w:val="auto"/>
          <w:sz w:val="24"/>
          <w:szCs w:val="24"/>
          <w:highlight w:val="none"/>
          <w:u w:val="single"/>
          <w:lang w:eastAsia="zh-CN"/>
        </w:rPr>
        <w:t>市</w:t>
      </w:r>
      <w:r>
        <w:rPr>
          <w:rFonts w:hint="eastAsia" w:ascii="宋体" w:hAnsi="宋体" w:eastAsia="宋体" w:cs="宋体"/>
          <w:color w:val="auto"/>
          <w:sz w:val="24"/>
          <w:szCs w:val="24"/>
          <w:highlight w:val="none"/>
          <w:u w:val="single"/>
        </w:rPr>
        <w:t>行业主管部门，项目负责人证书注册、备案、审批机构，直至</w:t>
      </w:r>
      <w:r>
        <w:rPr>
          <w:rFonts w:hint="eastAsia" w:ascii="宋体" w:hAnsi="宋体" w:eastAsia="宋体" w:cs="宋体"/>
          <w:color w:val="auto"/>
          <w:sz w:val="24"/>
          <w:szCs w:val="24"/>
          <w:highlight w:val="none"/>
          <w:u w:val="single"/>
          <w:lang w:eastAsia="zh-CN"/>
        </w:rPr>
        <w:t>市行政主管单位</w:t>
      </w:r>
      <w:r>
        <w:rPr>
          <w:rFonts w:hint="eastAsia" w:ascii="宋体" w:hAnsi="宋体" w:eastAsia="宋体" w:cs="宋体"/>
          <w:color w:val="auto"/>
          <w:sz w:val="24"/>
          <w:szCs w:val="24"/>
          <w:highlight w:val="none"/>
          <w:u w:val="single"/>
        </w:rPr>
        <w:t>等有关部门并接受上述部门给予的通报和相关职能部门给予的扣证等处罚。</w:t>
      </w:r>
    </w:p>
    <w:p>
      <w:pPr>
        <w:spacing w:line="336"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4．项目负责人本人身份证复印件和</w:t>
      </w:r>
      <w:r>
        <w:rPr>
          <w:rFonts w:hint="eastAsia" w:ascii="宋体" w:hAnsi="宋体" w:eastAsia="宋体" w:cs="宋体"/>
          <w:color w:val="auto"/>
          <w:sz w:val="24"/>
          <w:szCs w:val="24"/>
          <w:highlight w:val="none"/>
          <w:u w:val="single"/>
          <w:lang w:eastAsia="zh-CN"/>
        </w:rPr>
        <w:t>彩色证件照</w:t>
      </w:r>
      <w:r>
        <w:rPr>
          <w:rFonts w:hint="eastAsia" w:ascii="宋体" w:hAnsi="宋体" w:eastAsia="宋体" w:cs="宋体"/>
          <w:color w:val="auto"/>
          <w:sz w:val="24"/>
          <w:szCs w:val="24"/>
          <w:highlight w:val="none"/>
          <w:u w:val="single"/>
        </w:rPr>
        <w:t>：</w:t>
      </w:r>
    </w:p>
    <w:p>
      <w:pPr>
        <w:spacing w:line="336" w:lineRule="auto"/>
        <w:rPr>
          <w:rFonts w:hint="eastAsia" w:ascii="宋体" w:hAnsi="宋体" w:eastAsia="宋体" w:cs="宋体"/>
          <w:color w:val="auto"/>
          <w:sz w:val="24"/>
          <w:szCs w:val="24"/>
          <w:highlight w:val="none"/>
          <w:u w:val="single"/>
        </w:rPr>
      </w:pPr>
    </w:p>
    <w:tbl>
      <w:tblPr>
        <w:tblStyle w:val="18"/>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3"/>
        <w:gridCol w:w="2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6043"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36" w:lineRule="auto"/>
              <w:ind w:left="0" w:right="0"/>
              <w:jc w:val="center"/>
              <w:rPr>
                <w:rFonts w:hint="eastAsia" w:ascii="宋体" w:hAnsi="宋体" w:eastAsia="宋体" w:cs="宋体"/>
                <w:color w:val="auto"/>
                <w:szCs w:val="21"/>
                <w:highlight w:val="none"/>
                <w:u w:val="single"/>
              </w:rPr>
            </w:pPr>
          </w:p>
          <w:p>
            <w:pPr>
              <w:keepNext w:val="0"/>
              <w:keepLines w:val="0"/>
              <w:suppressLineNumbers w:val="0"/>
              <w:spacing w:before="0" w:beforeAutospacing="0" w:after="0" w:afterAutospacing="0" w:line="336" w:lineRule="auto"/>
              <w:ind w:left="0" w:right="0"/>
              <w:jc w:val="center"/>
              <w:rPr>
                <w:rFonts w:hint="eastAsia" w:ascii="宋体" w:hAnsi="宋体" w:eastAsia="宋体" w:cs="宋体"/>
                <w:color w:val="auto"/>
                <w:szCs w:val="21"/>
                <w:highlight w:val="none"/>
                <w:u w:val="single"/>
              </w:rPr>
            </w:pPr>
          </w:p>
          <w:p>
            <w:pPr>
              <w:keepNext w:val="0"/>
              <w:keepLines w:val="0"/>
              <w:suppressLineNumbers w:val="0"/>
              <w:spacing w:before="0" w:beforeAutospacing="0" w:after="0" w:afterAutospacing="0" w:line="336" w:lineRule="auto"/>
              <w:ind w:left="0" w:right="0"/>
              <w:jc w:val="center"/>
              <w:rPr>
                <w:rFonts w:hint="eastAsia" w:ascii="宋体" w:hAnsi="宋体" w:eastAsia="宋体" w:cs="宋体"/>
                <w:color w:val="auto"/>
                <w:szCs w:val="21"/>
                <w:highlight w:val="none"/>
                <w:u w:val="single"/>
              </w:rPr>
            </w:pPr>
          </w:p>
          <w:p>
            <w:pPr>
              <w:keepNext w:val="0"/>
              <w:keepLines w:val="0"/>
              <w:suppressLineNumbers w:val="0"/>
              <w:spacing w:before="0" w:beforeAutospacing="0" w:after="0" w:afterAutospacing="0" w:line="336" w:lineRule="auto"/>
              <w:ind w:left="0" w:right="0"/>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身份证复印件</w:t>
            </w:r>
          </w:p>
        </w:tc>
        <w:tc>
          <w:tcPr>
            <w:tcW w:w="2492"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36" w:lineRule="auto"/>
              <w:ind w:left="0" w:right="0"/>
              <w:jc w:val="center"/>
              <w:rPr>
                <w:rFonts w:hint="eastAsia" w:ascii="宋体" w:hAnsi="宋体" w:eastAsia="宋体" w:cs="宋体"/>
                <w:color w:val="auto"/>
                <w:szCs w:val="21"/>
                <w:highlight w:val="none"/>
                <w:u w:val="single"/>
              </w:rPr>
            </w:pPr>
          </w:p>
          <w:p>
            <w:pPr>
              <w:keepNext w:val="0"/>
              <w:keepLines w:val="0"/>
              <w:suppressLineNumbers w:val="0"/>
              <w:spacing w:before="0" w:beforeAutospacing="0" w:after="0" w:afterAutospacing="0" w:line="336" w:lineRule="auto"/>
              <w:ind w:left="0" w:right="0"/>
              <w:jc w:val="center"/>
              <w:rPr>
                <w:rFonts w:hint="eastAsia" w:ascii="宋体" w:hAnsi="宋体" w:eastAsia="宋体" w:cs="宋体"/>
                <w:color w:val="auto"/>
                <w:szCs w:val="21"/>
                <w:highlight w:val="none"/>
                <w:u w:val="single"/>
              </w:rPr>
            </w:pPr>
          </w:p>
          <w:p>
            <w:pPr>
              <w:keepNext w:val="0"/>
              <w:keepLines w:val="0"/>
              <w:suppressLineNumbers w:val="0"/>
              <w:spacing w:before="0" w:beforeAutospacing="0" w:after="0" w:afterAutospacing="0" w:line="336" w:lineRule="auto"/>
              <w:ind w:left="0" w:right="0"/>
              <w:jc w:val="center"/>
              <w:rPr>
                <w:rFonts w:hint="eastAsia" w:ascii="宋体" w:hAnsi="宋体" w:eastAsia="宋体" w:cs="宋体"/>
                <w:color w:val="auto"/>
                <w:szCs w:val="21"/>
                <w:highlight w:val="none"/>
                <w:u w:val="single"/>
              </w:rPr>
            </w:pPr>
          </w:p>
          <w:p>
            <w:pPr>
              <w:keepNext w:val="0"/>
              <w:keepLines w:val="0"/>
              <w:suppressLineNumbers w:val="0"/>
              <w:spacing w:before="0" w:beforeAutospacing="0" w:after="0" w:afterAutospacing="0" w:line="336" w:lineRule="auto"/>
              <w:ind w:left="0" w:right="0"/>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相片</w:t>
            </w:r>
          </w:p>
        </w:tc>
      </w:tr>
    </w:tbl>
    <w:p>
      <w:pPr>
        <w:spacing w:line="336" w:lineRule="auto"/>
        <w:rPr>
          <w:rFonts w:hint="eastAsia" w:ascii="宋体" w:hAnsi="宋体" w:eastAsia="宋体" w:cs="宋体"/>
          <w:color w:val="auto"/>
          <w:sz w:val="24"/>
          <w:szCs w:val="24"/>
          <w:highlight w:val="none"/>
          <w:u w:val="single"/>
        </w:rPr>
      </w:pPr>
    </w:p>
    <w:p>
      <w:pPr>
        <w:spacing w:line="336" w:lineRule="auto"/>
        <w:ind w:firstLine="3840" w:firstLineChars="16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投标人：（盖章）</w:t>
      </w:r>
    </w:p>
    <w:p>
      <w:pPr>
        <w:spacing w:line="336" w:lineRule="auto"/>
        <w:ind w:firstLine="3840" w:firstLineChars="16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项目负责人签名：                 </w:t>
      </w:r>
    </w:p>
    <w:p>
      <w:pPr>
        <w:tabs>
          <w:tab w:val="left" w:pos="720"/>
        </w:tabs>
        <w:snapToGrid w:val="0"/>
        <w:spacing w:line="336"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年   月    日</w:t>
      </w:r>
    </w:p>
    <w:p>
      <w:pPr>
        <w:pStyle w:val="4"/>
        <w:rPr>
          <w:rFonts w:hint="eastAsia" w:ascii="宋体" w:hAnsi="宋体" w:eastAsia="宋体" w:cs="宋体"/>
          <w:color w:val="auto"/>
          <w:sz w:val="24"/>
          <w:szCs w:val="24"/>
          <w:highlight w:val="none"/>
          <w:lang w:val="en-US" w:eastAsia="zh-CN"/>
        </w:rPr>
        <w:sectPr>
          <w:pgSz w:w="11850" w:h="16783"/>
          <w:pgMar w:top="1417" w:right="1290" w:bottom="1417" w:left="1290" w:header="851" w:footer="992" w:gutter="0"/>
          <w:pgNumType w:fmt="decimal"/>
          <w:cols w:space="720" w:num="1"/>
          <w:docGrid w:type="lines" w:linePitch="312" w:charSpace="0"/>
        </w:sectPr>
      </w:pPr>
    </w:p>
    <w:p>
      <w:pPr>
        <w:pStyle w:val="2"/>
        <w:rPr>
          <w:rFonts w:ascii="宋体" w:eastAsia="宋体"/>
          <w:b w:val="0"/>
          <w:color w:val="auto"/>
          <w:highlight w:val="none"/>
        </w:rPr>
      </w:pPr>
      <w:bookmarkStart w:id="297" w:name="_Toc25406"/>
      <w:bookmarkStart w:id="298" w:name="_Toc30014"/>
      <w:bookmarkStart w:id="299" w:name="_Toc31891"/>
      <w:bookmarkStart w:id="300" w:name="_Toc24517"/>
      <w:bookmarkStart w:id="301" w:name="_Toc26218"/>
      <w:r>
        <w:rPr>
          <w:rFonts w:hint="eastAsia" w:ascii="宋体" w:eastAsia="宋体"/>
          <w:b w:val="0"/>
          <w:color w:val="auto"/>
          <w:highlight w:val="none"/>
        </w:rPr>
        <w:t>第五章  技术条件（工程建设标准）</w:t>
      </w:r>
      <w:bookmarkEnd w:id="288"/>
      <w:bookmarkEnd w:id="289"/>
      <w:bookmarkEnd w:id="290"/>
      <w:bookmarkEnd w:id="291"/>
      <w:bookmarkEnd w:id="292"/>
      <w:bookmarkEnd w:id="297"/>
      <w:bookmarkEnd w:id="298"/>
      <w:bookmarkEnd w:id="299"/>
      <w:bookmarkEnd w:id="300"/>
      <w:bookmarkEnd w:id="301"/>
    </w:p>
    <w:p>
      <w:pPr>
        <w:rPr>
          <w:rFonts w:ascii="宋体" w:hAnsi="宋体" w:eastAsia="宋体"/>
          <w:color w:val="auto"/>
          <w:sz w:val="24"/>
          <w:szCs w:val="24"/>
          <w:highlight w:val="none"/>
        </w:rPr>
      </w:pPr>
    </w:p>
    <w:p>
      <w:pPr>
        <w:rPr>
          <w:rFonts w:ascii="宋体" w:hAnsi="宋体" w:eastAsia="宋体"/>
          <w:color w:val="auto"/>
          <w:sz w:val="24"/>
          <w:szCs w:val="24"/>
          <w:highlight w:val="none"/>
        </w:rPr>
      </w:pPr>
    </w:p>
    <w:p>
      <w:pPr>
        <w:rPr>
          <w:rFonts w:ascii="宋体" w:hAnsi="宋体" w:eastAsia="宋体"/>
          <w:color w:val="auto"/>
          <w:szCs w:val="21"/>
          <w:highlight w:val="none"/>
        </w:rPr>
      </w:pPr>
      <w:r>
        <w:rPr>
          <w:rFonts w:hint="eastAsia" w:ascii="宋体" w:hAnsi="宋体" w:eastAsia="宋体"/>
          <w:color w:val="auto"/>
          <w:sz w:val="24"/>
          <w:szCs w:val="24"/>
          <w:highlight w:val="none"/>
        </w:rPr>
        <w:t>注：按国家、广东省、广州市园林绿化工程建设及验收标准执行。</w:t>
      </w:r>
    </w:p>
    <w:p>
      <w:pPr>
        <w:rPr>
          <w:rFonts w:ascii="宋体" w:hAnsi="宋体" w:eastAsia="宋体"/>
          <w:color w:val="auto"/>
          <w:highlight w:val="none"/>
        </w:rPr>
      </w:pPr>
      <w:r>
        <w:rPr>
          <w:rFonts w:ascii="宋体" w:hAnsi="宋体" w:eastAsia="宋体"/>
          <w:color w:val="auto"/>
          <w:szCs w:val="21"/>
          <w:highlight w:val="none"/>
        </w:rPr>
        <w:br w:type="page"/>
      </w:r>
    </w:p>
    <w:p>
      <w:pPr>
        <w:pStyle w:val="2"/>
        <w:rPr>
          <w:rFonts w:ascii="宋体" w:eastAsia="宋体"/>
          <w:b w:val="0"/>
          <w:color w:val="auto"/>
          <w:highlight w:val="none"/>
        </w:rPr>
      </w:pPr>
      <w:bookmarkStart w:id="302" w:name="_第六章__图纸及勘察资料"/>
      <w:bookmarkEnd w:id="302"/>
      <w:bookmarkStart w:id="303" w:name="_Toc10021"/>
      <w:bookmarkStart w:id="304" w:name="_Toc262229177"/>
      <w:bookmarkStart w:id="305" w:name="_Toc21559"/>
      <w:bookmarkStart w:id="306" w:name="_Toc13214"/>
      <w:bookmarkStart w:id="307" w:name="_Toc12362"/>
      <w:bookmarkStart w:id="308" w:name="_Toc27338"/>
      <w:bookmarkStart w:id="309" w:name="_Toc13226"/>
      <w:bookmarkStart w:id="310" w:name="_Toc31137"/>
      <w:bookmarkStart w:id="311" w:name="_Toc24765"/>
      <w:bookmarkStart w:id="312" w:name="_Toc23083"/>
      <w:r>
        <w:rPr>
          <w:rFonts w:hint="eastAsia" w:ascii="宋体" w:eastAsia="宋体"/>
          <w:b w:val="0"/>
          <w:color w:val="auto"/>
          <w:highlight w:val="none"/>
        </w:rPr>
        <w:t>第六章  图纸及勘察资料</w:t>
      </w:r>
      <w:bookmarkEnd w:id="303"/>
      <w:bookmarkEnd w:id="304"/>
      <w:bookmarkEnd w:id="305"/>
      <w:bookmarkEnd w:id="306"/>
      <w:bookmarkEnd w:id="307"/>
      <w:bookmarkEnd w:id="308"/>
      <w:bookmarkEnd w:id="309"/>
      <w:bookmarkEnd w:id="310"/>
      <w:bookmarkEnd w:id="311"/>
      <w:bookmarkEnd w:id="312"/>
    </w:p>
    <w:p>
      <w:pPr>
        <w:rPr>
          <w:rFonts w:ascii="宋体" w:hAnsi="宋体" w:eastAsia="宋体"/>
          <w:color w:val="auto"/>
          <w:sz w:val="24"/>
          <w:szCs w:val="24"/>
          <w:highlight w:val="none"/>
        </w:rPr>
      </w:pPr>
    </w:p>
    <w:p>
      <w:pPr>
        <w:rPr>
          <w:rFonts w:ascii="宋体" w:hAnsi="宋体" w:eastAsia="宋体"/>
          <w:color w:val="auto"/>
          <w:sz w:val="24"/>
          <w:szCs w:val="24"/>
          <w:highlight w:val="none"/>
        </w:rPr>
      </w:pPr>
    </w:p>
    <w:p>
      <w:pPr>
        <w:rPr>
          <w:rFonts w:ascii="宋体" w:hAnsi="宋体" w:eastAsia="宋体"/>
          <w:b/>
          <w:color w:val="auto"/>
          <w:sz w:val="24"/>
          <w:szCs w:val="24"/>
          <w:highlight w:val="none"/>
        </w:rPr>
      </w:pPr>
      <w:r>
        <w:rPr>
          <w:rFonts w:hint="eastAsia" w:ascii="宋体" w:hAnsi="宋体" w:eastAsia="宋体"/>
          <w:color w:val="auto"/>
          <w:sz w:val="24"/>
          <w:szCs w:val="24"/>
          <w:highlight w:val="none"/>
        </w:rPr>
        <w:t>注：本章由招标人自行制定，另册。</w:t>
      </w:r>
    </w:p>
    <w:p>
      <w:pPr>
        <w:rPr>
          <w:rFonts w:ascii="宋体" w:hAnsi="宋体" w:eastAsia="宋体"/>
          <w:color w:val="auto"/>
          <w:highlight w:val="none"/>
        </w:rPr>
      </w:pPr>
    </w:p>
    <w:p>
      <w:pPr>
        <w:pStyle w:val="17"/>
        <w:ind w:firstLine="0"/>
        <w:rPr>
          <w:rFonts w:ascii="宋体" w:hAnsi="宋体"/>
          <w:color w:val="auto"/>
          <w:highlight w:val="none"/>
        </w:rPr>
      </w:pPr>
    </w:p>
    <w:p>
      <w:pPr>
        <w:pStyle w:val="17"/>
        <w:ind w:firstLine="0"/>
        <w:rPr>
          <w:rFonts w:ascii="宋体" w:hAnsi="宋体"/>
          <w:color w:val="auto"/>
          <w:highlight w:val="none"/>
        </w:rPr>
      </w:pPr>
    </w:p>
    <w:p>
      <w:pPr>
        <w:pStyle w:val="17"/>
        <w:ind w:firstLine="0"/>
        <w:rPr>
          <w:rFonts w:ascii="宋体" w:hAnsi="宋体"/>
          <w:color w:val="auto"/>
          <w:highlight w:val="none"/>
        </w:rPr>
      </w:pPr>
    </w:p>
    <w:p>
      <w:pPr>
        <w:pStyle w:val="17"/>
        <w:ind w:firstLine="0"/>
        <w:rPr>
          <w:rFonts w:ascii="宋体" w:hAnsi="宋体"/>
          <w:color w:val="auto"/>
          <w:highlight w:val="none"/>
        </w:rPr>
      </w:pPr>
      <w:r>
        <w:rPr>
          <w:rFonts w:ascii="宋体" w:hAnsi="宋体"/>
          <w:color w:val="auto"/>
          <w:highlight w:val="none"/>
        </w:rPr>
        <w:br w:type="page"/>
      </w:r>
    </w:p>
    <w:p>
      <w:pPr>
        <w:pStyle w:val="2"/>
        <w:rPr>
          <w:rFonts w:ascii="宋体" w:eastAsia="宋体"/>
          <w:b w:val="0"/>
          <w:color w:val="auto"/>
          <w:highlight w:val="none"/>
        </w:rPr>
      </w:pPr>
      <w:bookmarkStart w:id="313" w:name="_第七章__工程量清单"/>
      <w:bookmarkEnd w:id="313"/>
      <w:bookmarkStart w:id="314" w:name="_Toc11895"/>
      <w:bookmarkStart w:id="315" w:name="_Toc10072"/>
      <w:bookmarkStart w:id="316" w:name="_Toc7393"/>
      <w:bookmarkStart w:id="317" w:name="_Toc22633"/>
      <w:bookmarkStart w:id="318" w:name="_Toc15102"/>
      <w:bookmarkStart w:id="319" w:name="_Toc6799"/>
      <w:bookmarkStart w:id="320" w:name="_Toc12762"/>
      <w:bookmarkStart w:id="321" w:name="_Toc262229178"/>
      <w:bookmarkStart w:id="322" w:name="_Toc16019"/>
      <w:bookmarkStart w:id="323" w:name="_Toc8369"/>
      <w:r>
        <w:rPr>
          <w:rFonts w:hint="eastAsia" w:ascii="宋体" w:eastAsia="宋体"/>
          <w:b w:val="0"/>
          <w:color w:val="auto"/>
          <w:highlight w:val="none"/>
        </w:rPr>
        <w:t>第七章  工程量清单</w:t>
      </w:r>
      <w:bookmarkEnd w:id="314"/>
      <w:bookmarkEnd w:id="315"/>
      <w:bookmarkEnd w:id="316"/>
      <w:bookmarkEnd w:id="317"/>
      <w:bookmarkEnd w:id="318"/>
      <w:bookmarkEnd w:id="319"/>
      <w:bookmarkEnd w:id="320"/>
      <w:bookmarkEnd w:id="321"/>
      <w:bookmarkEnd w:id="322"/>
      <w:bookmarkEnd w:id="323"/>
    </w:p>
    <w:p>
      <w:pPr>
        <w:rPr>
          <w:rFonts w:ascii="宋体" w:hAnsi="宋体" w:eastAsia="宋体"/>
          <w:color w:val="auto"/>
          <w:sz w:val="24"/>
          <w:szCs w:val="24"/>
          <w:highlight w:val="none"/>
        </w:rPr>
      </w:pPr>
    </w:p>
    <w:p>
      <w:pPr>
        <w:rPr>
          <w:rFonts w:ascii="宋体" w:hAnsi="宋体" w:eastAsia="宋体"/>
          <w:color w:val="auto"/>
          <w:sz w:val="24"/>
          <w:szCs w:val="24"/>
          <w:highlight w:val="none"/>
        </w:rPr>
      </w:pPr>
    </w:p>
    <w:p>
      <w:pPr>
        <w:rPr>
          <w:rFonts w:hint="eastAsia" w:ascii="宋体" w:hAnsi="宋体" w:eastAsia="宋体"/>
          <w:b/>
          <w:color w:val="auto"/>
          <w:sz w:val="24"/>
          <w:szCs w:val="24"/>
          <w:highlight w:val="none"/>
        </w:rPr>
      </w:pPr>
      <w:r>
        <w:rPr>
          <w:rFonts w:hint="eastAsia" w:ascii="宋体" w:hAnsi="宋体" w:eastAsia="宋体"/>
          <w:color w:val="auto"/>
          <w:sz w:val="24"/>
          <w:szCs w:val="24"/>
          <w:highlight w:val="none"/>
        </w:rPr>
        <w:t>注：本章由招标人自行制定，另册。</w:t>
      </w:r>
    </w:p>
    <w:p>
      <w:pPr>
        <w:pStyle w:val="17"/>
        <w:spacing w:after="0" w:line="360" w:lineRule="auto"/>
        <w:ind w:left="-2" w:leftChars="-1" w:firstLine="960" w:firstLineChars="400"/>
        <w:rPr>
          <w:rFonts w:ascii="宋体" w:hAnsi="宋体"/>
          <w:color w:val="auto"/>
          <w:sz w:val="24"/>
          <w:szCs w:val="24"/>
          <w:highlight w:val="none"/>
        </w:rPr>
      </w:pPr>
    </w:p>
    <w:p>
      <w:pPr>
        <w:jc w:val="center"/>
        <w:outlineLvl w:val="1"/>
        <w:rPr>
          <w:rFonts w:hint="eastAsia" w:ascii="宋体" w:eastAsia="宋体"/>
          <w:b/>
          <w:color w:val="auto"/>
          <w:highlight w:val="none"/>
        </w:rPr>
      </w:pPr>
      <w:bookmarkStart w:id="324" w:name="_最高投标限价"/>
      <w:bookmarkEnd w:id="324"/>
      <w:r>
        <w:rPr>
          <w:rFonts w:ascii="宋体" w:eastAsia="宋体"/>
          <w:color w:val="auto"/>
          <w:highlight w:val="none"/>
        </w:rPr>
        <w:br w:type="page"/>
      </w:r>
      <w:bookmarkStart w:id="325" w:name="_Toc23743"/>
      <w:bookmarkStart w:id="326" w:name="_Toc22863"/>
      <w:bookmarkStart w:id="327" w:name="_Toc29898"/>
      <w:bookmarkStart w:id="328" w:name="_Toc17533"/>
      <w:bookmarkStart w:id="329" w:name="_Toc10897"/>
      <w:bookmarkStart w:id="330" w:name="_Toc9645"/>
      <w:bookmarkStart w:id="331" w:name="_Toc13396"/>
      <w:bookmarkStart w:id="332" w:name="_Toc133"/>
      <w:bookmarkStart w:id="333" w:name="_Toc3215"/>
      <w:r>
        <w:rPr>
          <w:rFonts w:hint="eastAsia" w:ascii="宋体" w:hAnsi="宋体" w:eastAsia="宋体" w:cs="宋体"/>
          <w:b/>
          <w:bCs/>
          <w:color w:val="auto"/>
          <w:sz w:val="30"/>
          <w:szCs w:val="30"/>
          <w:highlight w:val="none"/>
        </w:rPr>
        <w:t>第八章</w:t>
      </w:r>
      <w:r>
        <w:rPr>
          <w:rFonts w:hint="eastAsia" w:ascii="宋体" w:hAnsi="宋体" w:eastAsia="宋体" w:cs="宋体"/>
          <w:color w:val="auto"/>
          <w:sz w:val="30"/>
          <w:szCs w:val="30"/>
          <w:highlight w:val="none"/>
        </w:rPr>
        <w:t xml:space="preserve">  </w:t>
      </w:r>
      <w:r>
        <w:rPr>
          <w:rFonts w:hint="eastAsia" w:ascii="宋体" w:hAnsi="宋体" w:eastAsia="宋体" w:cs="宋体"/>
          <w:b/>
          <w:color w:val="auto"/>
          <w:sz w:val="30"/>
          <w:szCs w:val="30"/>
          <w:highlight w:val="none"/>
        </w:rPr>
        <w:t>最高投标限价</w:t>
      </w:r>
      <w:bookmarkEnd w:id="325"/>
      <w:bookmarkEnd w:id="326"/>
      <w:bookmarkEnd w:id="327"/>
      <w:bookmarkEnd w:id="328"/>
      <w:bookmarkEnd w:id="329"/>
      <w:bookmarkEnd w:id="330"/>
      <w:bookmarkEnd w:id="331"/>
      <w:bookmarkEnd w:id="332"/>
      <w:bookmarkEnd w:id="333"/>
      <w:r>
        <w:rPr>
          <w:rFonts w:hint="eastAsia" w:ascii="宋体" w:hAnsi="宋体" w:eastAsia="宋体" w:cs="宋体"/>
          <w:b/>
          <w:color w:val="auto"/>
          <w:sz w:val="30"/>
          <w:szCs w:val="30"/>
          <w:highlight w:val="none"/>
        </w:rPr>
        <w:t>（另册）</w:t>
      </w:r>
    </w:p>
    <w:p>
      <w:pPr>
        <w:pStyle w:val="17"/>
        <w:rPr>
          <w:color w:val="auto"/>
          <w:highlight w:val="none"/>
        </w:rPr>
      </w:pPr>
    </w:p>
    <w:p>
      <w:pPr>
        <w:spacing w:line="360" w:lineRule="auto"/>
        <w:ind w:firstLine="48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注：招标人应当在发布招标文件时，公布最高投标限价的总价，分部分项工程费、措施项目费、其他项目费、规费和税金，以及绿色施工安全防护措施费、暂列金额、暂估价等投标人不可竞争的固定报价。</w:t>
      </w:r>
    </w:p>
    <w:p>
      <w:pPr>
        <w:pStyle w:val="17"/>
        <w:rPr>
          <w:rFonts w:hint="eastAsia"/>
          <w:color w:val="auto"/>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5" w:hRule="atLeast"/>
          <w:jc w:val="center"/>
        </w:trPr>
        <w:tc>
          <w:tcPr>
            <w:tcW w:w="8528" w:type="dxa"/>
            <w:noWrap w:val="0"/>
            <w:vAlign w:val="top"/>
          </w:tcPr>
          <w:p>
            <w:pPr>
              <w:keepNext w:val="0"/>
              <w:keepLines w:val="0"/>
              <w:suppressLineNumbers w:val="0"/>
              <w:spacing w:before="0" w:beforeAutospacing="0" w:after="0" w:afterAutospacing="0" w:line="600" w:lineRule="exact"/>
              <w:ind w:left="0" w:right="0"/>
              <w:jc w:val="center"/>
              <w:rPr>
                <w:rFonts w:hint="eastAsia" w:ascii="宋体" w:hAnsi="宋体" w:eastAsia="宋体" w:cs="宋体"/>
                <w:b/>
                <w:color w:val="auto"/>
                <w:spacing w:val="60"/>
                <w:sz w:val="44"/>
                <w:szCs w:val="44"/>
                <w:highlight w:val="none"/>
              </w:rPr>
            </w:pPr>
            <w:r>
              <w:rPr>
                <w:rFonts w:hint="eastAsia" w:ascii="宋体" w:hAnsi="宋体" w:eastAsia="宋体" w:cs="宋体"/>
                <w:b/>
                <w:color w:val="auto"/>
                <w:spacing w:val="60"/>
                <w:sz w:val="44"/>
                <w:szCs w:val="44"/>
                <w:highlight w:val="none"/>
              </w:rPr>
              <w:t>最高投标限价公布函</w:t>
            </w:r>
          </w:p>
          <w:p>
            <w:pPr>
              <w:keepNext w:val="0"/>
              <w:keepLines w:val="0"/>
              <w:suppressLineNumbers w:val="0"/>
              <w:spacing w:before="0" w:beforeAutospacing="0" w:after="0" w:afterAutospacing="0" w:line="600" w:lineRule="exact"/>
              <w:ind w:left="0" w:right="0"/>
              <w:jc w:val="center"/>
              <w:rPr>
                <w:rFonts w:hint="eastAsia" w:ascii="宋体" w:hAnsi="宋体" w:eastAsia="宋体" w:cs="宋体"/>
                <w:b/>
                <w:color w:val="auto"/>
                <w:spacing w:val="60"/>
                <w:sz w:val="44"/>
                <w:szCs w:val="44"/>
                <w:highlight w:val="none"/>
              </w:rPr>
            </w:pPr>
            <w:r>
              <w:rPr>
                <w:rFonts w:hint="eastAsia" w:ascii="宋体" w:hAnsi="宋体" w:eastAsia="宋体" w:cs="宋体"/>
                <w:b/>
                <w:color w:val="auto"/>
                <w:spacing w:val="60"/>
                <w:sz w:val="44"/>
                <w:szCs w:val="44"/>
                <w:highlight w:val="none"/>
              </w:rPr>
              <w:t>（参考格式）</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w:t>
            </w:r>
            <w:r>
              <w:rPr>
                <w:rFonts w:hint="eastAsia" w:ascii="宋体" w:hAnsi="宋体" w:eastAsia="宋体" w:cs="宋体"/>
                <w:color w:val="auto"/>
                <w:sz w:val="24"/>
                <w:szCs w:val="24"/>
                <w:highlight w:val="none"/>
                <w:u w:val="single"/>
              </w:rPr>
              <w:t xml:space="preserve">                                                            </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最高投标限价（元）：</w:t>
            </w:r>
            <w:r>
              <w:rPr>
                <w:rFonts w:hint="eastAsia" w:ascii="宋体" w:hAnsi="宋体" w:eastAsia="宋体" w:cs="宋体"/>
                <w:color w:val="auto"/>
                <w:sz w:val="24"/>
                <w:szCs w:val="24"/>
                <w:highlight w:val="none"/>
                <w:u w:val="single"/>
              </w:rPr>
              <w:t xml:space="preserve">                                                   </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分部分项工程费（元）：</w:t>
            </w:r>
            <w:r>
              <w:rPr>
                <w:rFonts w:hint="eastAsia" w:ascii="宋体" w:hAnsi="宋体" w:eastAsia="宋体" w:cs="宋体"/>
                <w:color w:val="auto"/>
                <w:sz w:val="24"/>
                <w:szCs w:val="24"/>
                <w:highlight w:val="none"/>
                <w:u w:val="single"/>
              </w:rPr>
              <w:t xml:space="preserve">                                             </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措施项目费（元）：</w:t>
            </w:r>
            <w:r>
              <w:rPr>
                <w:rFonts w:hint="eastAsia" w:ascii="宋体" w:hAnsi="宋体" w:eastAsia="宋体" w:cs="宋体"/>
                <w:color w:val="auto"/>
                <w:sz w:val="24"/>
                <w:szCs w:val="24"/>
                <w:highlight w:val="none"/>
                <w:u w:val="single"/>
              </w:rPr>
              <w:t xml:space="preserve">                                                 </w:t>
            </w:r>
          </w:p>
          <w:p>
            <w:pPr>
              <w:keepNext w:val="0"/>
              <w:keepLines w:val="0"/>
              <w:suppressLineNumbers w:val="0"/>
              <w:spacing w:before="0" w:beforeAutospacing="0" w:after="0" w:afterAutospacing="0" w:line="360" w:lineRule="auto"/>
              <w:ind w:left="0" w:right="0"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其中绿色施工安全防护措施费（元）：</w:t>
            </w:r>
            <w:r>
              <w:rPr>
                <w:rFonts w:hint="eastAsia" w:ascii="宋体" w:hAnsi="宋体" w:eastAsia="宋体" w:cs="宋体"/>
                <w:color w:val="auto"/>
                <w:sz w:val="24"/>
                <w:szCs w:val="24"/>
                <w:highlight w:val="none"/>
                <w:u w:val="single"/>
              </w:rPr>
              <w:t xml:space="preserve">                             </w:t>
            </w:r>
          </w:p>
          <w:p>
            <w:pPr>
              <w:keepNext w:val="0"/>
              <w:keepLines w:val="0"/>
              <w:suppressLineNumbers w:val="0"/>
              <w:spacing w:before="0" w:beforeAutospacing="0" w:after="0" w:afterAutospacing="0" w:line="360" w:lineRule="auto"/>
              <w:ind w:left="0" w:right="0" w:firstLine="723" w:firstLineChars="3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（详细列明各专业工程绿色施工安全防护措施费）</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其他项目费（元）：</w:t>
            </w:r>
            <w:r>
              <w:rPr>
                <w:rFonts w:hint="eastAsia" w:ascii="宋体" w:hAnsi="宋体" w:eastAsia="宋体" w:cs="宋体"/>
                <w:color w:val="auto"/>
                <w:sz w:val="24"/>
                <w:szCs w:val="24"/>
                <w:highlight w:val="none"/>
                <w:u w:val="single"/>
              </w:rPr>
              <w:t xml:space="preserve">                                                 </w:t>
            </w:r>
          </w:p>
          <w:p>
            <w:pPr>
              <w:keepNext w:val="0"/>
              <w:keepLines w:val="0"/>
              <w:suppressLineNumbers w:val="0"/>
              <w:spacing w:before="0" w:beforeAutospacing="0" w:after="0" w:afterAutospacing="0" w:line="360" w:lineRule="auto"/>
              <w:ind w:left="0" w:right="0"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其中暂列金额（元）：</w:t>
            </w:r>
            <w:r>
              <w:rPr>
                <w:rFonts w:hint="eastAsia" w:ascii="宋体" w:hAnsi="宋体" w:eastAsia="宋体" w:cs="宋体"/>
                <w:color w:val="auto"/>
                <w:sz w:val="24"/>
                <w:szCs w:val="24"/>
                <w:highlight w:val="none"/>
                <w:u w:val="single"/>
              </w:rPr>
              <w:t xml:space="preserve">                                           </w:t>
            </w:r>
          </w:p>
          <w:p>
            <w:pPr>
              <w:keepNext w:val="0"/>
              <w:keepLines w:val="0"/>
              <w:suppressLineNumbers w:val="0"/>
              <w:spacing w:before="0" w:beforeAutospacing="0" w:after="0" w:afterAutospacing="0" w:line="360" w:lineRule="auto"/>
              <w:ind w:left="0" w:right="0" w:firstLine="723" w:firstLineChars="3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（详细列明各专业工程暂列金额）</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规费（元）：</w:t>
            </w:r>
            <w:r>
              <w:rPr>
                <w:rFonts w:hint="eastAsia" w:ascii="宋体" w:hAnsi="宋体" w:eastAsia="宋体" w:cs="宋体"/>
                <w:color w:val="auto"/>
                <w:sz w:val="24"/>
                <w:szCs w:val="24"/>
                <w:highlight w:val="none"/>
                <w:u w:val="single"/>
              </w:rPr>
              <w:t xml:space="preserve">                                                       </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税金（元）：</w:t>
            </w:r>
            <w:r>
              <w:rPr>
                <w:rFonts w:hint="eastAsia" w:ascii="宋体" w:hAnsi="宋体" w:eastAsia="宋体" w:cs="宋体"/>
                <w:color w:val="auto"/>
                <w:sz w:val="24"/>
                <w:szCs w:val="24"/>
                <w:highlight w:val="none"/>
                <w:u w:val="single"/>
              </w:rPr>
              <w:t xml:space="preserve">                                                       </w:t>
            </w:r>
          </w:p>
          <w:p>
            <w:pPr>
              <w:keepNext w:val="0"/>
              <w:keepLines w:val="0"/>
              <w:widowControl/>
              <w:suppressLineNumbers w:val="0"/>
              <w:spacing w:before="75" w:beforeAutospacing="0" w:after="75" w:afterAutospacing="0" w:line="360" w:lineRule="auto"/>
              <w:ind w:left="0" w:right="0" w:firstLine="480" w:firstLineChars="200"/>
              <w:jc w:val="left"/>
              <w:rPr>
                <w:rFonts w:hint="eastAsia" w:ascii="宋体" w:hAnsi="宋体" w:eastAsia="宋体" w:cs="宋体"/>
                <w:color w:val="auto"/>
                <w:kern w:val="0"/>
                <w:sz w:val="24"/>
                <w:szCs w:val="24"/>
                <w:highlight w:val="none"/>
              </w:rPr>
            </w:pPr>
          </w:p>
          <w:p>
            <w:pPr>
              <w:keepNext w:val="0"/>
              <w:keepLines w:val="0"/>
              <w:widowControl/>
              <w:suppressLineNumbers w:val="0"/>
              <w:spacing w:before="75" w:beforeAutospacing="0" w:after="75" w:afterAutospacing="0" w:line="360" w:lineRule="auto"/>
              <w:ind w:left="0" w:right="0" w:firstLine="960" w:firstLineChars="4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对公开招标工程，</w:t>
            </w:r>
            <w:r>
              <w:rPr>
                <w:rFonts w:hint="eastAsia" w:ascii="宋体" w:hAnsi="宋体" w:eastAsia="宋体" w:cs="宋体"/>
                <w:color w:val="auto"/>
                <w:sz w:val="24"/>
                <w:szCs w:val="24"/>
                <w:highlight w:val="none"/>
              </w:rPr>
              <w:t>投标人须按照公布的绿色施工安全防护措施费、</w:t>
            </w:r>
            <w:r>
              <w:rPr>
                <w:rFonts w:hint="eastAsia" w:ascii="宋体" w:hAnsi="宋体" w:eastAsia="宋体" w:cs="宋体"/>
                <w:color w:val="auto"/>
                <w:kern w:val="0"/>
                <w:sz w:val="24"/>
                <w:szCs w:val="24"/>
                <w:highlight w:val="none"/>
              </w:rPr>
              <w:t>暂</w:t>
            </w:r>
          </w:p>
          <w:p>
            <w:pPr>
              <w:keepNext w:val="0"/>
              <w:keepLines w:val="0"/>
              <w:widowControl/>
              <w:suppressLineNumbers w:val="0"/>
              <w:spacing w:before="75" w:beforeAutospacing="0" w:after="75" w:afterAutospacing="0" w:line="360" w:lineRule="auto"/>
              <w:ind w:left="0" w:right="0"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列金额报价。</w:t>
            </w:r>
          </w:p>
          <w:p>
            <w:pPr>
              <w:keepNext w:val="0"/>
              <w:keepLines w:val="0"/>
              <w:widowControl/>
              <w:suppressLineNumbers w:val="0"/>
              <w:spacing w:before="75" w:beforeAutospacing="0" w:after="75" w:afterAutospacing="0" w:line="360" w:lineRule="auto"/>
              <w:ind w:left="0" w:right="0" w:firstLine="5640" w:firstLineChars="2350"/>
              <w:jc w:val="left"/>
              <w:rPr>
                <w:rFonts w:hint="eastAsia" w:ascii="宋体" w:hAnsi="宋体" w:eastAsia="宋体" w:cs="宋体"/>
                <w:b/>
                <w:color w:val="auto"/>
                <w:spacing w:val="60"/>
                <w:sz w:val="24"/>
                <w:szCs w:val="24"/>
                <w:highlight w:val="none"/>
              </w:rPr>
            </w:pPr>
            <w:r>
              <w:rPr>
                <w:rFonts w:hint="eastAsia" w:ascii="宋体" w:hAnsi="宋体" w:eastAsia="宋体" w:cs="宋体"/>
                <w:color w:val="auto"/>
                <w:sz w:val="24"/>
                <w:szCs w:val="24"/>
                <w:highlight w:val="none"/>
              </w:rPr>
              <w:t>招标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（盖章）</w:t>
            </w:r>
            <w:r>
              <w:rPr>
                <w:rFonts w:hint="eastAsia" w:ascii="宋体" w:hAnsi="宋体" w:eastAsia="宋体" w:cs="宋体"/>
                <w:b/>
                <w:color w:val="auto"/>
                <w:spacing w:val="60"/>
                <w:sz w:val="24"/>
                <w:szCs w:val="24"/>
                <w:highlight w:val="none"/>
              </w:rPr>
              <w:t xml:space="preserve">              </w:t>
            </w:r>
          </w:p>
          <w:p>
            <w:pPr>
              <w:keepNext w:val="0"/>
              <w:keepLines w:val="0"/>
              <w:widowControl/>
              <w:suppressLineNumbers w:val="0"/>
              <w:spacing w:before="75" w:beforeAutospacing="0" w:after="75" w:afterAutospacing="0" w:line="360" w:lineRule="auto"/>
              <w:ind w:left="0" w:right="0" w:firstLine="5880" w:firstLineChars="2450"/>
              <w:jc w:val="left"/>
              <w:rPr>
                <w:rFonts w:hint="eastAsia" w:ascii="宋体" w:hAnsi="宋体" w:eastAsia="宋体" w:cs="宋体"/>
                <w:b/>
                <w:color w:val="auto"/>
                <w:spacing w:val="60"/>
                <w:sz w:val="44"/>
                <w:szCs w:val="44"/>
                <w:highlight w:val="none"/>
              </w:rPr>
            </w:pPr>
            <w:r>
              <w:rPr>
                <w:rFonts w:hint="eastAsia" w:ascii="宋体" w:hAnsi="宋体" w:eastAsia="宋体" w:cs="宋体"/>
                <w:color w:val="auto"/>
                <w:kern w:val="0"/>
                <w:sz w:val="24"/>
                <w:szCs w:val="24"/>
                <w:highlight w:val="none"/>
              </w:rPr>
              <w:t>年  月  日</w:t>
            </w:r>
          </w:p>
        </w:tc>
      </w:tr>
      <w:bookmarkEnd w:id="241"/>
      <w:bookmarkEnd w:id="242"/>
    </w:tbl>
    <w:p>
      <w:pPr>
        <w:rPr>
          <w:rFonts w:ascii="宋体" w:hAnsi="宋体" w:eastAsia="宋体"/>
          <w:color w:val="auto"/>
          <w:highlight w:val="none"/>
        </w:rPr>
      </w:pPr>
    </w:p>
    <w:p>
      <w:pPr>
        <w:rPr>
          <w:color w:val="auto"/>
          <w:highlight w:val="none"/>
        </w:rPr>
      </w:pPr>
    </w:p>
    <w:bookmarkEnd w:id="334"/>
    <w:sectPr>
      <w:pgSz w:w="11850" w:h="16783"/>
      <w:pgMar w:top="1417" w:right="1290" w:bottom="1417" w:left="129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embedRegular r:id="rId1" w:fontKey="{3FEE13C1-F5E4-4C11-BD9A-8FBD6CA83B49}"/>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F6BDE27E-90FA-43DE-B474-C61E365B4DE8}"/>
  </w:font>
  <w:font w:name="Calisto MT">
    <w:altName w:val="Segoe Print"/>
    <w:panose1 w:val="02040603050505030304"/>
    <w:charset w:val="00"/>
    <w:family w:val="roman"/>
    <w:pitch w:val="default"/>
    <w:sig w:usb0="00000000" w:usb1="00000000" w:usb2="00000000" w:usb3="00000000" w:csb0="2000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jc w:val="center"/>
                          </w:pPr>
                          <w:r>
                            <w:fldChar w:fldCharType="begin"/>
                          </w:r>
                          <w:r>
                            <w:instrText xml:space="preserve"> PAGE   \* MERGEFORMAT </w:instrText>
                          </w:r>
                          <w:r>
                            <w:fldChar w:fldCharType="separate"/>
                          </w:r>
                          <w:r>
                            <w:rPr>
                              <w:lang w:val="zh-CN"/>
                            </w:rP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3"/>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53035" cy="1752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53035" cy="175260"/>
                      </a:xfrm>
                      <a:prstGeom prst="rect">
                        <a:avLst/>
                      </a:prstGeom>
                      <a:noFill/>
                      <a:ln>
                        <a:noFill/>
                      </a:ln>
                    </wps:spPr>
                    <wps:txbx>
                      <w:txbxContent>
                        <w:p>
                          <w:pPr>
                            <w:pStyle w:val="13"/>
                            <w:rPr>
                              <w:rStyle w:val="20"/>
                            </w:rPr>
                          </w:pPr>
                          <w:r>
                            <w:fldChar w:fldCharType="begin"/>
                          </w:r>
                          <w:r>
                            <w:rPr>
                              <w:rStyle w:val="20"/>
                            </w:rPr>
                            <w:instrText xml:space="preserve">PAGE  </w:instrText>
                          </w:r>
                          <w:r>
                            <w:fldChar w:fldCharType="separate"/>
                          </w:r>
                          <w:r>
                            <w:rPr>
                              <w:rStyle w:val="20"/>
                            </w:rPr>
                            <w:t>59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8pt;width:12.05pt;mso-position-horizontal:center;mso-position-horizontal-relative:margin;mso-wrap-style:none;z-index:251659264;mso-width-relative:page;mso-height-relative:page;" filled="f" stroked="f" coordsize="21600,21600" o:gfxdata="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4tKjR0QAAAAMBAAAPAAAAAAAAAAEAIAAAACIAAABkcnMvZG93&#10;bnJldi54bWxQSwECFAAUAAAACACHTuJAiVXtV84BAACXAwAADgAAAAAAAAABACAAAAAgAQAAZHJz&#10;L2Uyb0RvYy54bWxQSwUGAAAAAAYABgBZAQAAYAUAAAAA&#10;">
              <v:fill on="f" focussize="0,0"/>
              <v:stroke on="f"/>
              <v:imagedata o:title=""/>
              <o:lock v:ext="edit" aspectratio="f"/>
              <v:textbox inset="0mm,0mm,0mm,0mm" style="mso-fit-shape-to-text:t;">
                <w:txbxContent>
                  <w:p>
                    <w:pPr>
                      <w:pStyle w:val="13"/>
                      <w:rPr>
                        <w:rStyle w:val="20"/>
                      </w:rPr>
                    </w:pPr>
                    <w:r>
                      <w:fldChar w:fldCharType="begin"/>
                    </w:r>
                    <w:r>
                      <w:rPr>
                        <w:rStyle w:val="20"/>
                      </w:rPr>
                      <w:instrText xml:space="preserve">PAGE  </w:instrText>
                    </w:r>
                    <w:r>
                      <w:fldChar w:fldCharType="separate"/>
                    </w:r>
                    <w:r>
                      <w:rPr>
                        <w:rStyle w:val="20"/>
                      </w:rPr>
                      <w:t>59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53035" cy="1752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53035" cy="175260"/>
                      </a:xfrm>
                      <a:prstGeom prst="rect">
                        <a:avLst/>
                      </a:prstGeom>
                      <a:noFill/>
                      <a:ln>
                        <a:noFill/>
                      </a:ln>
                    </wps:spPr>
                    <wps:txbx>
                      <w:txbxContent>
                        <w:p>
                          <w:pPr>
                            <w:pStyle w:val="13"/>
                            <w:rPr>
                              <w:rStyle w:val="20"/>
                            </w:rPr>
                          </w:pPr>
                          <w:r>
                            <w:fldChar w:fldCharType="begin"/>
                          </w:r>
                          <w:r>
                            <w:rPr>
                              <w:rStyle w:val="20"/>
                            </w:rPr>
                            <w:instrText xml:space="preserve">PAGE  </w:instrText>
                          </w:r>
                          <w:r>
                            <w:fldChar w:fldCharType="separate"/>
                          </w:r>
                          <w:r>
                            <w:rPr>
                              <w:rStyle w:val="20"/>
                            </w:rPr>
                            <w:t>117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8pt;width:12.05pt;mso-position-horizontal:center;mso-position-horizontal-relative:margin;mso-wrap-style:none;z-index:251660288;mso-width-relative:page;mso-height-relative:page;" filled="f" stroked="f" coordsize="21600,21600" o:gfxdata="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4tKjR0QAAAAMBAAAPAAAAAAAAAAEAIAAAACIAAABkcnMvZG93&#10;bnJldi54bWxQSwECFAAUAAAACACHTuJAX1+aus4BAACXAwAADgAAAAAAAAABACAAAAAgAQAAZHJz&#10;L2Uyb0RvYy54bWxQSwUGAAAAAAYABgBZAQAAYAUAAAAA&#10;">
              <v:fill on="f" focussize="0,0"/>
              <v:stroke on="f"/>
              <v:imagedata o:title=""/>
              <o:lock v:ext="edit" aspectratio="f"/>
              <v:textbox inset="0mm,0mm,0mm,0mm" style="mso-fit-shape-to-text:t;">
                <w:txbxContent>
                  <w:p>
                    <w:pPr>
                      <w:pStyle w:val="13"/>
                      <w:rPr>
                        <w:rStyle w:val="20"/>
                      </w:rPr>
                    </w:pPr>
                    <w:r>
                      <w:fldChar w:fldCharType="begin"/>
                    </w:r>
                    <w:r>
                      <w:rPr>
                        <w:rStyle w:val="20"/>
                      </w:rPr>
                      <w:instrText xml:space="preserve">PAGE  </w:instrText>
                    </w:r>
                    <w:r>
                      <w:fldChar w:fldCharType="separate"/>
                    </w:r>
                    <w:r>
                      <w:rPr>
                        <w:rStyle w:val="20"/>
                      </w:rPr>
                      <w:t>117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rFonts w:hint="eastAsia" w:asci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FAD73"/>
    <w:multiLevelType w:val="singleLevel"/>
    <w:tmpl w:val="841FAD73"/>
    <w:lvl w:ilvl="0" w:tentative="0">
      <w:start w:val="17"/>
      <w:numFmt w:val="decimal"/>
      <w:lvlText w:val="%1."/>
      <w:lvlJc w:val="left"/>
      <w:pPr>
        <w:tabs>
          <w:tab w:val="left" w:pos="312"/>
        </w:tabs>
      </w:pPr>
    </w:lvl>
  </w:abstractNum>
  <w:abstractNum w:abstractNumId="1">
    <w:nsid w:val="00000001"/>
    <w:multiLevelType w:val="singleLevel"/>
    <w:tmpl w:val="00000001"/>
    <w:lvl w:ilvl="0" w:tentative="0">
      <w:start w:val="1"/>
      <w:numFmt w:val="decimal"/>
      <w:suff w:val="nothing"/>
      <w:lvlText w:val="%1．"/>
      <w:lvlJc w:val="left"/>
      <w:pPr>
        <w:ind w:left="0" w:firstLine="400"/>
      </w:pPr>
      <w:rPr>
        <w:rFonts w:hint="default"/>
      </w:rPr>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4"/>
    <w:multiLevelType w:val="singleLevel"/>
    <w:tmpl w:val="00000004"/>
    <w:lvl w:ilvl="0" w:tentative="0">
      <w:start w:val="1"/>
      <w:numFmt w:val="decimal"/>
      <w:suff w:val="nothing"/>
      <w:lvlText w:val="（%1）"/>
      <w:lvlJc w:val="left"/>
    </w:lvl>
  </w:abstractNum>
  <w:abstractNum w:abstractNumId="4">
    <w:nsid w:val="63CC0727"/>
    <w:multiLevelType w:val="singleLevel"/>
    <w:tmpl w:val="63CC0727"/>
    <w:lvl w:ilvl="0" w:tentative="0">
      <w:start w:val="1"/>
      <w:numFmt w:val="decimal"/>
      <w:suff w:val="nothing"/>
      <w:lvlText w:val="（%1）"/>
      <w:lvlJc w:val="left"/>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hOTM3YWIxZWRmYzM4Y2U2NDc1ZWI5ZWY5NDFhMzgifQ=="/>
  </w:docVars>
  <w:rsids>
    <w:rsidRoot w:val="00000000"/>
    <w:rsid w:val="024110AB"/>
    <w:rsid w:val="02F17808"/>
    <w:rsid w:val="091579F6"/>
    <w:rsid w:val="095D5673"/>
    <w:rsid w:val="0E3B1E87"/>
    <w:rsid w:val="108B6EB2"/>
    <w:rsid w:val="1430702E"/>
    <w:rsid w:val="16AE219C"/>
    <w:rsid w:val="1A681D87"/>
    <w:rsid w:val="1CBA3D29"/>
    <w:rsid w:val="1DD67A76"/>
    <w:rsid w:val="1FD14804"/>
    <w:rsid w:val="203F550C"/>
    <w:rsid w:val="24480021"/>
    <w:rsid w:val="27111BB2"/>
    <w:rsid w:val="30B27F3A"/>
    <w:rsid w:val="3319117A"/>
    <w:rsid w:val="33443481"/>
    <w:rsid w:val="33B91574"/>
    <w:rsid w:val="3F41523B"/>
    <w:rsid w:val="46CF372D"/>
    <w:rsid w:val="48910A99"/>
    <w:rsid w:val="497F0713"/>
    <w:rsid w:val="4C371778"/>
    <w:rsid w:val="4CDB5D98"/>
    <w:rsid w:val="4DFD7181"/>
    <w:rsid w:val="4E790E48"/>
    <w:rsid w:val="4E7C7B99"/>
    <w:rsid w:val="4EFA539B"/>
    <w:rsid w:val="51D10E4C"/>
    <w:rsid w:val="55DA5632"/>
    <w:rsid w:val="566E7BE4"/>
    <w:rsid w:val="5A8F6CA3"/>
    <w:rsid w:val="5C986793"/>
    <w:rsid w:val="5D805DCB"/>
    <w:rsid w:val="5FF21CF5"/>
    <w:rsid w:val="612853CD"/>
    <w:rsid w:val="6295137C"/>
    <w:rsid w:val="63CB21BD"/>
    <w:rsid w:val="64FC20F0"/>
    <w:rsid w:val="663F32AC"/>
    <w:rsid w:val="66B40786"/>
    <w:rsid w:val="66FD59CD"/>
    <w:rsid w:val="674E3303"/>
    <w:rsid w:val="68203CC4"/>
    <w:rsid w:val="6AD37813"/>
    <w:rsid w:val="6B0A6CE7"/>
    <w:rsid w:val="6B343250"/>
    <w:rsid w:val="6BB663F4"/>
    <w:rsid w:val="6C5B355B"/>
    <w:rsid w:val="6DF504EB"/>
    <w:rsid w:val="6F7D7EFA"/>
    <w:rsid w:val="72624EA9"/>
    <w:rsid w:val="73ED062D"/>
    <w:rsid w:val="76E554BC"/>
    <w:rsid w:val="77AF5701"/>
    <w:rsid w:val="786F3910"/>
    <w:rsid w:val="7BC05414"/>
    <w:rsid w:val="7D3B6D6E"/>
    <w:rsid w:val="7EEC7F4C"/>
    <w:rsid w:val="7FE11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1"/>
      <w:lang w:val="en-US" w:eastAsia="zh-CN" w:bidi="ar-SA"/>
    </w:rPr>
  </w:style>
  <w:style w:type="paragraph" w:styleId="5">
    <w:name w:val="heading 1"/>
    <w:basedOn w:val="1"/>
    <w:next w:val="1"/>
    <w:link w:val="22"/>
    <w:qFormat/>
    <w:uiPriority w:val="0"/>
    <w:pPr>
      <w:keepNext/>
      <w:keepLines/>
      <w:spacing w:before="340" w:beforeLines="0" w:beforeAutospacing="0" w:after="330" w:afterLines="0" w:afterAutospacing="0" w:line="360" w:lineRule="auto"/>
      <w:jc w:val="center"/>
      <w:outlineLvl w:val="0"/>
    </w:pPr>
    <w:rPr>
      <w:rFonts w:ascii="Times New Roman" w:hAnsi="Times New Roman" w:eastAsia="微软雅黑"/>
      <w:b/>
      <w:kern w:val="44"/>
      <w:sz w:val="44"/>
    </w:rPr>
  </w:style>
  <w:style w:type="paragraph" w:styleId="2">
    <w:name w:val="heading 2"/>
    <w:basedOn w:val="1"/>
    <w:next w:val="3"/>
    <w:qFormat/>
    <w:uiPriority w:val="0"/>
    <w:pPr>
      <w:keepNext/>
      <w:keepLines/>
      <w:spacing w:before="240" w:beforeLines="0" w:after="120" w:afterLines="0" w:line="360" w:lineRule="auto"/>
      <w:jc w:val="center"/>
      <w:outlineLvl w:val="1"/>
    </w:pPr>
    <w:rPr>
      <w:rFonts w:ascii="仿宋_GB2312" w:hAnsi="宋体" w:eastAsia="仿宋_GB2312"/>
      <w:b/>
      <w:kern w:val="0"/>
      <w:sz w:val="30"/>
      <w:szCs w:val="30"/>
    </w:rPr>
  </w:style>
  <w:style w:type="paragraph" w:styleId="6">
    <w:name w:val="heading 3"/>
    <w:basedOn w:val="1"/>
    <w:next w:val="3"/>
    <w:qFormat/>
    <w:uiPriority w:val="0"/>
    <w:pPr>
      <w:keepNext/>
      <w:keepLines/>
      <w:spacing w:before="156" w:beforeLines="50" w:line="360" w:lineRule="auto"/>
      <w:jc w:val="center"/>
      <w:outlineLvl w:val="2"/>
    </w:pPr>
    <w:rPr>
      <w:rFonts w:ascii="仿宋_GB2312" w:hAnsi="宋体" w:eastAsia="仿宋_GB2312"/>
      <w:b/>
      <w:kern w:val="0"/>
      <w:sz w:val="30"/>
      <w:szCs w:val="30"/>
    </w:rPr>
  </w:style>
  <w:style w:type="character" w:default="1" w:styleId="19">
    <w:name w:val="Default Paragraph Font"/>
    <w:semiHidden/>
    <w:qFormat/>
    <w:uiPriority w:val="0"/>
  </w:style>
  <w:style w:type="table" w:default="1" w:styleId="1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3">
    <w:name w:val="Normal Indent"/>
    <w:basedOn w:val="1"/>
    <w:next w:val="4"/>
    <w:qFormat/>
    <w:uiPriority w:val="0"/>
    <w:pPr>
      <w:ind w:firstLine="420"/>
    </w:pPr>
    <w:rPr>
      <w:rFonts w:ascii="Times New Roman" w:hAnsi="Times New Roman" w:eastAsia="宋体" w:cs="Times New Roman"/>
    </w:rPr>
  </w:style>
  <w:style w:type="paragraph" w:customStyle="1" w:styleId="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7">
    <w:name w:val="annotation text"/>
    <w:basedOn w:val="1"/>
    <w:qFormat/>
    <w:uiPriority w:val="0"/>
    <w:pPr>
      <w:jc w:val="left"/>
    </w:pPr>
  </w:style>
  <w:style w:type="paragraph" w:styleId="8">
    <w:name w:val="Body Text"/>
    <w:basedOn w:val="1"/>
    <w:qFormat/>
    <w:uiPriority w:val="0"/>
    <w:pPr>
      <w:spacing w:after="120" w:afterLines="0"/>
    </w:pPr>
    <w:rPr>
      <w:kern w:val="0"/>
      <w:sz w:val="20"/>
    </w:rPr>
  </w:style>
  <w:style w:type="paragraph" w:styleId="9">
    <w:name w:val="toc 3"/>
    <w:basedOn w:val="1"/>
    <w:next w:val="1"/>
    <w:qFormat/>
    <w:uiPriority w:val="0"/>
    <w:pPr>
      <w:ind w:left="840" w:leftChars="400"/>
    </w:pPr>
    <w:rPr>
      <w:rFonts w:ascii="Times New Roman" w:hAnsi="Times New Roman" w:eastAsia="宋体" w:cs="Times New Roman"/>
    </w:rPr>
  </w:style>
  <w:style w:type="paragraph" w:styleId="10">
    <w:name w:val="Plain Text"/>
    <w:basedOn w:val="1"/>
    <w:next w:val="1"/>
    <w:qFormat/>
    <w:uiPriority w:val="0"/>
    <w:rPr>
      <w:rFonts w:ascii="宋体" w:hAnsi="Courier New"/>
      <w:kern w:val="0"/>
      <w:sz w:val="20"/>
      <w:szCs w:val="24"/>
    </w:rPr>
  </w:style>
  <w:style w:type="paragraph" w:styleId="11">
    <w:name w:val="Date"/>
    <w:basedOn w:val="1"/>
    <w:next w:val="1"/>
    <w:qFormat/>
    <w:uiPriority w:val="0"/>
    <w:rPr>
      <w:kern w:val="0"/>
      <w:sz w:val="20"/>
    </w:rPr>
  </w:style>
  <w:style w:type="paragraph" w:styleId="12">
    <w:name w:val="endnote text"/>
    <w:basedOn w:val="1"/>
    <w:qFormat/>
    <w:uiPriority w:val="0"/>
    <w:pPr>
      <w:snapToGrid w:val="0"/>
      <w:jc w:val="left"/>
    </w:pPr>
    <w:rPr>
      <w:rFonts w:ascii="宋体" w:hAnsi="宋体" w:eastAsia="宋体"/>
      <w:kern w:val="0"/>
      <w:sz w:val="20"/>
      <w:szCs w:val="24"/>
    </w:rPr>
  </w:style>
  <w:style w:type="paragraph" w:styleId="13">
    <w:name w:val="footer"/>
    <w:basedOn w:val="1"/>
    <w:link w:val="24"/>
    <w:qFormat/>
    <w:uiPriority w:val="99"/>
    <w:pPr>
      <w:tabs>
        <w:tab w:val="center" w:pos="4153"/>
        <w:tab w:val="right" w:pos="8306"/>
      </w:tabs>
      <w:snapToGrid w:val="0"/>
      <w:jc w:val="left"/>
    </w:pPr>
    <w:rPr>
      <w:kern w:val="0"/>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toc 2"/>
    <w:basedOn w:val="1"/>
    <w:next w:val="1"/>
    <w:qFormat/>
    <w:uiPriority w:val="0"/>
    <w:pPr>
      <w:tabs>
        <w:tab w:val="right" w:leader="dot" w:pos="9060"/>
      </w:tabs>
      <w:snapToGrid w:val="0"/>
      <w:spacing w:line="360" w:lineRule="auto"/>
      <w:jc w:val="left"/>
    </w:pPr>
    <w:rPr>
      <w:rFonts w:ascii="Times New Roman" w:hAnsi="Times New Roman" w:eastAsia="宋体" w:cs="Times New Roman"/>
      <w:sz w:val="24"/>
      <w:szCs w:val="24"/>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w:basedOn w:val="8"/>
    <w:qFormat/>
    <w:uiPriority w:val="0"/>
    <w:pPr>
      <w:ind w:firstLine="420"/>
    </w:pPr>
    <w:rPr>
      <w:rFonts w:eastAsia="宋体"/>
    </w:rPr>
  </w:style>
  <w:style w:type="character" w:styleId="20">
    <w:name w:val="page number"/>
    <w:qFormat/>
    <w:uiPriority w:val="0"/>
    <w:rPr>
      <w:rFonts w:ascii="Times New Roman" w:hAnsi="Times New Roman" w:eastAsia="宋体" w:cs="Times New Roman"/>
      <w:kern w:val="2"/>
      <w:sz w:val="24"/>
      <w:szCs w:val="24"/>
      <w:lang w:val="en-US" w:eastAsia="zh-CN" w:bidi="ar-SA"/>
    </w:rPr>
  </w:style>
  <w:style w:type="character" w:styleId="21">
    <w:name w:val="Hyperlink"/>
    <w:qFormat/>
    <w:uiPriority w:val="0"/>
    <w:rPr>
      <w:rFonts w:ascii="Times New Roman" w:hAnsi="Times New Roman" w:eastAsia="宋体" w:cs="Times New Roman"/>
      <w:color w:val="0000FF"/>
      <w:kern w:val="2"/>
      <w:sz w:val="24"/>
      <w:szCs w:val="24"/>
      <w:u w:val="single"/>
      <w:lang w:val="en-US" w:eastAsia="zh-CN" w:bidi="ar-SA"/>
    </w:rPr>
  </w:style>
  <w:style w:type="character" w:customStyle="1" w:styleId="22">
    <w:name w:val="标题 1 Char"/>
    <w:link w:val="5"/>
    <w:qFormat/>
    <w:uiPriority w:val="0"/>
    <w:rPr>
      <w:rFonts w:ascii="Times New Roman" w:hAnsi="Times New Roman" w:eastAsia="微软雅黑"/>
      <w:b/>
      <w:kern w:val="44"/>
      <w:sz w:val="44"/>
    </w:rPr>
  </w:style>
  <w:style w:type="paragraph" w:customStyle="1" w:styleId="23">
    <w:name w:val="常用"/>
    <w:basedOn w:val="1"/>
    <w:next w:val="8"/>
    <w:qFormat/>
    <w:uiPriority w:val="0"/>
    <w:pPr>
      <w:spacing w:line="240" w:lineRule="auto"/>
      <w:jc w:val="left"/>
    </w:pPr>
    <w:rPr>
      <w:rFonts w:ascii="Times New Roman" w:hAnsi="Times New Roman" w:eastAsia="宋体" w:cs="Times New Roman"/>
      <w:sz w:val="24"/>
    </w:rPr>
  </w:style>
  <w:style w:type="character" w:customStyle="1" w:styleId="24">
    <w:name w:val="页脚 Char"/>
    <w:basedOn w:val="19"/>
    <w:link w:val="13"/>
    <w:qFormat/>
    <w:uiPriority w:val="0"/>
    <w:rPr>
      <w:kern w:val="2"/>
      <w:sz w:val="18"/>
      <w:szCs w:val="18"/>
    </w:rPr>
  </w:style>
  <w:style w:type="paragraph" w:customStyle="1" w:styleId="2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oleObject" Target="embeddings/oleObject4.bin"/><Relationship Id="rId14" Type="http://schemas.openxmlformats.org/officeDocument/2006/relationships/image" Target="media/image2.wmf"/><Relationship Id="rId13" Type="http://schemas.openxmlformats.org/officeDocument/2006/relationships/oleObject" Target="embeddings/oleObject3.bin"/><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43652</Words>
  <Characters>45980</Characters>
  <Lines>0</Lines>
  <Paragraphs>0</Paragraphs>
  <TotalTime>3</TotalTime>
  <ScaleCrop>false</ScaleCrop>
  <LinksUpToDate>false</LinksUpToDate>
  <CharactersWithSpaces>50656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2022-07-07T09:12:00Z</dcterms:created>
  <dc:creator>Administrator</dc:creator>
  <cp:lastModifiedBy>珊記</cp:lastModifiedBy>
  <cp:lastPrinted>2023-10-25T05:16:00Z</cp:lastPrinted>
  <dcterms:modified xsi:type="dcterms:W3CDTF">2023-10-31T10:19:41Z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27D568EBC37746A78979ED098F95652D_13</vt:lpwstr>
  </property>
</Properties>
</file>